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FFFFF"/>
  <w:body>
    <w:p>
      <w:pPr>
        <w:pStyle w:val="3"/>
        <w:keepNext/>
        <w:keepLines/>
        <w:pageBreakBefore/>
        <w:widowControl/>
        <w:tabs>
          <w:tab w:val="left" w:pos="420"/>
        </w:tabs>
        <w:spacing w:before="624" w:beforeLines="200" w:beforeAutospacing="0" w:line="360" w:lineRule="auto"/>
        <w:jc w:val="center"/>
        <w:rPr>
          <w:rFonts w:hint="default" w:ascii="华文中宋" w:hAnsi="华文中宋" w:eastAsia="华文中宋" w:cs="华文中宋"/>
          <w:sz w:val="21"/>
          <w:szCs w:val="21"/>
        </w:rPr>
      </w:pPr>
      <w:bookmarkStart w:id="0" w:name="_Toc16611529"/>
      <w:bookmarkStart w:id="1" w:name="_Toc16445839"/>
      <w:bookmarkStart w:id="2" w:name="_Toc18535"/>
      <w:bookmarkStart w:id="3" w:name="_Toc20210862"/>
      <w:bookmarkStart w:id="4" w:name="_Toc470201260"/>
      <w:bookmarkStart w:id="5" w:name="_Toc469569794"/>
      <w:bookmarkStart w:id="6" w:name="_Toc469568948"/>
      <w:bookmarkStart w:id="7" w:name="_Toc12982937"/>
      <w:bookmarkStart w:id="8" w:name="_Toc470089459"/>
      <w:bookmarkStart w:id="9" w:name="_Toc16596953"/>
      <w:bookmarkStart w:id="10" w:name="_Toc19648813"/>
      <w:bookmarkStart w:id="11" w:name="_Toc9017"/>
      <w:bookmarkStart w:id="12" w:name="_Toc469586214"/>
      <w:bookmarkStart w:id="13" w:name="_Toc502259457"/>
      <w:bookmarkStart w:id="14" w:name="_Toc469569025"/>
      <w:bookmarkStart w:id="15" w:name="_Toc469569962"/>
      <w:bookmarkStart w:id="16" w:name="_Toc2207"/>
      <w:r>
        <w:rPr>
          <w:rFonts w:ascii="华文中宋" w:hAnsi="华文中宋" w:eastAsia="华文中宋" w:cs="华文中宋"/>
          <w:bCs/>
          <w:sz w:val="36"/>
          <w:szCs w:val="36"/>
          <w:lang w:val="zh-CN"/>
        </w:rPr>
        <w:t>目 录</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r>
        <w:rPr>
          <w:rFonts w:ascii="华文中宋" w:hAnsi="华文中宋" w:eastAsia="华文中宋" w:cs="华文中宋"/>
          <w:sz w:val="21"/>
          <w:szCs w:val="21"/>
        </w:rPr>
        <w:fldChar w:fldCharType="begin"/>
      </w:r>
      <w:r>
        <w:rPr>
          <w:rFonts w:ascii="华文中宋" w:hAnsi="华文中宋" w:eastAsia="华文中宋" w:cs="华文中宋"/>
          <w:sz w:val="21"/>
          <w:szCs w:val="21"/>
        </w:rPr>
        <w:instrText xml:space="preserve"> TOC \o "1-2" \h \z \u </w:instrText>
      </w:r>
      <w:r>
        <w:rPr>
          <w:rFonts w:ascii="华文中宋" w:hAnsi="华文中宋" w:eastAsia="华文中宋" w:cs="华文中宋"/>
          <w:sz w:val="21"/>
          <w:szCs w:val="21"/>
        </w:rPr>
        <w:fldChar w:fldCharType="separate"/>
      </w:r>
    </w:p>
    <w:p>
      <w:pPr>
        <w:pStyle w:val="22"/>
        <w:tabs>
          <w:tab w:val="right" w:leader="dot" w:pos="10107"/>
        </w:tabs>
        <w:rPr>
          <w:rFonts w:ascii="华文中宋" w:hAnsi="华文中宋" w:eastAsia="华文中宋" w:cs="华文中宋"/>
          <w:sz w:val="28"/>
          <w:szCs w:val="28"/>
        </w:rPr>
      </w:pPr>
      <w:r>
        <w:fldChar w:fldCharType="begin"/>
      </w:r>
      <w:r>
        <w:instrText xml:space="preserve"> HYPERLINK \l "_Toc9017" </w:instrText>
      </w:r>
      <w:r>
        <w:fldChar w:fldCharType="separate"/>
      </w:r>
      <w:r>
        <w:rPr>
          <w:rFonts w:hint="eastAsia" w:ascii="华文中宋" w:hAnsi="华文中宋" w:eastAsia="华文中宋" w:cs="华文中宋"/>
          <w:bCs/>
          <w:sz w:val="28"/>
          <w:szCs w:val="28"/>
          <w:lang w:val="zh-CN"/>
        </w:rPr>
        <w:t>目 录</w:t>
      </w:r>
      <w:r>
        <w:rPr>
          <w:rFonts w:hint="eastAsia" w:ascii="华文中宋" w:hAnsi="华文中宋" w:eastAsia="华文中宋" w:cs="华文中宋"/>
          <w:sz w:val="28"/>
          <w:szCs w:val="28"/>
        </w:rPr>
        <w:tab/>
      </w:r>
      <w:r>
        <w:rPr>
          <w:rFonts w:hint="eastAsia" w:ascii="华文中宋" w:hAnsi="华文中宋" w:eastAsia="华文中宋" w:cs="华文中宋"/>
          <w:sz w:val="28"/>
          <w:szCs w:val="28"/>
        </w:rPr>
        <w:fldChar w:fldCharType="begin"/>
      </w:r>
      <w:r>
        <w:rPr>
          <w:rFonts w:hint="eastAsia" w:ascii="华文中宋" w:hAnsi="华文中宋" w:eastAsia="华文中宋" w:cs="华文中宋"/>
          <w:sz w:val="28"/>
          <w:szCs w:val="28"/>
        </w:rPr>
        <w:instrText xml:space="preserve"> PAGEREF _Toc9017 \h </w:instrText>
      </w:r>
      <w:r>
        <w:rPr>
          <w:rFonts w:hint="eastAsia" w:ascii="华文中宋" w:hAnsi="华文中宋" w:eastAsia="华文中宋" w:cs="华文中宋"/>
          <w:sz w:val="28"/>
          <w:szCs w:val="28"/>
        </w:rPr>
        <w:fldChar w:fldCharType="separate"/>
      </w:r>
      <w:r>
        <w:rPr>
          <w:rFonts w:hint="eastAsia" w:ascii="华文中宋" w:hAnsi="华文中宋" w:eastAsia="华文中宋" w:cs="华文中宋"/>
          <w:sz w:val="28"/>
          <w:szCs w:val="28"/>
        </w:rPr>
        <w:t>1</w:t>
      </w:r>
      <w:r>
        <w:rPr>
          <w:rFonts w:hint="eastAsia" w:ascii="华文中宋" w:hAnsi="华文中宋" w:eastAsia="华文中宋" w:cs="华文中宋"/>
          <w:sz w:val="28"/>
          <w:szCs w:val="28"/>
        </w:rPr>
        <w:fldChar w:fldCharType="end"/>
      </w:r>
      <w:r>
        <w:rPr>
          <w:rFonts w:hint="eastAsia" w:ascii="华文中宋" w:hAnsi="华文中宋" w:eastAsia="华文中宋" w:cs="华文中宋"/>
          <w:sz w:val="28"/>
          <w:szCs w:val="28"/>
        </w:rPr>
        <w:fldChar w:fldCharType="end"/>
      </w:r>
    </w:p>
    <w:p>
      <w:pPr>
        <w:pStyle w:val="27"/>
        <w:tabs>
          <w:tab w:val="right" w:leader="dot" w:pos="10107"/>
        </w:tabs>
        <w:rPr>
          <w:rFonts w:ascii="华文中宋" w:hAnsi="华文中宋" w:eastAsia="华文中宋" w:cs="华文中宋"/>
          <w:sz w:val="28"/>
          <w:szCs w:val="28"/>
        </w:rPr>
      </w:pPr>
      <w:r>
        <w:fldChar w:fldCharType="begin"/>
      </w:r>
      <w:r>
        <w:instrText xml:space="preserve"> HYPERLINK \l "_Toc20822" </w:instrText>
      </w:r>
      <w:r>
        <w:fldChar w:fldCharType="separate"/>
      </w:r>
      <w:r>
        <w:rPr>
          <w:rFonts w:hint="eastAsia" w:ascii="华文中宋" w:hAnsi="华文中宋" w:eastAsia="华文中宋" w:cs="华文中宋"/>
          <w:sz w:val="28"/>
          <w:szCs w:val="28"/>
        </w:rPr>
        <w:t>1.1 原控制性详细规划概况</w:t>
      </w:r>
      <w:r>
        <w:rPr>
          <w:rFonts w:hint="eastAsia" w:ascii="华文中宋" w:hAnsi="华文中宋" w:eastAsia="华文中宋" w:cs="华文中宋"/>
          <w:sz w:val="28"/>
          <w:szCs w:val="28"/>
        </w:rPr>
        <w:tab/>
      </w:r>
      <w:r>
        <w:rPr>
          <w:rFonts w:hint="eastAsia" w:ascii="华文中宋" w:hAnsi="华文中宋" w:eastAsia="华文中宋" w:cs="华文中宋"/>
          <w:sz w:val="28"/>
          <w:szCs w:val="28"/>
        </w:rPr>
        <w:fldChar w:fldCharType="begin"/>
      </w:r>
      <w:r>
        <w:rPr>
          <w:rFonts w:hint="eastAsia" w:ascii="华文中宋" w:hAnsi="华文中宋" w:eastAsia="华文中宋" w:cs="华文中宋"/>
          <w:sz w:val="28"/>
          <w:szCs w:val="28"/>
        </w:rPr>
        <w:instrText xml:space="preserve"> PAGEREF _Toc20822 \h </w:instrText>
      </w:r>
      <w:r>
        <w:rPr>
          <w:rFonts w:hint="eastAsia" w:ascii="华文中宋" w:hAnsi="华文中宋" w:eastAsia="华文中宋" w:cs="华文中宋"/>
          <w:sz w:val="28"/>
          <w:szCs w:val="28"/>
        </w:rPr>
        <w:fldChar w:fldCharType="separate"/>
      </w:r>
      <w:r>
        <w:rPr>
          <w:rFonts w:hint="eastAsia" w:ascii="华文中宋" w:hAnsi="华文中宋" w:eastAsia="华文中宋" w:cs="华文中宋"/>
          <w:sz w:val="28"/>
          <w:szCs w:val="28"/>
        </w:rPr>
        <w:t>2</w:t>
      </w:r>
      <w:r>
        <w:rPr>
          <w:rFonts w:hint="eastAsia" w:ascii="华文中宋" w:hAnsi="华文中宋" w:eastAsia="华文中宋" w:cs="华文中宋"/>
          <w:sz w:val="28"/>
          <w:szCs w:val="28"/>
        </w:rPr>
        <w:fldChar w:fldCharType="end"/>
      </w:r>
      <w:r>
        <w:rPr>
          <w:rFonts w:hint="eastAsia" w:ascii="华文中宋" w:hAnsi="华文中宋" w:eastAsia="华文中宋" w:cs="华文中宋"/>
          <w:sz w:val="28"/>
          <w:szCs w:val="28"/>
        </w:rPr>
        <w:fldChar w:fldCharType="end"/>
      </w:r>
    </w:p>
    <w:p>
      <w:pPr>
        <w:pStyle w:val="27"/>
        <w:tabs>
          <w:tab w:val="right" w:leader="dot" w:pos="10107"/>
        </w:tabs>
        <w:rPr>
          <w:rFonts w:ascii="华文中宋" w:hAnsi="华文中宋" w:eastAsia="华文中宋" w:cs="华文中宋"/>
          <w:sz w:val="28"/>
          <w:szCs w:val="28"/>
        </w:rPr>
      </w:pPr>
      <w:r>
        <w:fldChar w:fldCharType="begin"/>
      </w:r>
      <w:r>
        <w:instrText xml:space="preserve"> HYPERLINK \l "_Toc4390" </w:instrText>
      </w:r>
      <w:r>
        <w:fldChar w:fldCharType="separate"/>
      </w:r>
      <w:r>
        <w:rPr>
          <w:rFonts w:hint="eastAsia" w:ascii="华文中宋" w:hAnsi="华文中宋" w:eastAsia="华文中宋" w:cs="华文中宋"/>
          <w:sz w:val="28"/>
          <w:szCs w:val="28"/>
        </w:rPr>
        <w:t>1.2 调整原因及依据</w:t>
      </w:r>
      <w:r>
        <w:rPr>
          <w:rFonts w:hint="eastAsia" w:ascii="华文中宋" w:hAnsi="华文中宋" w:eastAsia="华文中宋" w:cs="华文中宋"/>
          <w:sz w:val="28"/>
          <w:szCs w:val="28"/>
        </w:rPr>
        <w:tab/>
      </w:r>
      <w:r>
        <w:rPr>
          <w:rFonts w:hint="eastAsia" w:ascii="华文中宋" w:hAnsi="华文中宋" w:eastAsia="华文中宋" w:cs="华文中宋"/>
          <w:sz w:val="28"/>
          <w:szCs w:val="28"/>
        </w:rPr>
        <w:fldChar w:fldCharType="begin"/>
      </w:r>
      <w:r>
        <w:rPr>
          <w:rFonts w:hint="eastAsia" w:ascii="华文中宋" w:hAnsi="华文中宋" w:eastAsia="华文中宋" w:cs="华文中宋"/>
          <w:sz w:val="28"/>
          <w:szCs w:val="28"/>
        </w:rPr>
        <w:instrText xml:space="preserve"> PAGEREF _Toc4390 \h </w:instrText>
      </w:r>
      <w:r>
        <w:rPr>
          <w:rFonts w:hint="eastAsia" w:ascii="华文中宋" w:hAnsi="华文中宋" w:eastAsia="华文中宋" w:cs="华文中宋"/>
          <w:sz w:val="28"/>
          <w:szCs w:val="28"/>
        </w:rPr>
        <w:fldChar w:fldCharType="separate"/>
      </w:r>
      <w:r>
        <w:rPr>
          <w:rFonts w:hint="eastAsia" w:ascii="华文中宋" w:hAnsi="华文中宋" w:eastAsia="华文中宋" w:cs="华文中宋"/>
          <w:sz w:val="28"/>
          <w:szCs w:val="28"/>
        </w:rPr>
        <w:t>2</w:t>
      </w:r>
      <w:r>
        <w:rPr>
          <w:rFonts w:hint="eastAsia" w:ascii="华文中宋" w:hAnsi="华文中宋" w:eastAsia="华文中宋" w:cs="华文中宋"/>
          <w:sz w:val="28"/>
          <w:szCs w:val="28"/>
        </w:rPr>
        <w:fldChar w:fldCharType="end"/>
      </w:r>
      <w:r>
        <w:rPr>
          <w:rFonts w:hint="eastAsia" w:ascii="华文中宋" w:hAnsi="华文中宋" w:eastAsia="华文中宋" w:cs="华文中宋"/>
          <w:sz w:val="28"/>
          <w:szCs w:val="28"/>
        </w:rPr>
        <w:fldChar w:fldCharType="end"/>
      </w:r>
    </w:p>
    <w:p>
      <w:pPr>
        <w:pStyle w:val="27"/>
        <w:tabs>
          <w:tab w:val="right" w:leader="dot" w:pos="10107"/>
        </w:tabs>
        <w:rPr>
          <w:rFonts w:ascii="华文中宋" w:hAnsi="华文中宋" w:eastAsia="华文中宋" w:cs="华文中宋"/>
          <w:sz w:val="28"/>
          <w:szCs w:val="28"/>
        </w:rPr>
      </w:pPr>
      <w:r>
        <w:fldChar w:fldCharType="begin"/>
      </w:r>
      <w:r>
        <w:instrText xml:space="preserve"> HYPERLINK \l "_Toc239" </w:instrText>
      </w:r>
      <w:r>
        <w:fldChar w:fldCharType="separate"/>
      </w:r>
      <w:r>
        <w:rPr>
          <w:rFonts w:hint="eastAsia" w:ascii="华文中宋" w:hAnsi="华文中宋" w:eastAsia="华文中宋" w:cs="华文中宋"/>
          <w:sz w:val="28"/>
          <w:szCs w:val="28"/>
        </w:rPr>
        <w:t>1.3 调整的主要内容</w:t>
      </w:r>
      <w:r>
        <w:rPr>
          <w:rFonts w:hint="eastAsia" w:ascii="华文中宋" w:hAnsi="华文中宋" w:eastAsia="华文中宋" w:cs="华文中宋"/>
          <w:sz w:val="28"/>
          <w:szCs w:val="28"/>
        </w:rPr>
        <w:tab/>
      </w:r>
      <w:r>
        <w:rPr>
          <w:rFonts w:hint="eastAsia" w:ascii="华文中宋" w:hAnsi="华文中宋" w:eastAsia="华文中宋" w:cs="华文中宋"/>
          <w:sz w:val="28"/>
          <w:szCs w:val="28"/>
        </w:rPr>
        <w:fldChar w:fldCharType="begin"/>
      </w:r>
      <w:r>
        <w:rPr>
          <w:rFonts w:hint="eastAsia" w:ascii="华文中宋" w:hAnsi="华文中宋" w:eastAsia="华文中宋" w:cs="华文中宋"/>
          <w:sz w:val="28"/>
          <w:szCs w:val="28"/>
        </w:rPr>
        <w:instrText xml:space="preserve"> PAGEREF _Toc239 \h </w:instrText>
      </w:r>
      <w:r>
        <w:rPr>
          <w:rFonts w:hint="eastAsia" w:ascii="华文中宋" w:hAnsi="华文中宋" w:eastAsia="华文中宋" w:cs="华文中宋"/>
          <w:sz w:val="28"/>
          <w:szCs w:val="28"/>
        </w:rPr>
        <w:fldChar w:fldCharType="separate"/>
      </w:r>
      <w:r>
        <w:rPr>
          <w:rFonts w:hint="eastAsia" w:ascii="华文中宋" w:hAnsi="华文中宋" w:eastAsia="华文中宋" w:cs="华文中宋"/>
          <w:sz w:val="28"/>
          <w:szCs w:val="28"/>
        </w:rPr>
        <w:t>7</w:t>
      </w:r>
      <w:r>
        <w:rPr>
          <w:rFonts w:hint="eastAsia" w:ascii="华文中宋" w:hAnsi="华文中宋" w:eastAsia="华文中宋" w:cs="华文中宋"/>
          <w:sz w:val="28"/>
          <w:szCs w:val="28"/>
        </w:rPr>
        <w:fldChar w:fldCharType="end"/>
      </w:r>
      <w:r>
        <w:rPr>
          <w:rFonts w:hint="eastAsia" w:ascii="华文中宋" w:hAnsi="华文中宋" w:eastAsia="华文中宋" w:cs="华文中宋"/>
          <w:sz w:val="28"/>
          <w:szCs w:val="28"/>
        </w:rPr>
        <w:fldChar w:fldCharType="end"/>
      </w:r>
    </w:p>
    <w:p>
      <w:pPr>
        <w:pStyle w:val="22"/>
        <w:tabs>
          <w:tab w:val="right" w:leader="dot" w:pos="10107"/>
        </w:tabs>
        <w:rPr>
          <w:rFonts w:ascii="华文中宋" w:hAnsi="华文中宋" w:eastAsia="华文中宋" w:cs="华文中宋"/>
          <w:sz w:val="28"/>
          <w:szCs w:val="28"/>
        </w:rPr>
      </w:pPr>
      <w:r>
        <w:fldChar w:fldCharType="begin"/>
      </w:r>
      <w:r>
        <w:instrText xml:space="preserve"> HYPERLINK \l "_Toc15066" </w:instrText>
      </w:r>
      <w:r>
        <w:fldChar w:fldCharType="separate"/>
      </w:r>
      <w:r>
        <w:rPr>
          <w:rFonts w:hint="eastAsia" w:ascii="华文中宋" w:hAnsi="华文中宋" w:eastAsia="华文中宋" w:cs="华文中宋"/>
          <w:sz w:val="28"/>
          <w:szCs w:val="28"/>
        </w:rPr>
        <w:t>第二章 总体调整内容</w:t>
      </w:r>
      <w:r>
        <w:rPr>
          <w:rFonts w:hint="eastAsia" w:ascii="华文中宋" w:hAnsi="华文中宋" w:eastAsia="华文中宋" w:cs="华文中宋"/>
          <w:sz w:val="28"/>
          <w:szCs w:val="28"/>
        </w:rPr>
        <w:tab/>
      </w:r>
      <w:r>
        <w:rPr>
          <w:rFonts w:hint="eastAsia" w:ascii="华文中宋" w:hAnsi="华文中宋" w:eastAsia="华文中宋" w:cs="华文中宋"/>
          <w:sz w:val="28"/>
          <w:szCs w:val="28"/>
        </w:rPr>
        <w:fldChar w:fldCharType="begin"/>
      </w:r>
      <w:r>
        <w:rPr>
          <w:rFonts w:hint="eastAsia" w:ascii="华文中宋" w:hAnsi="华文中宋" w:eastAsia="华文中宋" w:cs="华文中宋"/>
          <w:sz w:val="28"/>
          <w:szCs w:val="28"/>
        </w:rPr>
        <w:instrText xml:space="preserve"> PAGEREF _Toc15066 \h </w:instrText>
      </w:r>
      <w:r>
        <w:rPr>
          <w:rFonts w:hint="eastAsia" w:ascii="华文中宋" w:hAnsi="华文中宋" w:eastAsia="华文中宋" w:cs="华文中宋"/>
          <w:sz w:val="28"/>
          <w:szCs w:val="28"/>
        </w:rPr>
        <w:fldChar w:fldCharType="separate"/>
      </w:r>
      <w:r>
        <w:rPr>
          <w:rFonts w:hint="eastAsia" w:ascii="华文中宋" w:hAnsi="华文中宋" w:eastAsia="华文中宋" w:cs="华文中宋"/>
          <w:sz w:val="28"/>
          <w:szCs w:val="28"/>
        </w:rPr>
        <w:t>8</w:t>
      </w:r>
      <w:r>
        <w:rPr>
          <w:rFonts w:hint="eastAsia" w:ascii="华文中宋" w:hAnsi="华文中宋" w:eastAsia="华文中宋" w:cs="华文中宋"/>
          <w:sz w:val="28"/>
          <w:szCs w:val="28"/>
        </w:rPr>
        <w:fldChar w:fldCharType="end"/>
      </w:r>
      <w:r>
        <w:rPr>
          <w:rFonts w:hint="eastAsia" w:ascii="华文中宋" w:hAnsi="华文中宋" w:eastAsia="华文中宋" w:cs="华文中宋"/>
          <w:sz w:val="28"/>
          <w:szCs w:val="28"/>
        </w:rPr>
        <w:fldChar w:fldCharType="end"/>
      </w:r>
    </w:p>
    <w:p>
      <w:pPr>
        <w:pStyle w:val="27"/>
        <w:tabs>
          <w:tab w:val="right" w:leader="dot" w:pos="10107"/>
        </w:tabs>
        <w:rPr>
          <w:rFonts w:ascii="华文中宋" w:hAnsi="华文中宋" w:eastAsia="华文中宋" w:cs="华文中宋"/>
          <w:sz w:val="28"/>
          <w:szCs w:val="28"/>
        </w:rPr>
      </w:pPr>
      <w:r>
        <w:fldChar w:fldCharType="begin"/>
      </w:r>
      <w:r>
        <w:instrText xml:space="preserve"> HYPERLINK \l "_Toc27769" </w:instrText>
      </w:r>
      <w:r>
        <w:fldChar w:fldCharType="separate"/>
      </w:r>
      <w:r>
        <w:rPr>
          <w:rFonts w:hint="eastAsia" w:ascii="华文中宋" w:hAnsi="华文中宋" w:eastAsia="华文中宋" w:cs="华文中宋"/>
          <w:sz w:val="28"/>
          <w:szCs w:val="28"/>
        </w:rPr>
        <w:t>2.1 规划区名称调整</w:t>
      </w:r>
      <w:r>
        <w:rPr>
          <w:rFonts w:hint="eastAsia" w:ascii="华文中宋" w:hAnsi="华文中宋" w:eastAsia="华文中宋" w:cs="华文中宋"/>
          <w:sz w:val="28"/>
          <w:szCs w:val="28"/>
        </w:rPr>
        <w:tab/>
      </w:r>
      <w:r>
        <w:rPr>
          <w:rFonts w:hint="eastAsia" w:ascii="华文中宋" w:hAnsi="华文中宋" w:eastAsia="华文中宋" w:cs="华文中宋"/>
          <w:sz w:val="28"/>
          <w:szCs w:val="28"/>
        </w:rPr>
        <w:fldChar w:fldCharType="begin"/>
      </w:r>
      <w:r>
        <w:rPr>
          <w:rFonts w:hint="eastAsia" w:ascii="华文中宋" w:hAnsi="华文中宋" w:eastAsia="华文中宋" w:cs="华文中宋"/>
          <w:sz w:val="28"/>
          <w:szCs w:val="28"/>
        </w:rPr>
        <w:instrText xml:space="preserve"> PAGEREF _Toc27769 \h </w:instrText>
      </w:r>
      <w:r>
        <w:rPr>
          <w:rFonts w:hint="eastAsia" w:ascii="华文中宋" w:hAnsi="华文中宋" w:eastAsia="华文中宋" w:cs="华文中宋"/>
          <w:sz w:val="28"/>
          <w:szCs w:val="28"/>
        </w:rPr>
        <w:fldChar w:fldCharType="separate"/>
      </w:r>
      <w:r>
        <w:rPr>
          <w:rFonts w:hint="eastAsia" w:ascii="华文中宋" w:hAnsi="华文中宋" w:eastAsia="华文中宋" w:cs="华文中宋"/>
          <w:sz w:val="28"/>
          <w:szCs w:val="28"/>
        </w:rPr>
        <w:t>8</w:t>
      </w:r>
      <w:r>
        <w:rPr>
          <w:rFonts w:hint="eastAsia" w:ascii="华文中宋" w:hAnsi="华文中宋" w:eastAsia="华文中宋" w:cs="华文中宋"/>
          <w:sz w:val="28"/>
          <w:szCs w:val="28"/>
        </w:rPr>
        <w:fldChar w:fldCharType="end"/>
      </w:r>
      <w:r>
        <w:rPr>
          <w:rFonts w:hint="eastAsia" w:ascii="华文中宋" w:hAnsi="华文中宋" w:eastAsia="华文中宋" w:cs="华文中宋"/>
          <w:sz w:val="28"/>
          <w:szCs w:val="28"/>
        </w:rPr>
        <w:fldChar w:fldCharType="end"/>
      </w:r>
    </w:p>
    <w:p>
      <w:pPr>
        <w:pStyle w:val="27"/>
        <w:tabs>
          <w:tab w:val="right" w:leader="dot" w:pos="10107"/>
        </w:tabs>
        <w:rPr>
          <w:rFonts w:ascii="华文中宋" w:hAnsi="华文中宋" w:eastAsia="华文中宋" w:cs="华文中宋"/>
          <w:sz w:val="28"/>
          <w:szCs w:val="28"/>
        </w:rPr>
      </w:pPr>
      <w:r>
        <w:fldChar w:fldCharType="begin"/>
      </w:r>
      <w:r>
        <w:instrText xml:space="preserve"> HYPERLINK \l "_Toc2025" </w:instrText>
      </w:r>
      <w:r>
        <w:fldChar w:fldCharType="separate"/>
      </w:r>
      <w:r>
        <w:rPr>
          <w:rFonts w:hint="eastAsia" w:ascii="华文中宋" w:hAnsi="华文中宋" w:eastAsia="华文中宋" w:cs="华文中宋"/>
          <w:sz w:val="28"/>
          <w:szCs w:val="28"/>
        </w:rPr>
        <w:t>2.2 规划范围调整</w:t>
      </w:r>
      <w:r>
        <w:rPr>
          <w:rFonts w:hint="eastAsia" w:ascii="华文中宋" w:hAnsi="华文中宋" w:eastAsia="华文中宋" w:cs="华文中宋"/>
          <w:sz w:val="28"/>
          <w:szCs w:val="28"/>
        </w:rPr>
        <w:tab/>
      </w:r>
      <w:r>
        <w:rPr>
          <w:rFonts w:hint="eastAsia" w:ascii="华文中宋" w:hAnsi="华文中宋" w:eastAsia="华文中宋" w:cs="华文中宋"/>
          <w:sz w:val="28"/>
          <w:szCs w:val="28"/>
        </w:rPr>
        <w:fldChar w:fldCharType="begin"/>
      </w:r>
      <w:r>
        <w:rPr>
          <w:rFonts w:hint="eastAsia" w:ascii="华文中宋" w:hAnsi="华文中宋" w:eastAsia="华文中宋" w:cs="华文中宋"/>
          <w:sz w:val="28"/>
          <w:szCs w:val="28"/>
        </w:rPr>
        <w:instrText xml:space="preserve"> PAGEREF _Toc2025 \h </w:instrText>
      </w:r>
      <w:r>
        <w:rPr>
          <w:rFonts w:hint="eastAsia" w:ascii="华文中宋" w:hAnsi="华文中宋" w:eastAsia="华文中宋" w:cs="华文中宋"/>
          <w:sz w:val="28"/>
          <w:szCs w:val="28"/>
        </w:rPr>
        <w:fldChar w:fldCharType="separate"/>
      </w:r>
      <w:r>
        <w:rPr>
          <w:rFonts w:hint="eastAsia" w:ascii="华文中宋" w:hAnsi="华文中宋" w:eastAsia="华文中宋" w:cs="华文中宋"/>
          <w:sz w:val="28"/>
          <w:szCs w:val="28"/>
        </w:rPr>
        <w:t>8</w:t>
      </w:r>
      <w:r>
        <w:rPr>
          <w:rFonts w:hint="eastAsia" w:ascii="华文中宋" w:hAnsi="华文中宋" w:eastAsia="华文中宋" w:cs="华文中宋"/>
          <w:sz w:val="28"/>
          <w:szCs w:val="28"/>
        </w:rPr>
        <w:fldChar w:fldCharType="end"/>
      </w:r>
      <w:r>
        <w:rPr>
          <w:rFonts w:hint="eastAsia" w:ascii="华文中宋" w:hAnsi="华文中宋" w:eastAsia="华文中宋" w:cs="华文中宋"/>
          <w:sz w:val="28"/>
          <w:szCs w:val="28"/>
        </w:rPr>
        <w:fldChar w:fldCharType="end"/>
      </w:r>
    </w:p>
    <w:p>
      <w:pPr>
        <w:pStyle w:val="27"/>
        <w:tabs>
          <w:tab w:val="right" w:leader="dot" w:pos="10107"/>
        </w:tabs>
        <w:rPr>
          <w:rFonts w:ascii="华文中宋" w:hAnsi="华文中宋" w:eastAsia="华文中宋" w:cs="华文中宋"/>
          <w:sz w:val="28"/>
          <w:szCs w:val="28"/>
        </w:rPr>
      </w:pPr>
      <w:r>
        <w:fldChar w:fldCharType="begin"/>
      </w:r>
      <w:r>
        <w:instrText xml:space="preserve"> HYPERLINK \l "_Toc31072" </w:instrText>
      </w:r>
      <w:r>
        <w:fldChar w:fldCharType="separate"/>
      </w:r>
      <w:r>
        <w:rPr>
          <w:rFonts w:hint="eastAsia" w:ascii="华文中宋" w:hAnsi="华文中宋" w:eastAsia="华文中宋" w:cs="华文中宋"/>
          <w:sz w:val="28"/>
          <w:szCs w:val="28"/>
        </w:rPr>
        <w:t>2.3 道路调整</w:t>
      </w:r>
      <w:r>
        <w:rPr>
          <w:rFonts w:hint="eastAsia" w:ascii="华文中宋" w:hAnsi="华文中宋" w:eastAsia="华文中宋" w:cs="华文中宋"/>
          <w:sz w:val="28"/>
          <w:szCs w:val="28"/>
        </w:rPr>
        <w:tab/>
      </w:r>
      <w:r>
        <w:rPr>
          <w:rFonts w:hint="eastAsia" w:ascii="华文中宋" w:hAnsi="华文中宋" w:eastAsia="华文中宋" w:cs="华文中宋"/>
          <w:sz w:val="28"/>
          <w:szCs w:val="28"/>
        </w:rPr>
        <w:fldChar w:fldCharType="begin"/>
      </w:r>
      <w:r>
        <w:rPr>
          <w:rFonts w:hint="eastAsia" w:ascii="华文中宋" w:hAnsi="华文中宋" w:eastAsia="华文中宋" w:cs="华文中宋"/>
          <w:sz w:val="28"/>
          <w:szCs w:val="28"/>
        </w:rPr>
        <w:instrText xml:space="preserve"> PAGEREF _Toc31072 \h </w:instrText>
      </w:r>
      <w:r>
        <w:rPr>
          <w:rFonts w:hint="eastAsia" w:ascii="华文中宋" w:hAnsi="华文中宋" w:eastAsia="华文中宋" w:cs="华文中宋"/>
          <w:sz w:val="28"/>
          <w:szCs w:val="28"/>
        </w:rPr>
        <w:fldChar w:fldCharType="separate"/>
      </w:r>
      <w:r>
        <w:rPr>
          <w:rFonts w:hint="eastAsia" w:ascii="华文中宋" w:hAnsi="华文中宋" w:eastAsia="华文中宋" w:cs="华文中宋"/>
          <w:sz w:val="28"/>
          <w:szCs w:val="28"/>
        </w:rPr>
        <w:t>8</w:t>
      </w:r>
      <w:r>
        <w:rPr>
          <w:rFonts w:hint="eastAsia" w:ascii="华文中宋" w:hAnsi="华文中宋" w:eastAsia="华文中宋" w:cs="华文中宋"/>
          <w:sz w:val="28"/>
          <w:szCs w:val="28"/>
        </w:rPr>
        <w:fldChar w:fldCharType="end"/>
      </w:r>
      <w:r>
        <w:rPr>
          <w:rFonts w:hint="eastAsia" w:ascii="华文中宋" w:hAnsi="华文中宋" w:eastAsia="华文中宋" w:cs="华文中宋"/>
          <w:sz w:val="28"/>
          <w:szCs w:val="28"/>
        </w:rPr>
        <w:fldChar w:fldCharType="end"/>
      </w:r>
    </w:p>
    <w:p>
      <w:pPr>
        <w:pStyle w:val="27"/>
        <w:tabs>
          <w:tab w:val="right" w:leader="dot" w:pos="10107"/>
        </w:tabs>
        <w:rPr>
          <w:rFonts w:ascii="华文中宋" w:hAnsi="华文中宋" w:eastAsia="华文中宋" w:cs="华文中宋"/>
          <w:sz w:val="28"/>
          <w:szCs w:val="28"/>
        </w:rPr>
      </w:pPr>
      <w:r>
        <w:fldChar w:fldCharType="begin"/>
      </w:r>
      <w:r>
        <w:instrText xml:space="preserve"> HYPERLINK \l "_Toc7061" </w:instrText>
      </w:r>
      <w:r>
        <w:fldChar w:fldCharType="separate"/>
      </w:r>
      <w:r>
        <w:rPr>
          <w:rFonts w:hint="eastAsia" w:ascii="华文中宋" w:hAnsi="华文中宋" w:eastAsia="华文中宋" w:cs="华文中宋"/>
          <w:sz w:val="28"/>
          <w:szCs w:val="28"/>
        </w:rPr>
        <w:t>2.4 用地调整</w:t>
      </w:r>
      <w:r>
        <w:rPr>
          <w:rFonts w:hint="eastAsia" w:ascii="华文中宋" w:hAnsi="华文中宋" w:eastAsia="华文中宋" w:cs="华文中宋"/>
          <w:sz w:val="28"/>
          <w:szCs w:val="28"/>
        </w:rPr>
        <w:tab/>
      </w:r>
      <w:r>
        <w:rPr>
          <w:rFonts w:hint="eastAsia" w:ascii="华文中宋" w:hAnsi="华文中宋" w:eastAsia="华文中宋" w:cs="华文中宋"/>
          <w:sz w:val="28"/>
          <w:szCs w:val="28"/>
        </w:rPr>
        <w:fldChar w:fldCharType="begin"/>
      </w:r>
      <w:r>
        <w:rPr>
          <w:rFonts w:hint="eastAsia" w:ascii="华文中宋" w:hAnsi="华文中宋" w:eastAsia="华文中宋" w:cs="华文中宋"/>
          <w:sz w:val="28"/>
          <w:szCs w:val="28"/>
        </w:rPr>
        <w:instrText xml:space="preserve"> PAGEREF _Toc7061 \h </w:instrText>
      </w:r>
      <w:r>
        <w:rPr>
          <w:rFonts w:hint="eastAsia" w:ascii="华文中宋" w:hAnsi="华文中宋" w:eastAsia="华文中宋" w:cs="华文中宋"/>
          <w:sz w:val="28"/>
          <w:szCs w:val="28"/>
        </w:rPr>
        <w:fldChar w:fldCharType="separate"/>
      </w:r>
      <w:r>
        <w:rPr>
          <w:rFonts w:hint="eastAsia" w:ascii="华文中宋" w:hAnsi="华文中宋" w:eastAsia="华文中宋" w:cs="华文中宋"/>
          <w:sz w:val="28"/>
          <w:szCs w:val="28"/>
        </w:rPr>
        <w:t>8</w:t>
      </w:r>
      <w:r>
        <w:rPr>
          <w:rFonts w:hint="eastAsia" w:ascii="华文中宋" w:hAnsi="华文中宋" w:eastAsia="华文中宋" w:cs="华文中宋"/>
          <w:sz w:val="28"/>
          <w:szCs w:val="28"/>
        </w:rPr>
        <w:fldChar w:fldCharType="end"/>
      </w:r>
      <w:r>
        <w:rPr>
          <w:rFonts w:hint="eastAsia" w:ascii="华文中宋" w:hAnsi="华文中宋" w:eastAsia="华文中宋" w:cs="华文中宋"/>
          <w:sz w:val="28"/>
          <w:szCs w:val="28"/>
        </w:rPr>
        <w:fldChar w:fldCharType="end"/>
      </w:r>
    </w:p>
    <w:p>
      <w:pPr>
        <w:pStyle w:val="27"/>
        <w:tabs>
          <w:tab w:val="right" w:leader="dot" w:pos="10107"/>
        </w:tabs>
        <w:rPr>
          <w:rFonts w:ascii="华文中宋" w:hAnsi="华文中宋" w:eastAsia="华文中宋" w:cs="华文中宋"/>
          <w:sz w:val="28"/>
          <w:szCs w:val="28"/>
        </w:rPr>
      </w:pPr>
      <w:r>
        <w:fldChar w:fldCharType="begin"/>
      </w:r>
      <w:r>
        <w:instrText xml:space="preserve"> HYPERLINK \l "_Toc19290" </w:instrText>
      </w:r>
      <w:r>
        <w:fldChar w:fldCharType="separate"/>
      </w:r>
      <w:r>
        <w:rPr>
          <w:rFonts w:hint="eastAsia" w:ascii="华文中宋" w:hAnsi="华文中宋" w:eastAsia="华文中宋" w:cs="华文中宋"/>
          <w:sz w:val="28"/>
          <w:szCs w:val="28"/>
        </w:rPr>
        <w:t>2.5 用地规模</w:t>
      </w:r>
      <w:r>
        <w:rPr>
          <w:rFonts w:hint="eastAsia" w:ascii="华文中宋" w:hAnsi="华文中宋" w:eastAsia="华文中宋" w:cs="华文中宋"/>
          <w:sz w:val="28"/>
          <w:szCs w:val="28"/>
        </w:rPr>
        <w:tab/>
      </w:r>
      <w:r>
        <w:rPr>
          <w:rFonts w:hint="eastAsia" w:ascii="华文中宋" w:hAnsi="华文中宋" w:eastAsia="华文中宋" w:cs="华文中宋"/>
          <w:sz w:val="28"/>
          <w:szCs w:val="28"/>
        </w:rPr>
        <w:fldChar w:fldCharType="begin"/>
      </w:r>
      <w:r>
        <w:rPr>
          <w:rFonts w:hint="eastAsia" w:ascii="华文中宋" w:hAnsi="华文中宋" w:eastAsia="华文中宋" w:cs="华文中宋"/>
          <w:sz w:val="28"/>
          <w:szCs w:val="28"/>
        </w:rPr>
        <w:instrText xml:space="preserve"> PAGEREF _Toc19290 \h </w:instrText>
      </w:r>
      <w:r>
        <w:rPr>
          <w:rFonts w:hint="eastAsia" w:ascii="华文中宋" w:hAnsi="华文中宋" w:eastAsia="华文中宋" w:cs="华文中宋"/>
          <w:sz w:val="28"/>
          <w:szCs w:val="28"/>
        </w:rPr>
        <w:fldChar w:fldCharType="separate"/>
      </w:r>
      <w:r>
        <w:rPr>
          <w:rFonts w:hint="eastAsia" w:ascii="华文中宋" w:hAnsi="华文中宋" w:eastAsia="华文中宋" w:cs="华文中宋"/>
          <w:sz w:val="28"/>
          <w:szCs w:val="28"/>
        </w:rPr>
        <w:t>9</w:t>
      </w:r>
      <w:r>
        <w:rPr>
          <w:rFonts w:hint="eastAsia" w:ascii="华文中宋" w:hAnsi="华文中宋" w:eastAsia="华文中宋" w:cs="华文中宋"/>
          <w:sz w:val="28"/>
          <w:szCs w:val="28"/>
        </w:rPr>
        <w:fldChar w:fldCharType="end"/>
      </w:r>
      <w:r>
        <w:rPr>
          <w:rFonts w:hint="eastAsia" w:ascii="华文中宋" w:hAnsi="华文中宋" w:eastAsia="华文中宋" w:cs="华文中宋"/>
          <w:sz w:val="28"/>
          <w:szCs w:val="28"/>
        </w:rPr>
        <w:fldChar w:fldCharType="end"/>
      </w:r>
    </w:p>
    <w:p>
      <w:pPr>
        <w:pStyle w:val="27"/>
        <w:tabs>
          <w:tab w:val="right" w:leader="dot" w:pos="10107"/>
        </w:tabs>
        <w:rPr>
          <w:rFonts w:ascii="华文中宋" w:hAnsi="华文中宋" w:eastAsia="华文中宋" w:cs="华文中宋"/>
          <w:sz w:val="28"/>
          <w:szCs w:val="28"/>
        </w:rPr>
      </w:pPr>
      <w:r>
        <w:fldChar w:fldCharType="begin"/>
      </w:r>
      <w:r>
        <w:instrText xml:space="preserve"> HYPERLINK \l "_Toc19020" </w:instrText>
      </w:r>
      <w:r>
        <w:fldChar w:fldCharType="separate"/>
      </w:r>
      <w:r>
        <w:rPr>
          <w:rFonts w:hint="eastAsia" w:ascii="华文中宋" w:hAnsi="华文中宋" w:eastAsia="华文中宋" w:cs="华文中宋"/>
          <w:sz w:val="28"/>
          <w:szCs w:val="28"/>
        </w:rPr>
        <w:t>2.6 地块控制性详细规划图则</w:t>
      </w:r>
      <w:r>
        <w:rPr>
          <w:rFonts w:hint="eastAsia" w:ascii="华文中宋" w:hAnsi="华文中宋" w:eastAsia="华文中宋" w:cs="华文中宋"/>
          <w:sz w:val="28"/>
          <w:szCs w:val="28"/>
        </w:rPr>
        <w:tab/>
      </w:r>
      <w:r>
        <w:rPr>
          <w:rFonts w:hint="eastAsia" w:ascii="华文中宋" w:hAnsi="华文中宋" w:eastAsia="华文中宋" w:cs="华文中宋"/>
          <w:sz w:val="28"/>
          <w:szCs w:val="28"/>
        </w:rPr>
        <w:fldChar w:fldCharType="begin"/>
      </w:r>
      <w:r>
        <w:rPr>
          <w:rFonts w:hint="eastAsia" w:ascii="华文中宋" w:hAnsi="华文中宋" w:eastAsia="华文中宋" w:cs="华文中宋"/>
          <w:sz w:val="28"/>
          <w:szCs w:val="28"/>
        </w:rPr>
        <w:instrText xml:space="preserve"> PAGEREF _Toc19020 \h </w:instrText>
      </w:r>
      <w:r>
        <w:rPr>
          <w:rFonts w:hint="eastAsia" w:ascii="华文中宋" w:hAnsi="华文中宋" w:eastAsia="华文中宋" w:cs="华文中宋"/>
          <w:sz w:val="28"/>
          <w:szCs w:val="28"/>
        </w:rPr>
        <w:fldChar w:fldCharType="separate"/>
      </w:r>
      <w:r>
        <w:rPr>
          <w:rFonts w:hint="eastAsia" w:ascii="华文中宋" w:hAnsi="华文中宋" w:eastAsia="华文中宋" w:cs="华文中宋"/>
          <w:sz w:val="28"/>
          <w:szCs w:val="28"/>
        </w:rPr>
        <w:t>10</w:t>
      </w:r>
      <w:r>
        <w:rPr>
          <w:rFonts w:hint="eastAsia" w:ascii="华文中宋" w:hAnsi="华文中宋" w:eastAsia="华文中宋" w:cs="华文中宋"/>
          <w:sz w:val="28"/>
          <w:szCs w:val="28"/>
        </w:rPr>
        <w:fldChar w:fldCharType="end"/>
      </w:r>
      <w:r>
        <w:rPr>
          <w:rFonts w:hint="eastAsia" w:ascii="华文中宋" w:hAnsi="华文中宋" w:eastAsia="华文中宋" w:cs="华文中宋"/>
          <w:sz w:val="28"/>
          <w:szCs w:val="28"/>
        </w:rPr>
        <w:fldChar w:fldCharType="end"/>
      </w:r>
    </w:p>
    <w:p>
      <w:pPr>
        <w:pStyle w:val="22"/>
        <w:tabs>
          <w:tab w:val="right" w:leader="dot" w:pos="10107"/>
        </w:tabs>
        <w:rPr>
          <w:rFonts w:ascii="华文中宋" w:hAnsi="华文中宋" w:eastAsia="华文中宋" w:cs="华文中宋"/>
          <w:sz w:val="28"/>
          <w:szCs w:val="28"/>
        </w:rPr>
      </w:pPr>
      <w:r>
        <w:fldChar w:fldCharType="begin"/>
      </w:r>
      <w:r>
        <w:instrText xml:space="preserve"> HYPERLINK \l "_Toc28264" </w:instrText>
      </w:r>
      <w:r>
        <w:fldChar w:fldCharType="separate"/>
      </w:r>
      <w:r>
        <w:rPr>
          <w:rFonts w:hint="eastAsia" w:ascii="华文中宋" w:hAnsi="华文中宋" w:eastAsia="华文中宋" w:cs="华文中宋"/>
          <w:bCs/>
          <w:sz w:val="28"/>
          <w:szCs w:val="28"/>
        </w:rPr>
        <w:t>第三章 A区调整内容</w:t>
      </w:r>
      <w:r>
        <w:rPr>
          <w:rFonts w:hint="eastAsia" w:ascii="华文中宋" w:hAnsi="华文中宋" w:eastAsia="华文中宋" w:cs="华文中宋"/>
          <w:sz w:val="28"/>
          <w:szCs w:val="28"/>
        </w:rPr>
        <w:tab/>
      </w:r>
      <w:r>
        <w:rPr>
          <w:rFonts w:hint="eastAsia" w:ascii="华文中宋" w:hAnsi="华文中宋" w:eastAsia="华文中宋" w:cs="华文中宋"/>
          <w:sz w:val="28"/>
          <w:szCs w:val="28"/>
        </w:rPr>
        <w:fldChar w:fldCharType="begin"/>
      </w:r>
      <w:r>
        <w:rPr>
          <w:rFonts w:hint="eastAsia" w:ascii="华文中宋" w:hAnsi="华文中宋" w:eastAsia="华文中宋" w:cs="华文中宋"/>
          <w:sz w:val="28"/>
          <w:szCs w:val="28"/>
        </w:rPr>
        <w:instrText xml:space="preserve"> PAGEREF _Toc28264 \h </w:instrText>
      </w:r>
      <w:r>
        <w:rPr>
          <w:rFonts w:hint="eastAsia" w:ascii="华文中宋" w:hAnsi="华文中宋" w:eastAsia="华文中宋" w:cs="华文中宋"/>
          <w:sz w:val="28"/>
          <w:szCs w:val="28"/>
        </w:rPr>
        <w:fldChar w:fldCharType="separate"/>
      </w:r>
      <w:r>
        <w:rPr>
          <w:rFonts w:hint="eastAsia" w:ascii="华文中宋" w:hAnsi="华文中宋" w:eastAsia="华文中宋" w:cs="华文中宋"/>
          <w:sz w:val="28"/>
          <w:szCs w:val="28"/>
        </w:rPr>
        <w:t>11</w:t>
      </w:r>
      <w:r>
        <w:rPr>
          <w:rFonts w:hint="eastAsia" w:ascii="华文中宋" w:hAnsi="华文中宋" w:eastAsia="华文中宋" w:cs="华文中宋"/>
          <w:sz w:val="28"/>
          <w:szCs w:val="28"/>
        </w:rPr>
        <w:fldChar w:fldCharType="end"/>
      </w:r>
      <w:r>
        <w:rPr>
          <w:rFonts w:hint="eastAsia" w:ascii="华文中宋" w:hAnsi="华文中宋" w:eastAsia="华文中宋" w:cs="华文中宋"/>
          <w:sz w:val="28"/>
          <w:szCs w:val="28"/>
        </w:rPr>
        <w:fldChar w:fldCharType="end"/>
      </w:r>
    </w:p>
    <w:p>
      <w:pPr>
        <w:pStyle w:val="27"/>
        <w:tabs>
          <w:tab w:val="right" w:leader="dot" w:pos="10107"/>
        </w:tabs>
        <w:rPr>
          <w:rFonts w:ascii="华文中宋" w:hAnsi="华文中宋" w:eastAsia="华文中宋" w:cs="华文中宋"/>
          <w:sz w:val="28"/>
          <w:szCs w:val="28"/>
        </w:rPr>
      </w:pPr>
      <w:r>
        <w:fldChar w:fldCharType="begin"/>
      </w:r>
      <w:r>
        <w:instrText xml:space="preserve"> HYPERLINK \l "_Toc31789" </w:instrText>
      </w:r>
      <w:r>
        <w:fldChar w:fldCharType="separate"/>
      </w:r>
      <w:r>
        <w:rPr>
          <w:rFonts w:hint="eastAsia" w:ascii="华文中宋" w:hAnsi="华文中宋" w:eastAsia="华文中宋" w:cs="华文中宋"/>
          <w:sz w:val="28"/>
          <w:szCs w:val="28"/>
        </w:rPr>
        <w:t>3.1 空间布局</w:t>
      </w:r>
      <w:r>
        <w:rPr>
          <w:rFonts w:hint="eastAsia" w:ascii="华文中宋" w:hAnsi="华文中宋" w:eastAsia="华文中宋" w:cs="华文中宋"/>
          <w:sz w:val="28"/>
          <w:szCs w:val="28"/>
        </w:rPr>
        <w:tab/>
      </w:r>
      <w:r>
        <w:rPr>
          <w:rFonts w:hint="eastAsia" w:ascii="华文中宋" w:hAnsi="华文中宋" w:eastAsia="华文中宋" w:cs="华文中宋"/>
          <w:sz w:val="28"/>
          <w:szCs w:val="28"/>
        </w:rPr>
        <w:fldChar w:fldCharType="begin"/>
      </w:r>
      <w:r>
        <w:rPr>
          <w:rFonts w:hint="eastAsia" w:ascii="华文中宋" w:hAnsi="华文中宋" w:eastAsia="华文中宋" w:cs="华文中宋"/>
          <w:sz w:val="28"/>
          <w:szCs w:val="28"/>
        </w:rPr>
        <w:instrText xml:space="preserve"> PAGEREF _Toc31789 \h </w:instrText>
      </w:r>
      <w:r>
        <w:rPr>
          <w:rFonts w:hint="eastAsia" w:ascii="华文中宋" w:hAnsi="华文中宋" w:eastAsia="华文中宋" w:cs="华文中宋"/>
          <w:sz w:val="28"/>
          <w:szCs w:val="28"/>
        </w:rPr>
        <w:fldChar w:fldCharType="separate"/>
      </w:r>
      <w:r>
        <w:rPr>
          <w:rFonts w:hint="eastAsia" w:ascii="华文中宋" w:hAnsi="华文中宋" w:eastAsia="华文中宋" w:cs="华文中宋"/>
          <w:sz w:val="28"/>
          <w:szCs w:val="28"/>
        </w:rPr>
        <w:t>11</w:t>
      </w:r>
      <w:r>
        <w:rPr>
          <w:rFonts w:hint="eastAsia" w:ascii="华文中宋" w:hAnsi="华文中宋" w:eastAsia="华文中宋" w:cs="华文中宋"/>
          <w:sz w:val="28"/>
          <w:szCs w:val="28"/>
        </w:rPr>
        <w:fldChar w:fldCharType="end"/>
      </w:r>
      <w:r>
        <w:rPr>
          <w:rFonts w:hint="eastAsia" w:ascii="华文中宋" w:hAnsi="华文中宋" w:eastAsia="华文中宋" w:cs="华文中宋"/>
          <w:sz w:val="28"/>
          <w:szCs w:val="28"/>
        </w:rPr>
        <w:fldChar w:fldCharType="end"/>
      </w:r>
    </w:p>
    <w:p>
      <w:pPr>
        <w:pStyle w:val="27"/>
        <w:tabs>
          <w:tab w:val="right" w:leader="dot" w:pos="10107"/>
        </w:tabs>
        <w:rPr>
          <w:rFonts w:ascii="华文中宋" w:hAnsi="华文中宋" w:eastAsia="华文中宋" w:cs="华文中宋"/>
          <w:sz w:val="28"/>
          <w:szCs w:val="28"/>
        </w:rPr>
      </w:pPr>
      <w:r>
        <w:fldChar w:fldCharType="begin"/>
      </w:r>
      <w:r>
        <w:instrText xml:space="preserve"> HYPERLINK \l "_Toc3523" </w:instrText>
      </w:r>
      <w:r>
        <w:fldChar w:fldCharType="separate"/>
      </w:r>
      <w:r>
        <w:rPr>
          <w:rFonts w:hint="eastAsia" w:ascii="华文中宋" w:hAnsi="华文中宋" w:eastAsia="华文中宋" w:cs="华文中宋"/>
          <w:sz w:val="28"/>
          <w:szCs w:val="28"/>
        </w:rPr>
        <w:t>3.2 道路系统规划</w:t>
      </w:r>
      <w:r>
        <w:rPr>
          <w:rFonts w:hint="eastAsia" w:ascii="华文中宋" w:hAnsi="华文中宋" w:eastAsia="华文中宋" w:cs="华文中宋"/>
          <w:sz w:val="28"/>
          <w:szCs w:val="28"/>
        </w:rPr>
        <w:tab/>
      </w:r>
      <w:r>
        <w:rPr>
          <w:rFonts w:hint="eastAsia" w:ascii="华文中宋" w:hAnsi="华文中宋" w:eastAsia="华文中宋" w:cs="华文中宋"/>
          <w:sz w:val="28"/>
          <w:szCs w:val="28"/>
        </w:rPr>
        <w:fldChar w:fldCharType="begin"/>
      </w:r>
      <w:r>
        <w:rPr>
          <w:rFonts w:hint="eastAsia" w:ascii="华文中宋" w:hAnsi="华文中宋" w:eastAsia="华文中宋" w:cs="华文中宋"/>
          <w:sz w:val="28"/>
          <w:szCs w:val="28"/>
        </w:rPr>
        <w:instrText xml:space="preserve"> PAGEREF _Toc3523 \h </w:instrText>
      </w:r>
      <w:r>
        <w:rPr>
          <w:rFonts w:hint="eastAsia" w:ascii="华文中宋" w:hAnsi="华文中宋" w:eastAsia="华文中宋" w:cs="华文中宋"/>
          <w:sz w:val="28"/>
          <w:szCs w:val="28"/>
        </w:rPr>
        <w:fldChar w:fldCharType="separate"/>
      </w:r>
      <w:r>
        <w:rPr>
          <w:rFonts w:hint="eastAsia" w:ascii="华文中宋" w:hAnsi="华文中宋" w:eastAsia="华文中宋" w:cs="华文中宋"/>
          <w:sz w:val="28"/>
          <w:szCs w:val="28"/>
        </w:rPr>
        <w:t>12</w:t>
      </w:r>
      <w:r>
        <w:rPr>
          <w:rFonts w:hint="eastAsia" w:ascii="华文中宋" w:hAnsi="华文中宋" w:eastAsia="华文中宋" w:cs="华文中宋"/>
          <w:sz w:val="28"/>
          <w:szCs w:val="28"/>
        </w:rPr>
        <w:fldChar w:fldCharType="end"/>
      </w:r>
      <w:r>
        <w:rPr>
          <w:rFonts w:hint="eastAsia" w:ascii="华文中宋" w:hAnsi="华文中宋" w:eastAsia="华文中宋" w:cs="华文中宋"/>
          <w:sz w:val="28"/>
          <w:szCs w:val="28"/>
        </w:rPr>
        <w:fldChar w:fldCharType="end"/>
      </w:r>
    </w:p>
    <w:p>
      <w:pPr>
        <w:pStyle w:val="27"/>
        <w:tabs>
          <w:tab w:val="right" w:leader="dot" w:pos="10107"/>
        </w:tabs>
        <w:rPr>
          <w:rFonts w:ascii="华文中宋" w:hAnsi="华文中宋" w:eastAsia="华文中宋" w:cs="华文中宋"/>
          <w:sz w:val="28"/>
          <w:szCs w:val="28"/>
        </w:rPr>
      </w:pPr>
      <w:r>
        <w:fldChar w:fldCharType="begin"/>
      </w:r>
      <w:r>
        <w:instrText xml:space="preserve"> HYPERLINK \l "_Toc27838" </w:instrText>
      </w:r>
      <w:r>
        <w:fldChar w:fldCharType="separate"/>
      </w:r>
      <w:r>
        <w:rPr>
          <w:rFonts w:hint="eastAsia" w:ascii="华文中宋" w:hAnsi="华文中宋" w:eastAsia="华文中宋" w:cs="华文中宋"/>
          <w:sz w:val="28"/>
          <w:szCs w:val="28"/>
        </w:rPr>
        <w:t>3.3 四线控制</w:t>
      </w:r>
      <w:r>
        <w:rPr>
          <w:rFonts w:hint="eastAsia" w:ascii="华文中宋" w:hAnsi="华文中宋" w:eastAsia="华文中宋" w:cs="华文中宋"/>
          <w:sz w:val="28"/>
          <w:szCs w:val="28"/>
        </w:rPr>
        <w:tab/>
      </w:r>
      <w:r>
        <w:rPr>
          <w:rFonts w:hint="eastAsia" w:ascii="华文中宋" w:hAnsi="华文中宋" w:eastAsia="华文中宋" w:cs="华文中宋"/>
          <w:sz w:val="28"/>
          <w:szCs w:val="28"/>
        </w:rPr>
        <w:fldChar w:fldCharType="begin"/>
      </w:r>
      <w:r>
        <w:rPr>
          <w:rFonts w:hint="eastAsia" w:ascii="华文中宋" w:hAnsi="华文中宋" w:eastAsia="华文中宋" w:cs="华文中宋"/>
          <w:sz w:val="28"/>
          <w:szCs w:val="28"/>
        </w:rPr>
        <w:instrText xml:space="preserve"> PAGEREF _Toc27838 \h </w:instrText>
      </w:r>
      <w:r>
        <w:rPr>
          <w:rFonts w:hint="eastAsia" w:ascii="华文中宋" w:hAnsi="华文中宋" w:eastAsia="华文中宋" w:cs="华文中宋"/>
          <w:sz w:val="28"/>
          <w:szCs w:val="28"/>
        </w:rPr>
        <w:fldChar w:fldCharType="separate"/>
      </w:r>
      <w:r>
        <w:rPr>
          <w:rFonts w:hint="eastAsia" w:ascii="华文中宋" w:hAnsi="华文中宋" w:eastAsia="华文中宋" w:cs="华文中宋"/>
          <w:sz w:val="28"/>
          <w:szCs w:val="28"/>
        </w:rPr>
        <w:t>13</w:t>
      </w:r>
      <w:r>
        <w:rPr>
          <w:rFonts w:hint="eastAsia" w:ascii="华文中宋" w:hAnsi="华文中宋" w:eastAsia="华文中宋" w:cs="华文中宋"/>
          <w:sz w:val="28"/>
          <w:szCs w:val="28"/>
        </w:rPr>
        <w:fldChar w:fldCharType="end"/>
      </w:r>
      <w:r>
        <w:rPr>
          <w:rFonts w:hint="eastAsia" w:ascii="华文中宋" w:hAnsi="华文中宋" w:eastAsia="华文中宋" w:cs="华文中宋"/>
          <w:sz w:val="28"/>
          <w:szCs w:val="28"/>
        </w:rPr>
        <w:fldChar w:fldCharType="end"/>
      </w:r>
    </w:p>
    <w:p>
      <w:pPr>
        <w:pStyle w:val="27"/>
        <w:tabs>
          <w:tab w:val="right" w:leader="dot" w:pos="10107"/>
        </w:tabs>
        <w:rPr>
          <w:rFonts w:ascii="华文中宋" w:hAnsi="华文中宋" w:eastAsia="华文中宋" w:cs="华文中宋"/>
          <w:sz w:val="28"/>
          <w:szCs w:val="28"/>
        </w:rPr>
      </w:pPr>
      <w:r>
        <w:fldChar w:fldCharType="begin"/>
      </w:r>
      <w:r>
        <w:instrText xml:space="preserve"> HYPERLINK \l "_Toc1863" </w:instrText>
      </w:r>
      <w:r>
        <w:fldChar w:fldCharType="separate"/>
      </w:r>
      <w:r>
        <w:rPr>
          <w:rFonts w:hint="eastAsia" w:ascii="华文中宋" w:hAnsi="华文中宋" w:eastAsia="华文中宋" w:cs="华文中宋"/>
          <w:sz w:val="28"/>
          <w:szCs w:val="28"/>
        </w:rPr>
        <w:t>3.4 道路竖向规划</w:t>
      </w:r>
      <w:r>
        <w:rPr>
          <w:rFonts w:hint="eastAsia" w:ascii="华文中宋" w:hAnsi="华文中宋" w:eastAsia="华文中宋" w:cs="华文中宋"/>
          <w:sz w:val="28"/>
          <w:szCs w:val="28"/>
        </w:rPr>
        <w:tab/>
      </w:r>
      <w:r>
        <w:rPr>
          <w:rFonts w:hint="eastAsia" w:ascii="华文中宋" w:hAnsi="华文中宋" w:eastAsia="华文中宋" w:cs="华文中宋"/>
          <w:sz w:val="28"/>
          <w:szCs w:val="28"/>
        </w:rPr>
        <w:fldChar w:fldCharType="begin"/>
      </w:r>
      <w:r>
        <w:rPr>
          <w:rFonts w:hint="eastAsia" w:ascii="华文中宋" w:hAnsi="华文中宋" w:eastAsia="华文中宋" w:cs="华文中宋"/>
          <w:sz w:val="28"/>
          <w:szCs w:val="28"/>
        </w:rPr>
        <w:instrText xml:space="preserve"> PAGEREF _Toc1863 \h </w:instrText>
      </w:r>
      <w:r>
        <w:rPr>
          <w:rFonts w:hint="eastAsia" w:ascii="华文中宋" w:hAnsi="华文中宋" w:eastAsia="华文中宋" w:cs="华文中宋"/>
          <w:sz w:val="28"/>
          <w:szCs w:val="28"/>
        </w:rPr>
        <w:fldChar w:fldCharType="separate"/>
      </w:r>
      <w:r>
        <w:rPr>
          <w:rFonts w:hint="eastAsia" w:ascii="华文中宋" w:hAnsi="华文中宋" w:eastAsia="华文中宋" w:cs="华文中宋"/>
          <w:sz w:val="28"/>
          <w:szCs w:val="28"/>
        </w:rPr>
        <w:t>13</w:t>
      </w:r>
      <w:r>
        <w:rPr>
          <w:rFonts w:hint="eastAsia" w:ascii="华文中宋" w:hAnsi="华文中宋" w:eastAsia="华文中宋" w:cs="华文中宋"/>
          <w:sz w:val="28"/>
          <w:szCs w:val="28"/>
        </w:rPr>
        <w:fldChar w:fldCharType="end"/>
      </w:r>
      <w:r>
        <w:rPr>
          <w:rFonts w:hint="eastAsia" w:ascii="华文中宋" w:hAnsi="华文中宋" w:eastAsia="华文中宋" w:cs="华文中宋"/>
          <w:sz w:val="28"/>
          <w:szCs w:val="28"/>
        </w:rPr>
        <w:fldChar w:fldCharType="end"/>
      </w:r>
    </w:p>
    <w:p>
      <w:pPr>
        <w:pStyle w:val="22"/>
        <w:tabs>
          <w:tab w:val="right" w:leader="dot" w:pos="10107"/>
        </w:tabs>
        <w:rPr>
          <w:rFonts w:ascii="华文中宋" w:hAnsi="华文中宋" w:eastAsia="华文中宋" w:cs="华文中宋"/>
          <w:sz w:val="28"/>
          <w:szCs w:val="28"/>
        </w:rPr>
      </w:pPr>
      <w:r>
        <w:fldChar w:fldCharType="begin"/>
      </w:r>
      <w:r>
        <w:instrText xml:space="preserve"> HYPERLINK \l "_Toc31024" </w:instrText>
      </w:r>
      <w:r>
        <w:fldChar w:fldCharType="separate"/>
      </w:r>
      <w:r>
        <w:rPr>
          <w:rFonts w:hint="eastAsia" w:ascii="华文中宋" w:hAnsi="华文中宋" w:eastAsia="华文中宋" w:cs="华文中宋"/>
          <w:bCs/>
          <w:sz w:val="28"/>
          <w:szCs w:val="28"/>
        </w:rPr>
        <w:t>第四章 A区市政工程规划</w:t>
      </w:r>
      <w:r>
        <w:rPr>
          <w:rFonts w:hint="eastAsia" w:ascii="华文中宋" w:hAnsi="华文中宋" w:eastAsia="华文中宋" w:cs="华文中宋"/>
          <w:sz w:val="28"/>
          <w:szCs w:val="28"/>
        </w:rPr>
        <w:tab/>
      </w:r>
      <w:r>
        <w:rPr>
          <w:rFonts w:hint="eastAsia" w:ascii="华文中宋" w:hAnsi="华文中宋" w:eastAsia="华文中宋" w:cs="华文中宋"/>
          <w:sz w:val="28"/>
          <w:szCs w:val="28"/>
        </w:rPr>
        <w:fldChar w:fldCharType="begin"/>
      </w:r>
      <w:r>
        <w:rPr>
          <w:rFonts w:hint="eastAsia" w:ascii="华文中宋" w:hAnsi="华文中宋" w:eastAsia="华文中宋" w:cs="华文中宋"/>
          <w:sz w:val="28"/>
          <w:szCs w:val="28"/>
        </w:rPr>
        <w:instrText xml:space="preserve"> PAGEREF _Toc31024 \h </w:instrText>
      </w:r>
      <w:r>
        <w:rPr>
          <w:rFonts w:hint="eastAsia" w:ascii="华文中宋" w:hAnsi="华文中宋" w:eastAsia="华文中宋" w:cs="华文中宋"/>
          <w:sz w:val="28"/>
          <w:szCs w:val="28"/>
        </w:rPr>
        <w:fldChar w:fldCharType="separate"/>
      </w:r>
      <w:r>
        <w:rPr>
          <w:rFonts w:hint="eastAsia" w:ascii="华文中宋" w:hAnsi="华文中宋" w:eastAsia="华文中宋" w:cs="华文中宋"/>
          <w:sz w:val="28"/>
          <w:szCs w:val="28"/>
        </w:rPr>
        <w:t>15</w:t>
      </w:r>
      <w:r>
        <w:rPr>
          <w:rFonts w:hint="eastAsia" w:ascii="华文中宋" w:hAnsi="华文中宋" w:eastAsia="华文中宋" w:cs="华文中宋"/>
          <w:sz w:val="28"/>
          <w:szCs w:val="28"/>
        </w:rPr>
        <w:fldChar w:fldCharType="end"/>
      </w:r>
      <w:r>
        <w:rPr>
          <w:rFonts w:hint="eastAsia" w:ascii="华文中宋" w:hAnsi="华文中宋" w:eastAsia="华文中宋" w:cs="华文中宋"/>
          <w:sz w:val="28"/>
          <w:szCs w:val="28"/>
        </w:rPr>
        <w:fldChar w:fldCharType="end"/>
      </w:r>
    </w:p>
    <w:p>
      <w:pPr>
        <w:pStyle w:val="27"/>
        <w:tabs>
          <w:tab w:val="right" w:leader="dot" w:pos="10107"/>
        </w:tabs>
        <w:rPr>
          <w:rFonts w:ascii="华文中宋" w:hAnsi="华文中宋" w:eastAsia="华文中宋" w:cs="华文中宋"/>
          <w:sz w:val="28"/>
          <w:szCs w:val="28"/>
        </w:rPr>
      </w:pPr>
      <w:r>
        <w:fldChar w:fldCharType="begin"/>
      </w:r>
      <w:r>
        <w:instrText xml:space="preserve"> HYPERLINK \l "_Toc26392" </w:instrText>
      </w:r>
      <w:r>
        <w:fldChar w:fldCharType="separate"/>
      </w:r>
      <w:r>
        <w:rPr>
          <w:rFonts w:hint="eastAsia" w:ascii="华文中宋" w:hAnsi="华文中宋" w:eastAsia="华文中宋" w:cs="华文中宋"/>
          <w:sz w:val="28"/>
          <w:szCs w:val="28"/>
        </w:rPr>
        <w:t>4.1 给水工程规划</w:t>
      </w:r>
      <w:r>
        <w:rPr>
          <w:rFonts w:hint="eastAsia" w:ascii="华文中宋" w:hAnsi="华文中宋" w:eastAsia="华文中宋" w:cs="华文中宋"/>
          <w:sz w:val="28"/>
          <w:szCs w:val="28"/>
        </w:rPr>
        <w:tab/>
      </w:r>
      <w:r>
        <w:rPr>
          <w:rFonts w:hint="eastAsia" w:ascii="华文中宋" w:hAnsi="华文中宋" w:eastAsia="华文中宋" w:cs="华文中宋"/>
          <w:sz w:val="28"/>
          <w:szCs w:val="28"/>
        </w:rPr>
        <w:fldChar w:fldCharType="begin"/>
      </w:r>
      <w:r>
        <w:rPr>
          <w:rFonts w:hint="eastAsia" w:ascii="华文中宋" w:hAnsi="华文中宋" w:eastAsia="华文中宋" w:cs="华文中宋"/>
          <w:sz w:val="28"/>
          <w:szCs w:val="28"/>
        </w:rPr>
        <w:instrText xml:space="preserve"> PAGEREF _Toc26392 \h </w:instrText>
      </w:r>
      <w:r>
        <w:rPr>
          <w:rFonts w:hint="eastAsia" w:ascii="华文中宋" w:hAnsi="华文中宋" w:eastAsia="华文中宋" w:cs="华文中宋"/>
          <w:sz w:val="28"/>
          <w:szCs w:val="28"/>
        </w:rPr>
        <w:fldChar w:fldCharType="separate"/>
      </w:r>
      <w:r>
        <w:rPr>
          <w:rFonts w:hint="eastAsia" w:ascii="华文中宋" w:hAnsi="华文中宋" w:eastAsia="华文中宋" w:cs="华文中宋"/>
          <w:sz w:val="28"/>
          <w:szCs w:val="28"/>
        </w:rPr>
        <w:t>15</w:t>
      </w:r>
      <w:r>
        <w:rPr>
          <w:rFonts w:hint="eastAsia" w:ascii="华文中宋" w:hAnsi="华文中宋" w:eastAsia="华文中宋" w:cs="华文中宋"/>
          <w:sz w:val="28"/>
          <w:szCs w:val="28"/>
        </w:rPr>
        <w:fldChar w:fldCharType="end"/>
      </w:r>
      <w:r>
        <w:rPr>
          <w:rFonts w:hint="eastAsia" w:ascii="华文中宋" w:hAnsi="华文中宋" w:eastAsia="华文中宋" w:cs="华文中宋"/>
          <w:sz w:val="28"/>
          <w:szCs w:val="28"/>
        </w:rPr>
        <w:fldChar w:fldCharType="end"/>
      </w:r>
    </w:p>
    <w:p>
      <w:pPr>
        <w:pStyle w:val="27"/>
        <w:tabs>
          <w:tab w:val="right" w:leader="dot" w:pos="10107"/>
        </w:tabs>
        <w:rPr>
          <w:rFonts w:ascii="华文中宋" w:hAnsi="华文中宋" w:eastAsia="华文中宋" w:cs="华文中宋"/>
          <w:sz w:val="28"/>
          <w:szCs w:val="28"/>
        </w:rPr>
      </w:pPr>
      <w:r>
        <w:fldChar w:fldCharType="begin"/>
      </w:r>
      <w:r>
        <w:instrText xml:space="preserve"> HYPERLINK \l "_Toc31206" </w:instrText>
      </w:r>
      <w:r>
        <w:fldChar w:fldCharType="separate"/>
      </w:r>
      <w:r>
        <w:rPr>
          <w:rFonts w:hint="eastAsia" w:ascii="华文中宋" w:hAnsi="华文中宋" w:eastAsia="华文中宋" w:cs="华文中宋"/>
          <w:sz w:val="28"/>
          <w:szCs w:val="28"/>
        </w:rPr>
        <w:t>4.2 污水工程规划</w:t>
      </w:r>
      <w:r>
        <w:rPr>
          <w:rFonts w:hint="eastAsia" w:ascii="华文中宋" w:hAnsi="华文中宋" w:eastAsia="华文中宋" w:cs="华文中宋"/>
          <w:sz w:val="28"/>
          <w:szCs w:val="28"/>
        </w:rPr>
        <w:tab/>
      </w:r>
      <w:r>
        <w:rPr>
          <w:rFonts w:hint="eastAsia" w:ascii="华文中宋" w:hAnsi="华文中宋" w:eastAsia="华文中宋" w:cs="华文中宋"/>
          <w:sz w:val="28"/>
          <w:szCs w:val="28"/>
        </w:rPr>
        <w:fldChar w:fldCharType="begin"/>
      </w:r>
      <w:r>
        <w:rPr>
          <w:rFonts w:hint="eastAsia" w:ascii="华文中宋" w:hAnsi="华文中宋" w:eastAsia="华文中宋" w:cs="华文中宋"/>
          <w:sz w:val="28"/>
          <w:szCs w:val="28"/>
        </w:rPr>
        <w:instrText xml:space="preserve"> PAGEREF _Toc31206 \h </w:instrText>
      </w:r>
      <w:r>
        <w:rPr>
          <w:rFonts w:hint="eastAsia" w:ascii="华文中宋" w:hAnsi="华文中宋" w:eastAsia="华文中宋" w:cs="华文中宋"/>
          <w:sz w:val="28"/>
          <w:szCs w:val="28"/>
        </w:rPr>
        <w:fldChar w:fldCharType="separate"/>
      </w:r>
      <w:r>
        <w:rPr>
          <w:rFonts w:hint="eastAsia" w:ascii="华文中宋" w:hAnsi="华文中宋" w:eastAsia="华文中宋" w:cs="华文中宋"/>
          <w:sz w:val="28"/>
          <w:szCs w:val="28"/>
        </w:rPr>
        <w:t>17</w:t>
      </w:r>
      <w:r>
        <w:rPr>
          <w:rFonts w:hint="eastAsia" w:ascii="华文中宋" w:hAnsi="华文中宋" w:eastAsia="华文中宋" w:cs="华文中宋"/>
          <w:sz w:val="28"/>
          <w:szCs w:val="28"/>
        </w:rPr>
        <w:fldChar w:fldCharType="end"/>
      </w:r>
      <w:r>
        <w:rPr>
          <w:rFonts w:hint="eastAsia" w:ascii="华文中宋" w:hAnsi="华文中宋" w:eastAsia="华文中宋" w:cs="华文中宋"/>
          <w:sz w:val="28"/>
          <w:szCs w:val="28"/>
        </w:rPr>
        <w:fldChar w:fldCharType="end"/>
      </w:r>
    </w:p>
    <w:p>
      <w:pPr>
        <w:pStyle w:val="27"/>
        <w:tabs>
          <w:tab w:val="right" w:leader="dot" w:pos="10107"/>
        </w:tabs>
        <w:rPr>
          <w:rFonts w:ascii="华文中宋" w:hAnsi="华文中宋" w:eastAsia="华文中宋" w:cs="华文中宋"/>
          <w:sz w:val="28"/>
          <w:szCs w:val="28"/>
        </w:rPr>
      </w:pPr>
      <w:r>
        <w:fldChar w:fldCharType="begin"/>
      </w:r>
      <w:r>
        <w:instrText xml:space="preserve"> HYPERLINK \l "_Toc30104" </w:instrText>
      </w:r>
      <w:r>
        <w:fldChar w:fldCharType="separate"/>
      </w:r>
      <w:r>
        <w:rPr>
          <w:rFonts w:hint="eastAsia" w:ascii="华文中宋" w:hAnsi="华文中宋" w:eastAsia="华文中宋" w:cs="华文中宋"/>
          <w:sz w:val="28"/>
          <w:szCs w:val="28"/>
        </w:rPr>
        <w:t>4.3 雨水工程规划</w:t>
      </w:r>
      <w:r>
        <w:rPr>
          <w:rFonts w:hint="eastAsia" w:ascii="华文中宋" w:hAnsi="华文中宋" w:eastAsia="华文中宋" w:cs="华文中宋"/>
          <w:sz w:val="28"/>
          <w:szCs w:val="28"/>
        </w:rPr>
        <w:tab/>
      </w:r>
      <w:r>
        <w:rPr>
          <w:rFonts w:hint="eastAsia" w:ascii="华文中宋" w:hAnsi="华文中宋" w:eastAsia="华文中宋" w:cs="华文中宋"/>
          <w:sz w:val="28"/>
          <w:szCs w:val="28"/>
        </w:rPr>
        <w:fldChar w:fldCharType="begin"/>
      </w:r>
      <w:r>
        <w:rPr>
          <w:rFonts w:hint="eastAsia" w:ascii="华文中宋" w:hAnsi="华文中宋" w:eastAsia="华文中宋" w:cs="华文中宋"/>
          <w:sz w:val="28"/>
          <w:szCs w:val="28"/>
        </w:rPr>
        <w:instrText xml:space="preserve"> PAGEREF _Toc30104 \h </w:instrText>
      </w:r>
      <w:r>
        <w:rPr>
          <w:rFonts w:hint="eastAsia" w:ascii="华文中宋" w:hAnsi="华文中宋" w:eastAsia="华文中宋" w:cs="华文中宋"/>
          <w:sz w:val="28"/>
          <w:szCs w:val="28"/>
        </w:rPr>
        <w:fldChar w:fldCharType="separate"/>
      </w:r>
      <w:r>
        <w:rPr>
          <w:rFonts w:hint="eastAsia" w:ascii="华文中宋" w:hAnsi="华文中宋" w:eastAsia="华文中宋" w:cs="华文中宋"/>
          <w:sz w:val="28"/>
          <w:szCs w:val="28"/>
        </w:rPr>
        <w:t>18</w:t>
      </w:r>
      <w:r>
        <w:rPr>
          <w:rFonts w:hint="eastAsia" w:ascii="华文中宋" w:hAnsi="华文中宋" w:eastAsia="华文中宋" w:cs="华文中宋"/>
          <w:sz w:val="28"/>
          <w:szCs w:val="28"/>
        </w:rPr>
        <w:fldChar w:fldCharType="end"/>
      </w:r>
      <w:r>
        <w:rPr>
          <w:rFonts w:hint="eastAsia" w:ascii="华文中宋" w:hAnsi="华文中宋" w:eastAsia="华文中宋" w:cs="华文中宋"/>
          <w:sz w:val="28"/>
          <w:szCs w:val="28"/>
        </w:rPr>
        <w:fldChar w:fldCharType="end"/>
      </w:r>
    </w:p>
    <w:p>
      <w:pPr>
        <w:pStyle w:val="27"/>
        <w:tabs>
          <w:tab w:val="right" w:leader="dot" w:pos="10107"/>
        </w:tabs>
        <w:rPr>
          <w:rFonts w:ascii="华文中宋" w:hAnsi="华文中宋" w:eastAsia="华文中宋" w:cs="华文中宋"/>
          <w:sz w:val="28"/>
          <w:szCs w:val="28"/>
        </w:rPr>
      </w:pPr>
      <w:r>
        <w:fldChar w:fldCharType="begin"/>
      </w:r>
      <w:r>
        <w:instrText xml:space="preserve"> HYPERLINK \l "_Toc18718" </w:instrText>
      </w:r>
      <w:r>
        <w:fldChar w:fldCharType="separate"/>
      </w:r>
      <w:r>
        <w:rPr>
          <w:rFonts w:hint="eastAsia" w:ascii="华文中宋" w:hAnsi="华文中宋" w:eastAsia="华文中宋" w:cs="华文中宋"/>
          <w:sz w:val="28"/>
          <w:szCs w:val="28"/>
        </w:rPr>
        <w:t>4.4 再生水利用规划</w:t>
      </w:r>
      <w:r>
        <w:rPr>
          <w:rFonts w:hint="eastAsia" w:ascii="华文中宋" w:hAnsi="华文中宋" w:eastAsia="华文中宋" w:cs="华文中宋"/>
          <w:sz w:val="28"/>
          <w:szCs w:val="28"/>
        </w:rPr>
        <w:tab/>
      </w:r>
      <w:r>
        <w:rPr>
          <w:rFonts w:hint="eastAsia" w:ascii="华文中宋" w:hAnsi="华文中宋" w:eastAsia="华文中宋" w:cs="华文中宋"/>
          <w:sz w:val="28"/>
          <w:szCs w:val="28"/>
        </w:rPr>
        <w:fldChar w:fldCharType="begin"/>
      </w:r>
      <w:r>
        <w:rPr>
          <w:rFonts w:hint="eastAsia" w:ascii="华文中宋" w:hAnsi="华文中宋" w:eastAsia="华文中宋" w:cs="华文中宋"/>
          <w:sz w:val="28"/>
          <w:szCs w:val="28"/>
        </w:rPr>
        <w:instrText xml:space="preserve"> PAGEREF _Toc18718 \h </w:instrText>
      </w:r>
      <w:r>
        <w:rPr>
          <w:rFonts w:hint="eastAsia" w:ascii="华文中宋" w:hAnsi="华文中宋" w:eastAsia="华文中宋" w:cs="华文中宋"/>
          <w:sz w:val="28"/>
          <w:szCs w:val="28"/>
        </w:rPr>
        <w:fldChar w:fldCharType="separate"/>
      </w:r>
      <w:r>
        <w:rPr>
          <w:rFonts w:hint="eastAsia" w:ascii="华文中宋" w:hAnsi="华文中宋" w:eastAsia="华文中宋" w:cs="华文中宋"/>
          <w:sz w:val="28"/>
          <w:szCs w:val="28"/>
        </w:rPr>
        <w:t>19</w:t>
      </w:r>
      <w:r>
        <w:rPr>
          <w:rFonts w:hint="eastAsia" w:ascii="华文中宋" w:hAnsi="华文中宋" w:eastAsia="华文中宋" w:cs="华文中宋"/>
          <w:sz w:val="28"/>
          <w:szCs w:val="28"/>
        </w:rPr>
        <w:fldChar w:fldCharType="end"/>
      </w:r>
      <w:r>
        <w:rPr>
          <w:rFonts w:hint="eastAsia" w:ascii="华文中宋" w:hAnsi="华文中宋" w:eastAsia="华文中宋" w:cs="华文中宋"/>
          <w:sz w:val="28"/>
          <w:szCs w:val="28"/>
        </w:rPr>
        <w:fldChar w:fldCharType="end"/>
      </w:r>
    </w:p>
    <w:p>
      <w:pPr>
        <w:pStyle w:val="27"/>
        <w:tabs>
          <w:tab w:val="right" w:leader="dot" w:pos="10107"/>
        </w:tabs>
        <w:rPr>
          <w:rFonts w:ascii="华文中宋" w:hAnsi="华文中宋" w:eastAsia="华文中宋" w:cs="华文中宋"/>
          <w:sz w:val="28"/>
          <w:szCs w:val="28"/>
        </w:rPr>
      </w:pPr>
      <w:r>
        <w:fldChar w:fldCharType="begin"/>
      </w:r>
      <w:r>
        <w:instrText xml:space="preserve"> HYPERLINK \l "_Toc4584" </w:instrText>
      </w:r>
      <w:r>
        <w:fldChar w:fldCharType="separate"/>
      </w:r>
      <w:r>
        <w:rPr>
          <w:rFonts w:hint="eastAsia" w:ascii="华文中宋" w:hAnsi="华文中宋" w:eastAsia="华文中宋" w:cs="华文中宋"/>
          <w:sz w:val="28"/>
          <w:szCs w:val="28"/>
        </w:rPr>
        <w:t>4.5 电力工程规划</w:t>
      </w:r>
      <w:r>
        <w:rPr>
          <w:rFonts w:hint="eastAsia" w:ascii="华文中宋" w:hAnsi="华文中宋" w:eastAsia="华文中宋" w:cs="华文中宋"/>
          <w:sz w:val="28"/>
          <w:szCs w:val="28"/>
        </w:rPr>
        <w:tab/>
      </w:r>
      <w:r>
        <w:rPr>
          <w:rFonts w:hint="eastAsia" w:ascii="华文中宋" w:hAnsi="华文中宋" w:eastAsia="华文中宋" w:cs="华文中宋"/>
          <w:sz w:val="28"/>
          <w:szCs w:val="28"/>
        </w:rPr>
        <w:fldChar w:fldCharType="begin"/>
      </w:r>
      <w:r>
        <w:rPr>
          <w:rFonts w:hint="eastAsia" w:ascii="华文中宋" w:hAnsi="华文中宋" w:eastAsia="华文中宋" w:cs="华文中宋"/>
          <w:sz w:val="28"/>
          <w:szCs w:val="28"/>
        </w:rPr>
        <w:instrText xml:space="preserve"> PAGEREF _Toc4584 \h </w:instrText>
      </w:r>
      <w:r>
        <w:rPr>
          <w:rFonts w:hint="eastAsia" w:ascii="华文中宋" w:hAnsi="华文中宋" w:eastAsia="华文中宋" w:cs="华文中宋"/>
          <w:sz w:val="28"/>
          <w:szCs w:val="28"/>
        </w:rPr>
        <w:fldChar w:fldCharType="separate"/>
      </w:r>
      <w:r>
        <w:rPr>
          <w:rFonts w:hint="eastAsia" w:ascii="华文中宋" w:hAnsi="华文中宋" w:eastAsia="华文中宋" w:cs="华文中宋"/>
          <w:sz w:val="28"/>
          <w:szCs w:val="28"/>
        </w:rPr>
        <w:t>19</w:t>
      </w:r>
      <w:r>
        <w:rPr>
          <w:rFonts w:hint="eastAsia" w:ascii="华文中宋" w:hAnsi="华文中宋" w:eastAsia="华文中宋" w:cs="华文中宋"/>
          <w:sz w:val="28"/>
          <w:szCs w:val="28"/>
        </w:rPr>
        <w:fldChar w:fldCharType="end"/>
      </w:r>
      <w:r>
        <w:rPr>
          <w:rFonts w:hint="eastAsia" w:ascii="华文中宋" w:hAnsi="华文中宋" w:eastAsia="华文中宋" w:cs="华文中宋"/>
          <w:sz w:val="28"/>
          <w:szCs w:val="28"/>
        </w:rPr>
        <w:fldChar w:fldCharType="end"/>
      </w:r>
    </w:p>
    <w:p>
      <w:pPr>
        <w:pStyle w:val="27"/>
        <w:tabs>
          <w:tab w:val="right" w:leader="dot" w:pos="10107"/>
        </w:tabs>
        <w:rPr>
          <w:rFonts w:ascii="华文中宋" w:hAnsi="华文中宋" w:eastAsia="华文中宋" w:cs="华文中宋"/>
          <w:sz w:val="28"/>
          <w:szCs w:val="28"/>
        </w:rPr>
      </w:pPr>
      <w:r>
        <w:fldChar w:fldCharType="begin"/>
      </w:r>
      <w:r>
        <w:instrText xml:space="preserve"> HYPERLINK \l "_Toc26599" </w:instrText>
      </w:r>
      <w:r>
        <w:fldChar w:fldCharType="separate"/>
      </w:r>
      <w:r>
        <w:rPr>
          <w:rFonts w:hint="eastAsia" w:ascii="华文中宋" w:hAnsi="华文中宋" w:eastAsia="华文中宋" w:cs="华文中宋"/>
          <w:sz w:val="28"/>
          <w:szCs w:val="28"/>
        </w:rPr>
        <w:t>4.6 通信工程规划</w:t>
      </w:r>
      <w:r>
        <w:rPr>
          <w:rFonts w:hint="eastAsia" w:ascii="华文中宋" w:hAnsi="华文中宋" w:eastAsia="华文中宋" w:cs="华文中宋"/>
          <w:sz w:val="28"/>
          <w:szCs w:val="28"/>
        </w:rPr>
        <w:tab/>
      </w:r>
      <w:r>
        <w:rPr>
          <w:rFonts w:hint="eastAsia" w:ascii="华文中宋" w:hAnsi="华文中宋" w:eastAsia="华文中宋" w:cs="华文中宋"/>
          <w:sz w:val="28"/>
          <w:szCs w:val="28"/>
        </w:rPr>
        <w:fldChar w:fldCharType="begin"/>
      </w:r>
      <w:r>
        <w:rPr>
          <w:rFonts w:hint="eastAsia" w:ascii="华文中宋" w:hAnsi="华文中宋" w:eastAsia="华文中宋" w:cs="华文中宋"/>
          <w:sz w:val="28"/>
          <w:szCs w:val="28"/>
        </w:rPr>
        <w:instrText xml:space="preserve"> PAGEREF _Toc26599 \h </w:instrText>
      </w:r>
      <w:r>
        <w:rPr>
          <w:rFonts w:hint="eastAsia" w:ascii="华文中宋" w:hAnsi="华文中宋" w:eastAsia="华文中宋" w:cs="华文中宋"/>
          <w:sz w:val="28"/>
          <w:szCs w:val="28"/>
        </w:rPr>
        <w:fldChar w:fldCharType="separate"/>
      </w:r>
      <w:r>
        <w:rPr>
          <w:rFonts w:hint="eastAsia" w:ascii="华文中宋" w:hAnsi="华文中宋" w:eastAsia="华文中宋" w:cs="华文中宋"/>
          <w:sz w:val="28"/>
          <w:szCs w:val="28"/>
        </w:rPr>
        <w:t>20</w:t>
      </w:r>
      <w:r>
        <w:rPr>
          <w:rFonts w:hint="eastAsia" w:ascii="华文中宋" w:hAnsi="华文中宋" w:eastAsia="华文中宋" w:cs="华文中宋"/>
          <w:sz w:val="28"/>
          <w:szCs w:val="28"/>
        </w:rPr>
        <w:fldChar w:fldCharType="end"/>
      </w:r>
      <w:r>
        <w:rPr>
          <w:rFonts w:hint="eastAsia" w:ascii="华文中宋" w:hAnsi="华文中宋" w:eastAsia="华文中宋" w:cs="华文中宋"/>
          <w:sz w:val="28"/>
          <w:szCs w:val="28"/>
        </w:rPr>
        <w:fldChar w:fldCharType="end"/>
      </w:r>
    </w:p>
    <w:p>
      <w:pPr>
        <w:pStyle w:val="27"/>
        <w:tabs>
          <w:tab w:val="right" w:leader="dot" w:pos="10107"/>
        </w:tabs>
        <w:rPr>
          <w:rFonts w:ascii="华文中宋" w:hAnsi="华文中宋" w:eastAsia="华文中宋" w:cs="华文中宋"/>
          <w:sz w:val="28"/>
          <w:szCs w:val="28"/>
        </w:rPr>
      </w:pPr>
      <w:r>
        <w:fldChar w:fldCharType="begin"/>
      </w:r>
      <w:r>
        <w:instrText xml:space="preserve"> HYPERLINK \l "_Toc9604" </w:instrText>
      </w:r>
      <w:r>
        <w:fldChar w:fldCharType="separate"/>
      </w:r>
      <w:r>
        <w:rPr>
          <w:rFonts w:hint="eastAsia" w:ascii="华文中宋" w:hAnsi="华文中宋" w:eastAsia="华文中宋" w:cs="华文中宋"/>
          <w:sz w:val="28"/>
          <w:szCs w:val="28"/>
        </w:rPr>
        <w:t>4.7 燃气工程规划</w:t>
      </w:r>
      <w:r>
        <w:rPr>
          <w:rFonts w:hint="eastAsia" w:ascii="华文中宋" w:hAnsi="华文中宋" w:eastAsia="华文中宋" w:cs="华文中宋"/>
          <w:sz w:val="28"/>
          <w:szCs w:val="28"/>
        </w:rPr>
        <w:tab/>
      </w:r>
      <w:r>
        <w:rPr>
          <w:rFonts w:hint="eastAsia" w:ascii="华文中宋" w:hAnsi="华文中宋" w:eastAsia="华文中宋" w:cs="华文中宋"/>
          <w:sz w:val="28"/>
          <w:szCs w:val="28"/>
        </w:rPr>
        <w:fldChar w:fldCharType="begin"/>
      </w:r>
      <w:r>
        <w:rPr>
          <w:rFonts w:hint="eastAsia" w:ascii="华文中宋" w:hAnsi="华文中宋" w:eastAsia="华文中宋" w:cs="华文中宋"/>
          <w:sz w:val="28"/>
          <w:szCs w:val="28"/>
        </w:rPr>
        <w:instrText xml:space="preserve"> PAGEREF _Toc9604 \h </w:instrText>
      </w:r>
      <w:r>
        <w:rPr>
          <w:rFonts w:hint="eastAsia" w:ascii="华文中宋" w:hAnsi="华文中宋" w:eastAsia="华文中宋" w:cs="华文中宋"/>
          <w:sz w:val="28"/>
          <w:szCs w:val="28"/>
        </w:rPr>
        <w:fldChar w:fldCharType="separate"/>
      </w:r>
      <w:r>
        <w:rPr>
          <w:rFonts w:hint="eastAsia" w:ascii="华文中宋" w:hAnsi="华文中宋" w:eastAsia="华文中宋" w:cs="华文中宋"/>
          <w:sz w:val="28"/>
          <w:szCs w:val="28"/>
        </w:rPr>
        <w:t>20</w:t>
      </w:r>
      <w:r>
        <w:rPr>
          <w:rFonts w:hint="eastAsia" w:ascii="华文中宋" w:hAnsi="华文中宋" w:eastAsia="华文中宋" w:cs="华文中宋"/>
          <w:sz w:val="28"/>
          <w:szCs w:val="28"/>
        </w:rPr>
        <w:fldChar w:fldCharType="end"/>
      </w:r>
      <w:r>
        <w:rPr>
          <w:rFonts w:hint="eastAsia" w:ascii="华文中宋" w:hAnsi="华文中宋" w:eastAsia="华文中宋" w:cs="华文中宋"/>
          <w:sz w:val="28"/>
          <w:szCs w:val="28"/>
        </w:rPr>
        <w:fldChar w:fldCharType="end"/>
      </w:r>
    </w:p>
    <w:p>
      <w:pPr>
        <w:pStyle w:val="27"/>
        <w:tabs>
          <w:tab w:val="right" w:leader="dot" w:pos="10107"/>
        </w:tabs>
        <w:rPr>
          <w:rFonts w:ascii="华文中宋" w:hAnsi="华文中宋" w:eastAsia="华文中宋" w:cs="华文中宋"/>
          <w:sz w:val="28"/>
          <w:szCs w:val="28"/>
        </w:rPr>
      </w:pPr>
      <w:r>
        <w:fldChar w:fldCharType="begin"/>
      </w:r>
      <w:r>
        <w:instrText xml:space="preserve"> HYPERLINK \l "_Toc31693" </w:instrText>
      </w:r>
      <w:r>
        <w:fldChar w:fldCharType="separate"/>
      </w:r>
      <w:r>
        <w:rPr>
          <w:rFonts w:hint="eastAsia" w:ascii="华文中宋" w:hAnsi="华文中宋" w:eastAsia="华文中宋" w:cs="华文中宋"/>
          <w:sz w:val="28"/>
          <w:szCs w:val="28"/>
        </w:rPr>
        <w:t>4.8 供热工程规划</w:t>
      </w:r>
      <w:r>
        <w:rPr>
          <w:rFonts w:hint="eastAsia" w:ascii="华文中宋" w:hAnsi="华文中宋" w:eastAsia="华文中宋" w:cs="华文中宋"/>
          <w:sz w:val="28"/>
          <w:szCs w:val="28"/>
        </w:rPr>
        <w:tab/>
      </w:r>
      <w:r>
        <w:rPr>
          <w:rFonts w:hint="eastAsia" w:ascii="华文中宋" w:hAnsi="华文中宋" w:eastAsia="华文中宋" w:cs="华文中宋"/>
          <w:sz w:val="28"/>
          <w:szCs w:val="28"/>
        </w:rPr>
        <w:fldChar w:fldCharType="begin"/>
      </w:r>
      <w:r>
        <w:rPr>
          <w:rFonts w:hint="eastAsia" w:ascii="华文中宋" w:hAnsi="华文中宋" w:eastAsia="华文中宋" w:cs="华文中宋"/>
          <w:sz w:val="28"/>
          <w:szCs w:val="28"/>
        </w:rPr>
        <w:instrText xml:space="preserve"> PAGEREF _Toc31693 \h </w:instrText>
      </w:r>
      <w:r>
        <w:rPr>
          <w:rFonts w:hint="eastAsia" w:ascii="华文中宋" w:hAnsi="华文中宋" w:eastAsia="华文中宋" w:cs="华文中宋"/>
          <w:sz w:val="28"/>
          <w:szCs w:val="28"/>
        </w:rPr>
        <w:fldChar w:fldCharType="separate"/>
      </w:r>
      <w:r>
        <w:rPr>
          <w:rFonts w:hint="eastAsia" w:ascii="华文中宋" w:hAnsi="华文中宋" w:eastAsia="华文中宋" w:cs="华文中宋"/>
          <w:sz w:val="28"/>
          <w:szCs w:val="28"/>
        </w:rPr>
        <w:t>21</w:t>
      </w:r>
      <w:r>
        <w:rPr>
          <w:rFonts w:hint="eastAsia" w:ascii="华文中宋" w:hAnsi="华文中宋" w:eastAsia="华文中宋" w:cs="华文中宋"/>
          <w:sz w:val="28"/>
          <w:szCs w:val="28"/>
        </w:rPr>
        <w:fldChar w:fldCharType="end"/>
      </w:r>
      <w:r>
        <w:rPr>
          <w:rFonts w:hint="eastAsia" w:ascii="华文中宋" w:hAnsi="华文中宋" w:eastAsia="华文中宋" w:cs="华文中宋"/>
          <w:sz w:val="28"/>
          <w:szCs w:val="28"/>
        </w:rPr>
        <w:fldChar w:fldCharType="end"/>
      </w:r>
    </w:p>
    <w:p>
      <w:pPr>
        <w:pStyle w:val="27"/>
        <w:tabs>
          <w:tab w:val="right" w:leader="dot" w:pos="10107"/>
        </w:tabs>
      </w:pPr>
      <w:r>
        <w:fldChar w:fldCharType="begin"/>
      </w:r>
      <w:r>
        <w:instrText xml:space="preserve"> HYPERLINK \l "_Toc8642" </w:instrText>
      </w:r>
      <w:r>
        <w:fldChar w:fldCharType="separate"/>
      </w:r>
      <w:r>
        <w:rPr>
          <w:rFonts w:hint="eastAsia" w:ascii="华文中宋" w:hAnsi="华文中宋" w:eastAsia="华文中宋" w:cs="华文中宋"/>
          <w:sz w:val="28"/>
          <w:szCs w:val="28"/>
        </w:rPr>
        <w:t>4.9 管线综合</w:t>
      </w:r>
      <w:r>
        <w:rPr>
          <w:rFonts w:hint="eastAsia" w:ascii="华文中宋" w:hAnsi="华文中宋" w:eastAsia="华文中宋" w:cs="华文中宋"/>
          <w:sz w:val="28"/>
          <w:szCs w:val="28"/>
        </w:rPr>
        <w:tab/>
      </w:r>
      <w:r>
        <w:rPr>
          <w:rFonts w:hint="eastAsia" w:ascii="华文中宋" w:hAnsi="华文中宋" w:eastAsia="华文中宋" w:cs="华文中宋"/>
          <w:sz w:val="28"/>
          <w:szCs w:val="28"/>
        </w:rPr>
        <w:fldChar w:fldCharType="begin"/>
      </w:r>
      <w:r>
        <w:rPr>
          <w:rFonts w:hint="eastAsia" w:ascii="华文中宋" w:hAnsi="华文中宋" w:eastAsia="华文中宋" w:cs="华文中宋"/>
          <w:sz w:val="28"/>
          <w:szCs w:val="28"/>
        </w:rPr>
        <w:instrText xml:space="preserve"> PAGEREF _Toc8642 \h </w:instrText>
      </w:r>
      <w:r>
        <w:rPr>
          <w:rFonts w:hint="eastAsia" w:ascii="华文中宋" w:hAnsi="华文中宋" w:eastAsia="华文中宋" w:cs="华文中宋"/>
          <w:sz w:val="28"/>
          <w:szCs w:val="28"/>
        </w:rPr>
        <w:fldChar w:fldCharType="separate"/>
      </w:r>
      <w:r>
        <w:rPr>
          <w:rFonts w:hint="eastAsia" w:ascii="华文中宋" w:hAnsi="华文中宋" w:eastAsia="华文中宋" w:cs="华文中宋"/>
          <w:sz w:val="28"/>
          <w:szCs w:val="28"/>
        </w:rPr>
        <w:t>23</w:t>
      </w:r>
      <w:r>
        <w:rPr>
          <w:rFonts w:hint="eastAsia" w:ascii="华文中宋" w:hAnsi="华文中宋" w:eastAsia="华文中宋" w:cs="华文中宋"/>
          <w:sz w:val="28"/>
          <w:szCs w:val="28"/>
        </w:rPr>
        <w:fldChar w:fldCharType="end"/>
      </w:r>
      <w:r>
        <w:rPr>
          <w:rFonts w:hint="eastAsia" w:ascii="华文中宋" w:hAnsi="华文中宋" w:eastAsia="华文中宋" w:cs="华文中宋"/>
          <w:sz w:val="28"/>
          <w:szCs w:val="28"/>
        </w:rPr>
        <w:fldChar w:fldCharType="end"/>
      </w:r>
    </w:p>
    <w:p>
      <w:pPr>
        <w:pStyle w:val="60"/>
        <w:keepNext/>
        <w:keepLines/>
        <w:pageBreakBefore/>
        <w:widowControl/>
        <w:spacing w:before="624" w:beforeLines="200"/>
        <w:jc w:val="center"/>
        <w:rPr>
          <w:rFonts w:ascii="华文中宋" w:hAnsi="华文中宋" w:eastAsia="华文中宋" w:cs="华文中宋"/>
          <w:b/>
          <w:bCs/>
          <w:kern w:val="44"/>
          <w:sz w:val="44"/>
          <w:szCs w:val="44"/>
        </w:rPr>
      </w:pPr>
      <w:r>
        <w:rPr>
          <w:rFonts w:hint="eastAsia" w:ascii="华文中宋" w:hAnsi="华文中宋" w:eastAsia="华文中宋" w:cs="华文中宋"/>
          <w:sz w:val="21"/>
          <w:szCs w:val="21"/>
        </w:rPr>
        <w:fldChar w:fldCharType="end"/>
      </w:r>
      <w:bookmarkStart w:id="17" w:name="_Toc495482499"/>
      <w:bookmarkStart w:id="18" w:name="_Toc469569963"/>
      <w:bookmarkStart w:id="19" w:name="_Toc469586215"/>
      <w:bookmarkStart w:id="20" w:name="_Toc198785257"/>
      <w:bookmarkStart w:id="21" w:name="_Toc219647913"/>
      <w:bookmarkStart w:id="22" w:name="_Toc469559229"/>
      <w:bookmarkStart w:id="23" w:name="_Toc469568949"/>
      <w:bookmarkStart w:id="24" w:name="_Toc469569026"/>
      <w:r>
        <w:rPr>
          <w:rFonts w:hint="eastAsia" w:ascii="华文中宋" w:hAnsi="华文中宋" w:eastAsia="华文中宋" w:cs="华文中宋"/>
          <w:b/>
          <w:bCs/>
          <w:kern w:val="44"/>
          <w:sz w:val="44"/>
          <w:szCs w:val="44"/>
        </w:rPr>
        <w:t xml:space="preserve">第一章 </w:t>
      </w:r>
      <w:bookmarkEnd w:id="17"/>
      <w:r>
        <w:rPr>
          <w:rFonts w:hint="eastAsia" w:ascii="华文中宋" w:hAnsi="华文中宋" w:eastAsia="华文中宋" w:cs="华文中宋"/>
          <w:b/>
          <w:bCs/>
          <w:kern w:val="44"/>
          <w:sz w:val="44"/>
          <w:szCs w:val="44"/>
        </w:rPr>
        <w:t>调整原因和主要内容</w:t>
      </w:r>
    </w:p>
    <w:p>
      <w:pPr>
        <w:pStyle w:val="4"/>
        <w:spacing w:before="260" w:after="260"/>
        <w:rPr>
          <w:rFonts w:ascii="华文中宋" w:hAnsi="华文中宋" w:eastAsia="华文中宋" w:cs="华文中宋"/>
        </w:rPr>
      </w:pPr>
      <w:bookmarkStart w:id="25" w:name="_Toc495482500"/>
      <w:bookmarkStart w:id="26" w:name="_Toc20822"/>
      <w:r>
        <w:rPr>
          <w:rFonts w:hint="eastAsia" w:ascii="华文中宋" w:hAnsi="华文中宋" w:eastAsia="华文中宋" w:cs="华文中宋"/>
        </w:rPr>
        <w:t xml:space="preserve">1.1 </w:t>
      </w:r>
      <w:bookmarkEnd w:id="25"/>
      <w:r>
        <w:rPr>
          <w:rFonts w:hint="eastAsia" w:ascii="华文中宋" w:hAnsi="华文中宋" w:eastAsia="华文中宋" w:cs="华文中宋"/>
        </w:rPr>
        <w:t>原控制性详细规划概况</w:t>
      </w:r>
      <w:bookmarkEnd w:id="26"/>
    </w:p>
    <w:p>
      <w:pPr>
        <w:spacing w:line="360" w:lineRule="auto"/>
        <w:ind w:firstLine="560" w:firstLineChars="200"/>
        <w:rPr>
          <w:rFonts w:ascii="华文中宋" w:hAnsi="华文中宋" w:eastAsia="华文中宋" w:cs="华文中宋"/>
          <w:sz w:val="28"/>
          <w:szCs w:val="28"/>
        </w:rPr>
      </w:pPr>
      <w:bookmarkStart w:id="27" w:name="OLE_LINK144"/>
      <w:r>
        <w:rPr>
          <w:rFonts w:hint="eastAsia" w:ascii="华文中宋" w:hAnsi="华文中宋" w:eastAsia="华文中宋" w:cs="华文中宋"/>
          <w:sz w:val="28"/>
          <w:szCs w:val="28"/>
        </w:rPr>
        <w:t>《乌海经济开发区乌达工业园控制性详细规划》于2021年9月经乌海市自然资源局组织专家评审通过，同年11月经乌海市国土空间规划委员会审查通过，于2022年9月经乌海市人民政府批准通过。</w:t>
      </w:r>
    </w:p>
    <w:p>
      <w:pPr>
        <w:spacing w:line="360" w:lineRule="auto"/>
        <w:ind w:firstLine="560" w:firstLineChars="200"/>
        <w:rPr>
          <w:rFonts w:ascii="华文中宋" w:hAnsi="华文中宋" w:eastAsia="华文中宋" w:cs="华文中宋"/>
          <w:sz w:val="28"/>
          <w:szCs w:val="28"/>
        </w:rPr>
      </w:pPr>
      <w:r>
        <w:rPr>
          <w:rFonts w:hint="eastAsia" w:ascii="华文中宋" w:hAnsi="华文中宋" w:eastAsia="华文中宋" w:cs="华文中宋"/>
          <w:sz w:val="28"/>
          <w:szCs w:val="28"/>
        </w:rPr>
        <w:t>乌海经济开发区乌达工业园的发展定位是：充分利用资源、区位、交通、产业基础和原料资源优势，以一体化的模式构筑氯碱化工、煤焦化工、精细化工和化工新材料产业的共同发展，形成独具特色的化工产业集群，并带动其他相关产业的发展，使其成为地区经济社会发展的重要增长极。</w:t>
      </w:r>
    </w:p>
    <w:p>
      <w:pPr>
        <w:spacing w:line="360" w:lineRule="auto"/>
        <w:ind w:firstLine="560" w:firstLineChars="200"/>
        <w:rPr>
          <w:rFonts w:ascii="华文中宋" w:hAnsi="华文中宋" w:eastAsia="华文中宋" w:cs="华文中宋"/>
          <w:sz w:val="28"/>
          <w:szCs w:val="28"/>
        </w:rPr>
      </w:pPr>
      <w:r>
        <w:rPr>
          <w:rFonts w:hint="eastAsia" w:ascii="华文中宋" w:hAnsi="华文中宋" w:eastAsia="华文中宋" w:cs="华文中宋"/>
          <w:sz w:val="28"/>
          <w:szCs w:val="28"/>
        </w:rPr>
        <w:t>规划总用地面积3926.25公顷，其中建设用地3254.92公顷，非建设用地671.33公顷。城市建设用地3175.43公顷，包括公共管理与公共服务设施用地6.81公顷，商业服务业设施用地27.96公顷，工业用地2096.41公顷，物流仓储用地面积299.59公顷，规划区人口规模约三万人，地上建筑总面积约17834503.4平方米。</w:t>
      </w:r>
    </w:p>
    <w:p>
      <w:pPr>
        <w:spacing w:line="360" w:lineRule="auto"/>
        <w:ind w:firstLine="560" w:firstLineChars="200"/>
        <w:rPr>
          <w:rFonts w:ascii="华文中宋" w:hAnsi="华文中宋" w:eastAsia="华文中宋" w:cs="华文中宋"/>
          <w:sz w:val="28"/>
          <w:szCs w:val="28"/>
        </w:rPr>
      </w:pPr>
      <w:r>
        <w:rPr>
          <w:rFonts w:hint="eastAsia" w:ascii="华文中宋" w:hAnsi="华文中宋" w:eastAsia="华文中宋" w:cs="华文中宋"/>
          <w:sz w:val="28"/>
          <w:szCs w:val="28"/>
        </w:rPr>
        <w:t>功能分区为：沃尔特沟以北区域为新建区，未来逐步拆除五虎山矿区居民点，打造低污染的新型产业片区；沃尔特沟以南110国道以西区域为老工业片区，规划重点在于完善、优化、提升，逐步淘汰落后产业，整合用地资源，调整产业结构，高标准引入更优企业；110国道以东区域，沿黄河部分以打造生态为主，除保留现有企业外，结合交通优势新建物流仓储、新能源等低污染产业区，落实总体规划乌达物流功能片区，减少对黄河生态环境影响。</w:t>
      </w:r>
    </w:p>
    <w:p>
      <w:pPr>
        <w:spacing w:line="360" w:lineRule="auto"/>
        <w:ind w:firstLine="560" w:firstLineChars="200"/>
        <w:rPr>
          <w:rFonts w:ascii="华文中宋" w:hAnsi="华文中宋" w:eastAsia="华文中宋" w:cs="华文中宋"/>
          <w:sz w:val="28"/>
          <w:szCs w:val="28"/>
        </w:rPr>
      </w:pPr>
      <w:r>
        <w:rPr>
          <w:rFonts w:hint="eastAsia" w:ascii="华文中宋" w:hAnsi="华文中宋" w:eastAsia="华文中宋" w:cs="华文中宋"/>
          <w:sz w:val="28"/>
          <w:szCs w:val="28"/>
        </w:rPr>
        <w:t>控规将园区划定为A、B、C三区进行控制并绘制图则：以沃尔特沟为界北部区域划定为A区，南部划定为B区，110国道以东划定为C区，A区共划分为18个地块，B区共划分为14个地块，C共划分为6个地块。</w:t>
      </w:r>
    </w:p>
    <w:p>
      <w:pPr>
        <w:pStyle w:val="2"/>
        <w:ind w:firstLine="560"/>
      </w:pPr>
      <w:r>
        <w:rPr>
          <w:rFonts w:hint="eastAsia" w:ascii="华文中宋" w:hAnsi="华文中宋" w:eastAsia="华文中宋" w:cs="华文中宋"/>
          <w:sz w:val="28"/>
          <w:szCs w:val="28"/>
        </w:rPr>
        <w:t>规划的编制和实施对园区土地利用和各项建设项目起到了良好的作用。</w:t>
      </w:r>
    </w:p>
    <w:bookmarkEnd w:id="27"/>
    <w:p>
      <w:pPr>
        <w:pStyle w:val="4"/>
        <w:spacing w:before="260" w:after="260"/>
        <w:rPr>
          <w:rFonts w:ascii="华文中宋" w:hAnsi="华文中宋" w:eastAsia="华文中宋" w:cs="华文中宋"/>
          <w:sz w:val="30"/>
          <w:szCs w:val="30"/>
        </w:rPr>
      </w:pPr>
      <w:bookmarkStart w:id="28" w:name="_Toc495482503"/>
      <w:bookmarkStart w:id="29" w:name="_Toc4390"/>
      <w:r>
        <w:rPr>
          <w:rFonts w:hint="eastAsia" w:ascii="华文中宋" w:hAnsi="华文中宋" w:eastAsia="华文中宋" w:cs="华文中宋"/>
        </w:rPr>
        <w:t xml:space="preserve">1.2 </w:t>
      </w:r>
      <w:bookmarkEnd w:id="28"/>
      <w:r>
        <w:rPr>
          <w:rFonts w:hint="eastAsia" w:ascii="华文中宋" w:hAnsi="华文中宋" w:eastAsia="华文中宋" w:cs="华文中宋"/>
        </w:rPr>
        <w:t>调整原因及依据</w:t>
      </w:r>
      <w:bookmarkEnd w:id="29"/>
    </w:p>
    <w:p>
      <w:pPr>
        <w:pStyle w:val="54"/>
        <w:numPr>
          <w:ilvl w:val="0"/>
          <w:numId w:val="1"/>
        </w:numPr>
        <w:spacing w:line="360" w:lineRule="auto"/>
        <w:ind w:firstLineChars="0"/>
        <w:rPr>
          <w:rFonts w:ascii="华文中宋" w:hAnsi="华文中宋" w:eastAsia="华文中宋" w:cs="华文中宋"/>
          <w:sz w:val="28"/>
          <w:szCs w:val="28"/>
        </w:rPr>
      </w:pPr>
      <w:bookmarkStart w:id="30" w:name="OLE_LINK3"/>
      <w:bookmarkStart w:id="31" w:name="OLE_LINK138"/>
      <w:bookmarkStart w:id="32" w:name="OLE_LINK139"/>
      <w:bookmarkStart w:id="33" w:name="_Toc495482504"/>
      <w:r>
        <w:rPr>
          <w:rFonts w:hint="eastAsia" w:ascii="华文中宋" w:hAnsi="华文中宋" w:eastAsia="华文中宋" w:cs="华文中宋"/>
          <w:sz w:val="28"/>
          <w:szCs w:val="28"/>
        </w:rPr>
        <w:t>乌海市国土空间总体规划的编制对控制性详细规划提出了更高更新的要求，“三区三线”的划定使原规划建设用地范围发生了重大变化。</w:t>
      </w:r>
    </w:p>
    <w:p>
      <w:pPr>
        <w:pStyle w:val="54"/>
        <w:numPr>
          <w:ilvl w:val="0"/>
          <w:numId w:val="1"/>
        </w:numPr>
        <w:spacing w:line="360" w:lineRule="auto"/>
        <w:ind w:firstLineChars="0"/>
        <w:rPr>
          <w:rFonts w:ascii="华文中宋" w:hAnsi="华文中宋" w:eastAsia="华文中宋" w:cs="华文中宋"/>
          <w:sz w:val="28"/>
          <w:szCs w:val="28"/>
        </w:rPr>
      </w:pPr>
      <w:r>
        <w:rPr>
          <w:rFonts w:hint="eastAsia" w:ascii="华文中宋" w:hAnsi="华文中宋" w:eastAsia="华文中宋" w:cs="华文中宋"/>
          <w:sz w:val="28"/>
          <w:szCs w:val="28"/>
        </w:rPr>
        <w:t>乌海经济开发区乌达工业园更名为乌海高新技术产业开发区乌达产业园</w:t>
      </w:r>
      <w:bookmarkEnd w:id="30"/>
      <w:r>
        <w:rPr>
          <w:rFonts w:hint="eastAsia" w:ascii="华文中宋" w:hAnsi="华文中宋" w:eastAsia="华文中宋" w:cs="华文中宋"/>
          <w:sz w:val="28"/>
          <w:szCs w:val="28"/>
        </w:rPr>
        <w:t>。</w:t>
      </w:r>
    </w:p>
    <w:p>
      <w:pPr>
        <w:pStyle w:val="54"/>
        <w:numPr>
          <w:ilvl w:val="0"/>
          <w:numId w:val="1"/>
        </w:numPr>
        <w:spacing w:line="360" w:lineRule="auto"/>
        <w:ind w:firstLineChars="0"/>
        <w:rPr>
          <w:rFonts w:ascii="华文中宋" w:hAnsi="华文中宋" w:eastAsia="华文中宋" w:cs="华文中宋"/>
          <w:sz w:val="28"/>
          <w:szCs w:val="28"/>
        </w:rPr>
      </w:pPr>
      <w:r>
        <w:rPr>
          <w:rFonts w:hint="eastAsia" w:ascii="华文中宋" w:hAnsi="华文中宋" w:eastAsia="华文中宋" w:cs="华文中宋"/>
          <w:sz w:val="28"/>
          <w:szCs w:val="28"/>
        </w:rPr>
        <w:t>重大项目选址于园区A区，亟需对A区整体空间布局进行优化调整。</w:t>
      </w:r>
    </w:p>
    <w:p>
      <w:pPr>
        <w:pStyle w:val="54"/>
        <w:numPr>
          <w:ilvl w:val="0"/>
          <w:numId w:val="1"/>
        </w:numPr>
        <w:spacing w:line="360" w:lineRule="auto"/>
        <w:ind w:firstLineChars="0"/>
        <w:rPr>
          <w:rFonts w:ascii="华文中宋" w:hAnsi="华文中宋" w:eastAsia="华文中宋" w:cs="华文中宋"/>
          <w:sz w:val="28"/>
          <w:szCs w:val="28"/>
        </w:rPr>
      </w:pPr>
      <w:r>
        <w:rPr>
          <w:rFonts w:hint="eastAsia" w:ascii="华文中宋" w:hAnsi="华文中宋" w:eastAsia="华文中宋" w:cs="华文中宋"/>
          <w:sz w:val="28"/>
          <w:szCs w:val="28"/>
        </w:rPr>
        <w:t>部分规划地块和道路在实际使用中不能满足项目建设需求。</w:t>
      </w:r>
    </w:p>
    <w:p>
      <w:pPr>
        <w:pStyle w:val="54"/>
        <w:spacing w:line="360" w:lineRule="auto"/>
        <w:ind w:left="480" w:firstLine="0" w:firstLineChars="0"/>
        <w:rPr>
          <w:rFonts w:ascii="华文中宋" w:hAnsi="华文中宋" w:eastAsia="华文中宋" w:cs="华文中宋"/>
          <w:sz w:val="28"/>
          <w:szCs w:val="28"/>
        </w:rPr>
      </w:pPr>
      <w:r>
        <w:rPr>
          <w:rFonts w:hint="eastAsia" w:ascii="华文中宋" w:hAnsi="华文中宋" w:eastAsia="华文中宋" w:cs="华文中宋"/>
          <w:sz w:val="28"/>
          <w:szCs w:val="28"/>
        </w:rPr>
        <w:t>（5）控规调整同时依据以下相关项目文件：</w:t>
      </w:r>
    </w:p>
    <w:p>
      <w:pPr>
        <w:pStyle w:val="54"/>
        <w:spacing w:line="360" w:lineRule="auto"/>
        <w:ind w:left="480" w:firstLine="0" w:firstLineChars="0"/>
        <w:rPr>
          <w:rFonts w:ascii="华文中宋" w:hAnsi="华文中宋" w:eastAsia="华文中宋" w:cs="华文中宋"/>
          <w:sz w:val="28"/>
          <w:szCs w:val="28"/>
        </w:rPr>
      </w:pPr>
      <w:r>
        <w:drawing>
          <wp:inline distT="0" distB="0" distL="114300" distR="114300">
            <wp:extent cx="6414135" cy="8669655"/>
            <wp:effectExtent l="0" t="0" r="1905" b="1905"/>
            <wp:docPr id="1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7"/>
                    <pic:cNvPicPr>
                      <a:picLocks noChangeAspect="1"/>
                    </pic:cNvPicPr>
                  </pic:nvPicPr>
                  <pic:blipFill>
                    <a:blip r:embed="rId8"/>
                    <a:stretch>
                      <a:fillRect/>
                    </a:stretch>
                  </pic:blipFill>
                  <pic:spPr>
                    <a:xfrm>
                      <a:off x="0" y="0"/>
                      <a:ext cx="6414135" cy="8669655"/>
                    </a:xfrm>
                    <a:prstGeom prst="rect">
                      <a:avLst/>
                    </a:prstGeom>
                    <a:noFill/>
                    <a:ln>
                      <a:noFill/>
                    </a:ln>
                  </pic:spPr>
                </pic:pic>
              </a:graphicData>
            </a:graphic>
          </wp:inline>
        </w:drawing>
      </w:r>
      <w:r>
        <w:drawing>
          <wp:inline distT="0" distB="0" distL="114300" distR="114300">
            <wp:extent cx="6411595" cy="8651875"/>
            <wp:effectExtent l="0" t="0" r="4445" b="4445"/>
            <wp:docPr id="1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8"/>
                    <pic:cNvPicPr>
                      <a:picLocks noChangeAspect="1"/>
                    </pic:cNvPicPr>
                  </pic:nvPicPr>
                  <pic:blipFill>
                    <a:blip r:embed="rId9"/>
                    <a:stretch>
                      <a:fillRect/>
                    </a:stretch>
                  </pic:blipFill>
                  <pic:spPr>
                    <a:xfrm>
                      <a:off x="0" y="0"/>
                      <a:ext cx="6411595" cy="8651875"/>
                    </a:xfrm>
                    <a:prstGeom prst="rect">
                      <a:avLst/>
                    </a:prstGeom>
                    <a:noFill/>
                    <a:ln>
                      <a:noFill/>
                    </a:ln>
                  </pic:spPr>
                </pic:pic>
              </a:graphicData>
            </a:graphic>
          </wp:inline>
        </w:drawing>
      </w:r>
    </w:p>
    <w:bookmarkEnd w:id="31"/>
    <w:bookmarkEnd w:id="32"/>
    <w:p/>
    <w:p/>
    <w:p>
      <w:pPr>
        <w:pStyle w:val="2"/>
        <w:ind w:firstLine="420"/>
      </w:pPr>
      <w:r>
        <w:drawing>
          <wp:inline distT="0" distB="0" distL="114300" distR="114300">
            <wp:extent cx="6402070" cy="8789035"/>
            <wp:effectExtent l="0" t="0" r="13970" b="4445"/>
            <wp:docPr id="1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9"/>
                    <pic:cNvPicPr>
                      <a:picLocks noChangeAspect="1"/>
                    </pic:cNvPicPr>
                  </pic:nvPicPr>
                  <pic:blipFill>
                    <a:blip r:embed="rId10"/>
                    <a:stretch>
                      <a:fillRect/>
                    </a:stretch>
                  </pic:blipFill>
                  <pic:spPr>
                    <a:xfrm>
                      <a:off x="0" y="0"/>
                      <a:ext cx="6402070" cy="8789035"/>
                    </a:xfrm>
                    <a:prstGeom prst="rect">
                      <a:avLst/>
                    </a:prstGeom>
                    <a:noFill/>
                    <a:ln>
                      <a:noFill/>
                    </a:ln>
                  </pic:spPr>
                </pic:pic>
              </a:graphicData>
            </a:graphic>
          </wp:inline>
        </w:drawing>
      </w:r>
    </w:p>
    <w:p>
      <w:pPr>
        <w:pStyle w:val="2"/>
        <w:ind w:firstLine="420"/>
      </w:pPr>
    </w:p>
    <w:p>
      <w:pPr>
        <w:pStyle w:val="2"/>
        <w:ind w:firstLine="420"/>
      </w:pPr>
      <w:r>
        <mc:AlternateContent>
          <mc:Choice Requires="wps">
            <w:drawing>
              <wp:anchor distT="0" distB="0" distL="114300" distR="114300" simplePos="0" relativeHeight="251661312" behindDoc="0" locked="0" layoutInCell="1" allowOverlap="1">
                <wp:simplePos x="0" y="0"/>
                <wp:positionH relativeFrom="column">
                  <wp:posOffset>735965</wp:posOffset>
                </wp:positionH>
                <wp:positionV relativeFrom="paragraph">
                  <wp:posOffset>1886585</wp:posOffset>
                </wp:positionV>
                <wp:extent cx="5668645" cy="1905000"/>
                <wp:effectExtent l="19050" t="19050" r="27305" b="26670"/>
                <wp:wrapNone/>
                <wp:docPr id="17" name="矩形 17"/>
                <wp:cNvGraphicFramePr/>
                <a:graphic xmlns:a="http://schemas.openxmlformats.org/drawingml/2006/main">
                  <a:graphicData uri="http://schemas.microsoft.com/office/word/2010/wordprocessingShape">
                    <wps:wsp>
                      <wps:cNvSpPr/>
                      <wps:spPr>
                        <a:xfrm>
                          <a:off x="8525510" y="2572385"/>
                          <a:ext cx="5668645" cy="190500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7.95pt;margin-top:148.55pt;height:150pt;width:446.35pt;z-index:251661312;v-text-anchor:middle;mso-width-relative:page;mso-height-relative:page;" filled="f" stroked="t" coordsize="21600,21600" o:gfxdata="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2N+vW9cAAAAMAQAADwAAAAAAAAABACAAAAAiAAAAZHJzL2Rvd25yZXYu&#10;eG1sUEsBAhQAFAAAAAgAh07iQPDAYI9uAgAAwwQAAA4AAAAAAAAAAQAgAAAAJgEAAGRycy9lMm9E&#10;b2MueG1sUEsFBgAAAAAGAAYAWQEAAAYGAAAAAA==&#10;">
                <v:fill on="f" focussize="0,0"/>
                <v:stroke weight="3pt" color="#FF0000 [3204]" joinstyle="round"/>
                <v:imagedata o:title=""/>
                <o:lock v:ext="edit" aspectratio="f"/>
              </v:rect>
            </w:pict>
          </mc:Fallback>
        </mc:AlternateContent>
      </w:r>
      <w:r>
        <w:drawing>
          <wp:inline distT="0" distB="0" distL="114300" distR="114300">
            <wp:extent cx="6416675" cy="9358630"/>
            <wp:effectExtent l="0" t="0" r="14605" b="13970"/>
            <wp:docPr id="1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0"/>
                    <pic:cNvPicPr>
                      <a:picLocks noChangeAspect="1"/>
                    </pic:cNvPicPr>
                  </pic:nvPicPr>
                  <pic:blipFill>
                    <a:blip r:embed="rId11"/>
                    <a:stretch>
                      <a:fillRect/>
                    </a:stretch>
                  </pic:blipFill>
                  <pic:spPr>
                    <a:xfrm>
                      <a:off x="0" y="0"/>
                      <a:ext cx="6416675" cy="9358630"/>
                    </a:xfrm>
                    <a:prstGeom prst="rect">
                      <a:avLst/>
                    </a:prstGeom>
                    <a:noFill/>
                    <a:ln>
                      <a:noFill/>
                    </a:ln>
                  </pic:spPr>
                </pic:pic>
              </a:graphicData>
            </a:graphic>
          </wp:inline>
        </w:drawing>
      </w:r>
    </w:p>
    <w:p>
      <w:pPr>
        <w:pStyle w:val="2"/>
        <w:ind w:firstLine="420"/>
      </w:pPr>
      <w:r>
        <mc:AlternateContent>
          <mc:Choice Requires="wps">
            <w:drawing>
              <wp:anchor distT="0" distB="0" distL="114300" distR="114300" simplePos="0" relativeHeight="251662336" behindDoc="0" locked="0" layoutInCell="1" allowOverlap="1">
                <wp:simplePos x="0" y="0"/>
                <wp:positionH relativeFrom="column">
                  <wp:posOffset>325755</wp:posOffset>
                </wp:positionH>
                <wp:positionV relativeFrom="paragraph">
                  <wp:posOffset>708660</wp:posOffset>
                </wp:positionV>
                <wp:extent cx="5668645" cy="1189355"/>
                <wp:effectExtent l="19050" t="19050" r="27305" b="26035"/>
                <wp:wrapNone/>
                <wp:docPr id="19" name="矩形 19"/>
                <wp:cNvGraphicFramePr/>
                <a:graphic xmlns:a="http://schemas.openxmlformats.org/drawingml/2006/main">
                  <a:graphicData uri="http://schemas.microsoft.com/office/word/2010/wordprocessingShape">
                    <wps:wsp>
                      <wps:cNvSpPr/>
                      <wps:spPr>
                        <a:xfrm>
                          <a:off x="0" y="0"/>
                          <a:ext cx="5668645" cy="118935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5.65pt;margin-top:55.8pt;height:93.65pt;width:446.35pt;z-index:251662336;v-text-anchor:middle;mso-width-relative:page;mso-height-relative:page;" filled="f" stroked="t" coordsize="21600,21600" o:gfxdata="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C34ibU1wAAAAoBAAAPAAAAAAAAAAEAIAAAACIAAABkcnMvZG93bnJldi54bWxQSwECFAAUAAAA&#10;CACHTuJAd5q142ECAAC3BAAADgAAAAAAAAABACAAAAAmAQAAZHJzL2Uyb0RvYy54bWxQSwUGAAAA&#10;AAYABgBZAQAA+QUAAAAA&#10;">
                <v:fill on="f" focussize="0,0"/>
                <v:stroke weight="3pt" color="#FF0000 [3204]" joinstyle="round"/>
                <v:imagedata o:title=""/>
                <o:lock v:ext="edit" aspectratio="f"/>
              </v:rect>
            </w:pict>
          </mc:Fallback>
        </mc:AlternateContent>
      </w:r>
      <w:r>
        <w:drawing>
          <wp:inline distT="0" distB="0" distL="114300" distR="114300">
            <wp:extent cx="6401435" cy="8848090"/>
            <wp:effectExtent l="0" t="0" r="14605" b="6350"/>
            <wp:docPr id="1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1"/>
                    <pic:cNvPicPr>
                      <a:picLocks noChangeAspect="1"/>
                    </pic:cNvPicPr>
                  </pic:nvPicPr>
                  <pic:blipFill>
                    <a:blip r:embed="rId12"/>
                    <a:stretch>
                      <a:fillRect/>
                    </a:stretch>
                  </pic:blipFill>
                  <pic:spPr>
                    <a:xfrm>
                      <a:off x="0" y="0"/>
                      <a:ext cx="6401435" cy="8848090"/>
                    </a:xfrm>
                    <a:prstGeom prst="rect">
                      <a:avLst/>
                    </a:prstGeom>
                    <a:noFill/>
                    <a:ln>
                      <a:noFill/>
                    </a:ln>
                  </pic:spPr>
                </pic:pic>
              </a:graphicData>
            </a:graphic>
          </wp:inline>
        </w:drawing>
      </w:r>
    </w:p>
    <w:p>
      <w:pPr>
        <w:pStyle w:val="2"/>
        <w:ind w:firstLine="420"/>
      </w:pPr>
    </w:p>
    <w:p>
      <w:pPr>
        <w:pStyle w:val="2"/>
        <w:ind w:firstLine="420"/>
      </w:pPr>
      <w:r>
        <w:drawing>
          <wp:inline distT="0" distB="0" distL="114300" distR="114300">
            <wp:extent cx="6404610" cy="9054465"/>
            <wp:effectExtent l="0" t="0" r="11430" b="13335"/>
            <wp:docPr id="2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2"/>
                    <pic:cNvPicPr>
                      <a:picLocks noChangeAspect="1"/>
                    </pic:cNvPicPr>
                  </pic:nvPicPr>
                  <pic:blipFill>
                    <a:blip r:embed="rId13"/>
                    <a:stretch>
                      <a:fillRect/>
                    </a:stretch>
                  </pic:blipFill>
                  <pic:spPr>
                    <a:xfrm>
                      <a:off x="0" y="0"/>
                      <a:ext cx="6404610" cy="9054465"/>
                    </a:xfrm>
                    <a:prstGeom prst="rect">
                      <a:avLst/>
                    </a:prstGeom>
                    <a:noFill/>
                    <a:ln>
                      <a:noFill/>
                    </a:ln>
                  </pic:spPr>
                </pic:pic>
              </a:graphicData>
            </a:graphic>
          </wp:inline>
        </w:drawing>
      </w:r>
    </w:p>
    <w:p>
      <w:pPr>
        <w:pStyle w:val="2"/>
        <w:ind w:firstLine="420"/>
      </w:pPr>
      <w:r>
        <mc:AlternateContent>
          <mc:Choice Requires="wps">
            <w:drawing>
              <wp:anchor distT="0" distB="0" distL="114300" distR="114300" simplePos="0" relativeHeight="251663360" behindDoc="0" locked="0" layoutInCell="1" allowOverlap="1">
                <wp:simplePos x="0" y="0"/>
                <wp:positionH relativeFrom="column">
                  <wp:posOffset>752475</wp:posOffset>
                </wp:positionH>
                <wp:positionV relativeFrom="paragraph">
                  <wp:posOffset>5730875</wp:posOffset>
                </wp:positionV>
                <wp:extent cx="5288280" cy="2366010"/>
                <wp:effectExtent l="19050" t="19050" r="26670" b="22860"/>
                <wp:wrapNone/>
                <wp:docPr id="22" name="矩形 22"/>
                <wp:cNvGraphicFramePr/>
                <a:graphic xmlns:a="http://schemas.openxmlformats.org/drawingml/2006/main">
                  <a:graphicData uri="http://schemas.microsoft.com/office/word/2010/wordprocessingShape">
                    <wps:wsp>
                      <wps:cNvSpPr/>
                      <wps:spPr>
                        <a:xfrm>
                          <a:off x="0" y="0"/>
                          <a:ext cx="5288280" cy="236601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9.25pt;margin-top:451.25pt;height:186.3pt;width:416.4pt;z-index:251663360;v-text-anchor:middle;mso-width-relative:page;mso-height-relative:page;" filled="f" stroked="t" coordsize="21600,21600" o:gfxdata="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KcreqzYAAAADAEAAA8AAAAAAAAAAQAgAAAAIgAAAGRycy9kb3ducmV2LnhtbFBLAQIUABQAAAAI&#10;AIdO4kCNEIDwXwIAALcEAAAOAAAAAAAAAAEAIAAAACcBAABkcnMvZTJvRG9jLnhtbFBLBQYAAAAA&#10;BgAGAFkBAAD4BQAAAAA=&#10;">
                <v:fill on="f" focussize="0,0"/>
                <v:stroke weight="3pt" color="#FF0000 [3204]" joinstyle="round"/>
                <v:imagedata o:title=""/>
                <o:lock v:ext="edit" aspectratio="f"/>
              </v:rect>
            </w:pict>
          </mc:Fallback>
        </mc:AlternateContent>
      </w:r>
      <w:r>
        <w:drawing>
          <wp:inline distT="0" distB="0" distL="114300" distR="114300">
            <wp:extent cx="6404610" cy="9054465"/>
            <wp:effectExtent l="0" t="0" r="11430" b="13335"/>
            <wp:docPr id="2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3"/>
                    <pic:cNvPicPr>
                      <a:picLocks noChangeAspect="1"/>
                    </pic:cNvPicPr>
                  </pic:nvPicPr>
                  <pic:blipFill>
                    <a:blip r:embed="rId14"/>
                    <a:stretch>
                      <a:fillRect/>
                    </a:stretch>
                  </pic:blipFill>
                  <pic:spPr>
                    <a:xfrm>
                      <a:off x="0" y="0"/>
                      <a:ext cx="6404610" cy="9054465"/>
                    </a:xfrm>
                    <a:prstGeom prst="rect">
                      <a:avLst/>
                    </a:prstGeom>
                    <a:noFill/>
                    <a:ln>
                      <a:noFill/>
                    </a:ln>
                  </pic:spPr>
                </pic:pic>
              </a:graphicData>
            </a:graphic>
          </wp:inline>
        </w:drawing>
      </w:r>
    </w:p>
    <w:p>
      <w:pPr>
        <w:pStyle w:val="2"/>
        <w:ind w:firstLine="420"/>
      </w:pPr>
      <w:r>
        <mc:AlternateContent>
          <mc:Choice Requires="wps">
            <w:drawing>
              <wp:anchor distT="0" distB="0" distL="114300" distR="114300" simplePos="0" relativeHeight="251664384" behindDoc="0" locked="0" layoutInCell="1" allowOverlap="1">
                <wp:simplePos x="0" y="0"/>
                <wp:positionH relativeFrom="column">
                  <wp:posOffset>839470</wp:posOffset>
                </wp:positionH>
                <wp:positionV relativeFrom="paragraph">
                  <wp:posOffset>1828800</wp:posOffset>
                </wp:positionV>
                <wp:extent cx="5231130" cy="2297430"/>
                <wp:effectExtent l="19050" t="19050" r="22860" b="30480"/>
                <wp:wrapNone/>
                <wp:docPr id="24" name="矩形 24"/>
                <wp:cNvGraphicFramePr/>
                <a:graphic xmlns:a="http://schemas.openxmlformats.org/drawingml/2006/main">
                  <a:graphicData uri="http://schemas.microsoft.com/office/word/2010/wordprocessingShape">
                    <wps:wsp>
                      <wps:cNvSpPr/>
                      <wps:spPr>
                        <a:xfrm>
                          <a:off x="0" y="0"/>
                          <a:ext cx="5231130" cy="229743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6.1pt;margin-top:144pt;height:180.9pt;width:411.9pt;z-index:251664384;v-text-anchor:middle;mso-width-relative:page;mso-height-relative:page;" filled="f" stroked="t" coordsize="21600,21600" o:gfxdata="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HY2uqzXAAAACwEAAA8AAAAAAAAAAQAgAAAAIgAAAGRycy9kb3ducmV2LnhtbFBLAQIUABQAAAAI&#10;AIdO4kBgDJmlYAIAALcEAAAOAAAAAAAAAAEAIAAAACYBAABkcnMvZTJvRG9jLnhtbFBLBQYAAAAA&#10;BgAGAFkBAAD4BQAAAAA=&#10;">
                <v:fill on="f" focussize="0,0"/>
                <v:stroke weight="3pt" color="#FF0000 [3204]" joinstyle="round"/>
                <v:imagedata o:title=""/>
                <o:lock v:ext="edit" aspectratio="f"/>
              </v:rect>
            </w:pict>
          </mc:Fallback>
        </mc:AlternateContent>
      </w:r>
      <w:r>
        <w:drawing>
          <wp:inline distT="0" distB="0" distL="114300" distR="114300">
            <wp:extent cx="6404610" cy="9054465"/>
            <wp:effectExtent l="0" t="0" r="11430" b="13335"/>
            <wp:docPr id="2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4"/>
                    <pic:cNvPicPr>
                      <a:picLocks noChangeAspect="1"/>
                    </pic:cNvPicPr>
                  </pic:nvPicPr>
                  <pic:blipFill>
                    <a:blip r:embed="rId15"/>
                    <a:stretch>
                      <a:fillRect/>
                    </a:stretch>
                  </pic:blipFill>
                  <pic:spPr>
                    <a:xfrm>
                      <a:off x="0" y="0"/>
                      <a:ext cx="6404610" cy="9054465"/>
                    </a:xfrm>
                    <a:prstGeom prst="rect">
                      <a:avLst/>
                    </a:prstGeom>
                    <a:noFill/>
                    <a:ln>
                      <a:noFill/>
                    </a:ln>
                  </pic:spPr>
                </pic:pic>
              </a:graphicData>
            </a:graphic>
          </wp:inline>
        </w:drawing>
      </w:r>
    </w:p>
    <w:p>
      <w:pPr>
        <w:pStyle w:val="2"/>
        <w:ind w:firstLine="420"/>
      </w:pPr>
      <w:r>
        <w:drawing>
          <wp:inline distT="0" distB="0" distL="114300" distR="114300">
            <wp:extent cx="6406515" cy="9051290"/>
            <wp:effectExtent l="0" t="0" r="9525" b="1270"/>
            <wp:docPr id="2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5"/>
                    <pic:cNvPicPr>
                      <a:picLocks noChangeAspect="1"/>
                    </pic:cNvPicPr>
                  </pic:nvPicPr>
                  <pic:blipFill>
                    <a:blip r:embed="rId16"/>
                    <a:stretch>
                      <a:fillRect/>
                    </a:stretch>
                  </pic:blipFill>
                  <pic:spPr>
                    <a:xfrm>
                      <a:off x="0" y="0"/>
                      <a:ext cx="6406515" cy="9051290"/>
                    </a:xfrm>
                    <a:prstGeom prst="rect">
                      <a:avLst/>
                    </a:prstGeom>
                    <a:noFill/>
                    <a:ln>
                      <a:noFill/>
                    </a:ln>
                  </pic:spPr>
                </pic:pic>
              </a:graphicData>
            </a:graphic>
          </wp:inline>
        </w:drawing>
      </w:r>
    </w:p>
    <w:p>
      <w:pPr>
        <w:pStyle w:val="2"/>
        <w:ind w:left="0" w:leftChars="0" w:firstLine="0" w:firstLineChars="0"/>
        <w:rPr>
          <w:rFonts w:hint="eastAsia" w:eastAsia="宋体"/>
          <w:lang w:eastAsia="zh-CN"/>
        </w:rPr>
      </w:pPr>
      <w:r>
        <w:rPr>
          <w:rFonts w:hint="eastAsia" w:eastAsia="宋体"/>
          <w:lang w:eastAsia="zh-CN"/>
        </w:rPr>
        <w:drawing>
          <wp:inline distT="0" distB="0" distL="114300" distR="114300">
            <wp:extent cx="6412865" cy="9068435"/>
            <wp:effectExtent l="0" t="0" r="6985" b="18415"/>
            <wp:docPr id="1" name="图片 1" descr="2023年第4次国土空间规划委员会纪要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2023年第4次国土空间规划委员会纪要_00"/>
                    <pic:cNvPicPr>
                      <a:picLocks noChangeAspect="1"/>
                    </pic:cNvPicPr>
                  </pic:nvPicPr>
                  <pic:blipFill>
                    <a:blip r:embed="rId17"/>
                    <a:stretch>
                      <a:fillRect/>
                    </a:stretch>
                  </pic:blipFill>
                  <pic:spPr>
                    <a:xfrm>
                      <a:off x="0" y="0"/>
                      <a:ext cx="6412865" cy="9068435"/>
                    </a:xfrm>
                    <a:prstGeom prst="rect">
                      <a:avLst/>
                    </a:prstGeom>
                  </pic:spPr>
                </pic:pic>
              </a:graphicData>
            </a:graphic>
          </wp:inline>
        </w:drawing>
      </w:r>
    </w:p>
    <w:p>
      <w:pPr>
        <w:pStyle w:val="2"/>
        <w:ind w:left="0" w:leftChars="0" w:firstLine="0" w:firstLineChars="0"/>
        <w:rPr>
          <w:rFonts w:hint="eastAsia" w:eastAsia="宋体"/>
          <w:lang w:eastAsia="zh-CN"/>
        </w:rPr>
      </w:pPr>
      <w:r>
        <w:rPr>
          <w:rFonts w:hint="eastAsia" w:eastAsia="宋体"/>
          <w:lang w:eastAsia="zh-CN"/>
        </w:rPr>
        <w:drawing>
          <wp:inline distT="0" distB="0" distL="114300" distR="114300">
            <wp:extent cx="6412865" cy="9068435"/>
            <wp:effectExtent l="0" t="0" r="6985" b="18415"/>
            <wp:docPr id="5" name="图片 5" descr="2023年第4次国土空间规划委员会纪要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2023年第4次国土空间规划委员会纪要_04"/>
                    <pic:cNvPicPr>
                      <a:picLocks noChangeAspect="1"/>
                    </pic:cNvPicPr>
                  </pic:nvPicPr>
                  <pic:blipFill>
                    <a:blip r:embed="rId18"/>
                    <a:stretch>
                      <a:fillRect/>
                    </a:stretch>
                  </pic:blipFill>
                  <pic:spPr>
                    <a:xfrm>
                      <a:off x="0" y="0"/>
                      <a:ext cx="6412865" cy="9068435"/>
                    </a:xfrm>
                    <a:prstGeom prst="rect">
                      <a:avLst/>
                    </a:prstGeom>
                  </pic:spPr>
                </pic:pic>
              </a:graphicData>
            </a:graphic>
          </wp:inline>
        </w:drawing>
      </w:r>
    </w:p>
    <w:p>
      <w:pPr>
        <w:pStyle w:val="2"/>
        <w:ind w:left="0" w:leftChars="0" w:firstLine="0" w:firstLineChars="0"/>
        <w:rPr>
          <w:rFonts w:hint="eastAsia" w:eastAsia="宋体"/>
          <w:lang w:eastAsia="zh-CN"/>
        </w:rPr>
      </w:pPr>
      <w:r>
        <w:rPr>
          <w:rFonts w:hint="eastAsia" w:eastAsia="宋体"/>
          <w:lang w:eastAsia="zh-CN"/>
        </w:rPr>
        <w:drawing>
          <wp:inline distT="0" distB="0" distL="114300" distR="114300">
            <wp:extent cx="6412865" cy="9068435"/>
            <wp:effectExtent l="0" t="0" r="6985" b="18415"/>
            <wp:docPr id="4" name="图片 4" descr="2023年第4次国土空间规划委员会纪要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2023年第4次国土空间规划委员会纪要_05"/>
                    <pic:cNvPicPr>
                      <a:picLocks noChangeAspect="1"/>
                    </pic:cNvPicPr>
                  </pic:nvPicPr>
                  <pic:blipFill>
                    <a:blip r:embed="rId19"/>
                    <a:stretch>
                      <a:fillRect/>
                    </a:stretch>
                  </pic:blipFill>
                  <pic:spPr>
                    <a:xfrm>
                      <a:off x="0" y="0"/>
                      <a:ext cx="6412865" cy="9068435"/>
                    </a:xfrm>
                    <a:prstGeom prst="rect">
                      <a:avLst/>
                    </a:prstGeom>
                  </pic:spPr>
                </pic:pic>
              </a:graphicData>
            </a:graphic>
          </wp:inline>
        </w:drawing>
      </w:r>
      <w:r>
        <w:rPr>
          <w:rFonts w:hint="eastAsia" w:eastAsia="宋体"/>
          <w:lang w:eastAsia="zh-CN"/>
        </w:rPr>
        <w:drawing>
          <wp:inline distT="0" distB="0" distL="114300" distR="114300">
            <wp:extent cx="6412865" cy="9068435"/>
            <wp:effectExtent l="0" t="0" r="6985" b="18415"/>
            <wp:docPr id="3" name="图片 3" descr="2023年第4次国土空间规划委员会纪要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2023年第4次国土空间规划委员会纪要_06"/>
                    <pic:cNvPicPr>
                      <a:picLocks noChangeAspect="1"/>
                    </pic:cNvPicPr>
                  </pic:nvPicPr>
                  <pic:blipFill>
                    <a:blip r:embed="rId20"/>
                    <a:stretch>
                      <a:fillRect/>
                    </a:stretch>
                  </pic:blipFill>
                  <pic:spPr>
                    <a:xfrm>
                      <a:off x="0" y="0"/>
                      <a:ext cx="6412865" cy="9068435"/>
                    </a:xfrm>
                    <a:prstGeom prst="rect">
                      <a:avLst/>
                    </a:prstGeom>
                  </pic:spPr>
                </pic:pic>
              </a:graphicData>
            </a:graphic>
          </wp:inline>
        </w:drawing>
      </w:r>
    </w:p>
    <w:p>
      <w:pPr>
        <w:pStyle w:val="2"/>
        <w:ind w:left="0" w:leftChars="0" w:firstLine="0" w:firstLineChars="0"/>
        <w:rPr>
          <w:rFonts w:hint="eastAsia" w:eastAsia="宋体"/>
          <w:lang w:eastAsia="zh-CN"/>
        </w:rPr>
      </w:pPr>
    </w:p>
    <w:p>
      <w:pPr>
        <w:pStyle w:val="4"/>
        <w:spacing w:before="260" w:after="260"/>
        <w:rPr>
          <w:rFonts w:ascii="华文中宋" w:hAnsi="华文中宋" w:eastAsia="华文中宋" w:cs="华文中宋"/>
        </w:rPr>
      </w:pPr>
      <w:bookmarkStart w:id="34" w:name="_Toc239"/>
      <w:r>
        <w:rPr>
          <w:rFonts w:hint="eastAsia" w:ascii="华文中宋" w:hAnsi="华文中宋" w:eastAsia="华文中宋" w:cs="华文中宋"/>
        </w:rPr>
        <w:t>1.3 调整的主要内容</w:t>
      </w:r>
      <w:bookmarkEnd w:id="34"/>
    </w:p>
    <w:p>
      <w:pPr>
        <w:spacing w:line="360" w:lineRule="auto"/>
        <w:ind w:firstLine="560" w:firstLineChars="200"/>
        <w:rPr>
          <w:rFonts w:ascii="华文中宋" w:hAnsi="华文中宋" w:eastAsia="华文中宋" w:cs="华文中宋"/>
          <w:sz w:val="28"/>
          <w:szCs w:val="28"/>
        </w:rPr>
      </w:pPr>
      <w:r>
        <w:rPr>
          <w:rFonts w:hint="eastAsia" w:ascii="华文中宋" w:hAnsi="华文中宋" w:eastAsia="华文中宋" w:cs="华文中宋"/>
          <w:sz w:val="28"/>
          <w:szCs w:val="28"/>
        </w:rPr>
        <w:t>（1）规划范围及用地调整</w:t>
      </w:r>
    </w:p>
    <w:p>
      <w:pPr>
        <w:pStyle w:val="2"/>
        <w:ind w:firstLine="560"/>
      </w:pPr>
      <w:r>
        <w:rPr>
          <w:rFonts w:hint="eastAsia" w:ascii="华文中宋" w:hAnsi="华文中宋" w:eastAsia="华文中宋" w:cs="华文中宋"/>
          <w:sz w:val="28"/>
          <w:szCs w:val="28"/>
        </w:rPr>
        <w:t>（2）A区整体调整</w:t>
      </w:r>
    </w:p>
    <w:p>
      <w:pPr>
        <w:pStyle w:val="2"/>
        <w:ind w:firstLine="560"/>
        <w:rPr>
          <w:rFonts w:ascii="华文中宋" w:hAnsi="华文中宋" w:eastAsia="华文中宋" w:cs="华文中宋"/>
          <w:sz w:val="28"/>
          <w:szCs w:val="28"/>
        </w:rPr>
      </w:pPr>
      <w:r>
        <w:rPr>
          <w:rFonts w:hint="eastAsia" w:ascii="华文中宋" w:hAnsi="华文中宋" w:eastAsia="华文中宋" w:cs="华文中宋"/>
          <w:sz w:val="28"/>
          <w:szCs w:val="28"/>
        </w:rPr>
        <w:t>（3）B区、C区局部道路和用地调整</w:t>
      </w:r>
    </w:p>
    <w:p>
      <w:pPr>
        <w:pStyle w:val="2"/>
        <w:ind w:firstLine="0" w:firstLineChars="0"/>
        <w:jc w:val="center"/>
      </w:pPr>
    </w:p>
    <w:p>
      <w:pPr>
        <w:pStyle w:val="2"/>
        <w:ind w:firstLine="0" w:firstLineChars="0"/>
        <w:jc w:val="center"/>
        <w:rPr>
          <w:rFonts w:ascii="华文中宋" w:hAnsi="华文中宋" w:eastAsia="华文中宋" w:cs="华文中宋"/>
          <w:sz w:val="28"/>
          <w:szCs w:val="28"/>
        </w:rPr>
      </w:pPr>
      <w:r>
        <w:drawing>
          <wp:inline distT="0" distB="0" distL="114300" distR="114300">
            <wp:extent cx="5845810" cy="4129405"/>
            <wp:effectExtent l="0" t="0" r="2540" b="4445"/>
            <wp:docPr id="7" name="图片 5" descr="F:\2022乌达工业园控规调整\202306成果\03调整内容分布图.jpg03调整内容分布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5" descr="F:\2022乌达工业园控规调整\202306成果\03调整内容分布图.jpg03调整内容分布图"/>
                    <pic:cNvPicPr>
                      <a:picLocks noChangeAspect="1"/>
                    </pic:cNvPicPr>
                  </pic:nvPicPr>
                  <pic:blipFill>
                    <a:blip r:embed="rId21"/>
                    <a:srcRect/>
                    <a:stretch>
                      <a:fillRect/>
                    </a:stretch>
                  </pic:blipFill>
                  <pic:spPr>
                    <a:xfrm>
                      <a:off x="0" y="0"/>
                      <a:ext cx="5845810" cy="4129405"/>
                    </a:xfrm>
                    <a:prstGeom prst="rect">
                      <a:avLst/>
                    </a:prstGeom>
                    <a:noFill/>
                    <a:ln>
                      <a:noFill/>
                    </a:ln>
                  </pic:spPr>
                </pic:pic>
              </a:graphicData>
            </a:graphic>
          </wp:inline>
        </w:drawing>
      </w:r>
    </w:p>
    <w:bookmarkEnd w:id="33"/>
    <w:p>
      <w:pPr>
        <w:spacing w:line="360" w:lineRule="auto"/>
        <w:jc w:val="center"/>
        <w:rPr>
          <w:rFonts w:ascii="华文中宋" w:hAnsi="华文中宋" w:eastAsia="华文中宋" w:cs="华文中宋"/>
          <w:sz w:val="24"/>
          <w:szCs w:val="24"/>
        </w:rPr>
      </w:pPr>
      <w:r>
        <w:rPr>
          <w:rFonts w:hint="eastAsia" w:ascii="华文中宋" w:hAnsi="华文中宋" w:eastAsia="华文中宋" w:cs="华文中宋"/>
          <w:sz w:val="24"/>
          <w:szCs w:val="24"/>
        </w:rPr>
        <w:t xml:space="preserve">图1-3-1 </w:t>
      </w:r>
      <w:bookmarkStart w:id="35" w:name="_Toc495482506"/>
      <w:bookmarkStart w:id="36" w:name="_Toc469568964"/>
      <w:bookmarkStart w:id="37" w:name="_Toc469559236"/>
      <w:bookmarkStart w:id="38" w:name="_Toc469586230"/>
      <w:bookmarkStart w:id="39" w:name="_Toc469569978"/>
      <w:bookmarkStart w:id="40" w:name="_Toc469569041"/>
      <w:bookmarkStart w:id="41" w:name="_Toc14252"/>
      <w:r>
        <w:rPr>
          <w:rFonts w:hint="eastAsia" w:ascii="华文中宋" w:hAnsi="华文中宋" w:eastAsia="华文中宋" w:cs="华文中宋"/>
          <w:sz w:val="24"/>
          <w:szCs w:val="24"/>
        </w:rPr>
        <w:t>调整内容分布图</w:t>
      </w:r>
    </w:p>
    <w:p>
      <w:pPr>
        <w:pStyle w:val="2"/>
        <w:ind w:firstLine="420"/>
      </w:pPr>
    </w:p>
    <w:p>
      <w:pPr>
        <w:pStyle w:val="2"/>
        <w:ind w:firstLine="420"/>
      </w:pPr>
    </w:p>
    <w:p>
      <w:pPr>
        <w:pStyle w:val="2"/>
        <w:ind w:firstLine="420"/>
      </w:pPr>
    </w:p>
    <w:p>
      <w:pPr>
        <w:pStyle w:val="2"/>
        <w:ind w:firstLine="420"/>
      </w:pPr>
    </w:p>
    <w:p>
      <w:pPr>
        <w:pStyle w:val="2"/>
        <w:ind w:firstLine="420"/>
      </w:pPr>
    </w:p>
    <w:p>
      <w:pPr>
        <w:pStyle w:val="2"/>
        <w:ind w:firstLine="420"/>
      </w:pPr>
    </w:p>
    <w:p>
      <w:pPr>
        <w:pStyle w:val="2"/>
        <w:ind w:firstLine="420"/>
      </w:pPr>
    </w:p>
    <w:p>
      <w:pPr>
        <w:pStyle w:val="2"/>
        <w:ind w:firstLine="420"/>
      </w:pPr>
    </w:p>
    <w:p>
      <w:pPr>
        <w:pStyle w:val="2"/>
        <w:ind w:firstLine="420"/>
      </w:pPr>
    </w:p>
    <w:p>
      <w:pPr>
        <w:pStyle w:val="2"/>
        <w:ind w:firstLine="420"/>
      </w:pPr>
    </w:p>
    <w:p>
      <w:pPr>
        <w:pStyle w:val="2"/>
        <w:ind w:firstLine="420"/>
      </w:pPr>
    </w:p>
    <w:p>
      <w:pPr>
        <w:pStyle w:val="2"/>
        <w:ind w:firstLine="420"/>
      </w:pPr>
    </w:p>
    <w:p>
      <w:pPr>
        <w:pStyle w:val="3"/>
        <w:jc w:val="center"/>
        <w:rPr>
          <w:rFonts w:hint="default" w:ascii="华文中宋" w:hAnsi="华文中宋" w:eastAsia="华文中宋" w:cs="华文中宋"/>
          <w:sz w:val="36"/>
          <w:szCs w:val="36"/>
        </w:rPr>
      </w:pPr>
      <w:bookmarkStart w:id="42" w:name="_Toc15066"/>
      <w:r>
        <w:rPr>
          <w:rFonts w:ascii="华文中宋" w:hAnsi="华文中宋" w:eastAsia="华文中宋" w:cs="华文中宋"/>
          <w:sz w:val="44"/>
          <w:szCs w:val="44"/>
        </w:rPr>
        <w:t xml:space="preserve">第二章 </w:t>
      </w:r>
      <w:bookmarkEnd w:id="35"/>
      <w:r>
        <w:rPr>
          <w:rFonts w:ascii="华文中宋" w:hAnsi="华文中宋" w:eastAsia="华文中宋" w:cs="华文中宋"/>
          <w:sz w:val="44"/>
          <w:szCs w:val="44"/>
        </w:rPr>
        <w:t>总体调整内容</w:t>
      </w:r>
      <w:bookmarkEnd w:id="42"/>
    </w:p>
    <w:p>
      <w:pPr>
        <w:pStyle w:val="4"/>
        <w:spacing w:before="260" w:after="260"/>
        <w:rPr>
          <w:rFonts w:ascii="华文中宋" w:hAnsi="华文中宋" w:eastAsia="华文中宋" w:cs="华文中宋"/>
        </w:rPr>
      </w:pPr>
      <w:bookmarkStart w:id="43" w:name="_Toc27769"/>
      <w:r>
        <w:rPr>
          <w:rFonts w:hint="eastAsia" w:ascii="华文中宋" w:hAnsi="华文中宋" w:eastAsia="华文中宋" w:cs="华文中宋"/>
        </w:rPr>
        <w:t>2.1 规划区名称调整</w:t>
      </w:r>
      <w:bookmarkEnd w:id="43"/>
    </w:p>
    <w:p>
      <w:pPr>
        <w:spacing w:line="360" w:lineRule="auto"/>
        <w:ind w:firstLine="560" w:firstLineChars="200"/>
        <w:rPr>
          <w:rFonts w:ascii="华文中宋" w:hAnsi="华文中宋" w:eastAsia="华文中宋" w:cs="华文中宋"/>
          <w:sz w:val="28"/>
          <w:szCs w:val="28"/>
        </w:rPr>
      </w:pPr>
      <w:r>
        <w:rPr>
          <w:rFonts w:hint="eastAsia" w:ascii="华文中宋" w:hAnsi="华文中宋" w:eastAsia="华文中宋" w:cs="华文中宋"/>
          <w:sz w:val="28"/>
          <w:szCs w:val="28"/>
        </w:rPr>
        <w:t>“乌海经济开发区乌达工业园控制性详细规划”更名为“乌海高新技术产业开发区乌达产业园控制性详细规划”。</w:t>
      </w:r>
    </w:p>
    <w:p>
      <w:pPr>
        <w:pStyle w:val="4"/>
        <w:spacing w:before="260" w:after="260"/>
        <w:rPr>
          <w:rFonts w:ascii="华文中宋" w:hAnsi="华文中宋" w:eastAsia="华文中宋" w:cs="华文中宋"/>
        </w:rPr>
      </w:pPr>
      <w:bookmarkStart w:id="44" w:name="_Toc2025"/>
      <w:r>
        <w:rPr>
          <w:rFonts w:hint="eastAsia" w:ascii="华文中宋" w:hAnsi="华文中宋" w:eastAsia="华文中宋" w:cs="华文中宋"/>
        </w:rPr>
        <w:t>2.2 规划范围调整</w:t>
      </w:r>
      <w:bookmarkEnd w:id="44"/>
    </w:p>
    <w:p>
      <w:pPr>
        <w:spacing w:line="360" w:lineRule="auto"/>
        <w:ind w:firstLine="560" w:firstLineChars="200"/>
        <w:rPr>
          <w:rFonts w:ascii="华文中宋" w:hAnsi="华文中宋" w:eastAsia="华文中宋" w:cs="华文中宋"/>
          <w:sz w:val="28"/>
          <w:szCs w:val="28"/>
        </w:rPr>
      </w:pPr>
      <w:bookmarkStart w:id="45" w:name="OLE_LINK116"/>
      <w:bookmarkStart w:id="46" w:name="OLE_LINK100"/>
      <w:bookmarkStart w:id="47" w:name="OLE_LINK101"/>
      <w:bookmarkStart w:id="48" w:name="OLE_LINK115"/>
      <w:r>
        <w:rPr>
          <w:rFonts w:hint="eastAsia" w:ascii="华文中宋" w:hAnsi="华文中宋" w:eastAsia="华文中宋" w:cs="华文中宋"/>
          <w:sz w:val="28"/>
          <w:szCs w:val="28"/>
        </w:rPr>
        <w:t>依据乌海市国土空间总体规划中“三区三线”划定，将规划区范围线与城镇开发边界范围统一。</w:t>
      </w:r>
    </w:p>
    <w:p>
      <w:pPr>
        <w:pStyle w:val="2"/>
        <w:ind w:firstLine="561"/>
        <w:rPr>
          <w:rFonts w:ascii="华文中宋" w:hAnsi="华文中宋" w:eastAsia="华文中宋" w:cs="华文中宋"/>
          <w:b/>
          <w:bCs/>
          <w:sz w:val="28"/>
          <w:szCs w:val="28"/>
        </w:rPr>
      </w:pPr>
      <w:r>
        <w:rPr>
          <w:rFonts w:hint="eastAsia" w:ascii="华文中宋" w:hAnsi="华文中宋" w:eastAsia="华文中宋" w:cs="华文中宋"/>
          <w:b/>
          <w:bCs/>
          <w:sz w:val="28"/>
          <w:szCs w:val="28"/>
        </w:rPr>
        <w:t>调整前规划区城乡建设用地共3926.25公顷，约39.26平方公里；</w:t>
      </w:r>
    </w:p>
    <w:p>
      <w:pPr>
        <w:pStyle w:val="2"/>
        <w:ind w:firstLine="561"/>
        <w:rPr>
          <w:rFonts w:hint="eastAsia" w:eastAsia="华文中宋"/>
          <w:b/>
          <w:bCs/>
          <w:lang w:eastAsia="zh-CN"/>
        </w:rPr>
      </w:pPr>
      <w:r>
        <w:rPr>
          <w:rFonts w:hint="eastAsia" w:ascii="华文中宋" w:hAnsi="华文中宋" w:eastAsia="华文中宋" w:cs="华文中宋"/>
          <w:b/>
          <w:bCs/>
          <w:sz w:val="28"/>
          <w:szCs w:val="28"/>
        </w:rPr>
        <w:t>调整后规划区城乡建设用地共2</w:t>
      </w:r>
      <w:r>
        <w:rPr>
          <w:rFonts w:hint="eastAsia" w:ascii="华文中宋" w:hAnsi="华文中宋" w:eastAsia="华文中宋" w:cs="华文中宋"/>
          <w:b/>
          <w:bCs/>
          <w:sz w:val="28"/>
          <w:szCs w:val="28"/>
          <w:lang w:val="en-US" w:eastAsia="zh-CN"/>
        </w:rPr>
        <w:t>880.78</w:t>
      </w:r>
      <w:r>
        <w:rPr>
          <w:rFonts w:hint="eastAsia" w:ascii="华文中宋" w:hAnsi="华文中宋" w:eastAsia="华文中宋" w:cs="华文中宋"/>
          <w:b/>
          <w:bCs/>
          <w:sz w:val="28"/>
          <w:szCs w:val="28"/>
        </w:rPr>
        <w:t>公顷，约2</w:t>
      </w:r>
      <w:r>
        <w:rPr>
          <w:rFonts w:hint="eastAsia" w:ascii="华文中宋" w:hAnsi="华文中宋" w:eastAsia="华文中宋" w:cs="华文中宋"/>
          <w:b/>
          <w:bCs/>
          <w:sz w:val="28"/>
          <w:szCs w:val="28"/>
          <w:lang w:val="en-US" w:eastAsia="zh-CN"/>
        </w:rPr>
        <w:t>8.81</w:t>
      </w:r>
      <w:r>
        <w:rPr>
          <w:rFonts w:hint="eastAsia" w:ascii="华文中宋" w:hAnsi="华文中宋" w:eastAsia="华文中宋" w:cs="华文中宋"/>
          <w:b/>
          <w:bCs/>
          <w:sz w:val="28"/>
          <w:szCs w:val="28"/>
        </w:rPr>
        <w:t>平方公里</w:t>
      </w:r>
      <w:r>
        <w:rPr>
          <w:rFonts w:hint="eastAsia" w:ascii="华文中宋" w:hAnsi="华文中宋" w:eastAsia="华文中宋" w:cs="华文中宋"/>
          <w:b/>
          <w:bCs/>
          <w:sz w:val="28"/>
          <w:szCs w:val="28"/>
          <w:lang w:eastAsia="zh-CN"/>
        </w:rPr>
        <w:t>；</w:t>
      </w:r>
      <w:r>
        <w:rPr>
          <w:rFonts w:hint="eastAsia" w:ascii="华文中宋" w:hAnsi="华文中宋" w:eastAsia="华文中宋" w:cs="华文中宋"/>
          <w:b/>
          <w:bCs/>
          <w:sz w:val="28"/>
          <w:szCs w:val="28"/>
          <w:lang w:val="en-US" w:eastAsia="zh-CN"/>
        </w:rPr>
        <w:t>其中区域交通设施用地为19.13公顷，城乡居民点建设用地（园区建设用地）为2861.65公顷。</w:t>
      </w:r>
    </w:p>
    <w:bookmarkEnd w:id="45"/>
    <w:bookmarkEnd w:id="46"/>
    <w:bookmarkEnd w:id="47"/>
    <w:bookmarkEnd w:id="48"/>
    <w:p>
      <w:pPr>
        <w:pStyle w:val="4"/>
        <w:spacing w:before="260" w:after="260"/>
        <w:rPr>
          <w:rFonts w:ascii="华文中宋" w:hAnsi="华文中宋" w:eastAsia="华文中宋" w:cs="华文中宋"/>
        </w:rPr>
      </w:pPr>
      <w:bookmarkStart w:id="49" w:name="_Toc31072"/>
      <w:r>
        <w:rPr>
          <w:rFonts w:hint="eastAsia" w:ascii="华文中宋" w:hAnsi="华文中宋" w:eastAsia="华文中宋" w:cs="华文中宋"/>
        </w:rPr>
        <w:t>2.3 道路调整</w:t>
      </w:r>
      <w:bookmarkEnd w:id="49"/>
    </w:p>
    <w:p>
      <w:pPr>
        <w:spacing w:line="360" w:lineRule="auto"/>
        <w:ind w:firstLine="560" w:firstLineChars="200"/>
        <w:rPr>
          <w:rFonts w:ascii="华文中宋" w:hAnsi="华文中宋" w:eastAsia="华文中宋" w:cs="华文中宋"/>
          <w:bCs/>
          <w:sz w:val="28"/>
          <w:szCs w:val="28"/>
        </w:rPr>
      </w:pPr>
      <w:r>
        <w:rPr>
          <w:rFonts w:hint="eastAsia" w:ascii="华文中宋" w:hAnsi="华文中宋" w:eastAsia="华文中宋" w:cs="华文中宋"/>
          <w:bCs/>
          <w:sz w:val="28"/>
          <w:szCs w:val="28"/>
        </w:rPr>
        <w:t>1. A区道路</w:t>
      </w:r>
    </w:p>
    <w:p>
      <w:pPr>
        <w:pStyle w:val="2"/>
        <w:ind w:firstLine="560"/>
        <w:rPr>
          <w:rFonts w:ascii="华文中宋" w:hAnsi="华文中宋" w:eastAsia="华文中宋" w:cs="华文中宋"/>
          <w:bCs/>
          <w:sz w:val="28"/>
          <w:szCs w:val="28"/>
        </w:rPr>
      </w:pPr>
      <w:r>
        <w:rPr>
          <w:rFonts w:hint="eastAsia" w:ascii="华文中宋" w:hAnsi="华文中宋" w:eastAsia="华文中宋" w:cs="华文中宋"/>
          <w:bCs/>
          <w:sz w:val="28"/>
          <w:szCs w:val="28"/>
        </w:rPr>
        <w:t>由于协鑫颗粒硅及纳米硅项目（占地面积约2.25平方公里）落户五虎山社区，取消了五虎山大街及周边规划道路，故对A区道路系统进行了全面调整。</w:t>
      </w:r>
    </w:p>
    <w:p>
      <w:pPr>
        <w:pStyle w:val="2"/>
        <w:numPr>
          <w:ilvl w:val="0"/>
          <w:numId w:val="2"/>
        </w:numPr>
        <w:ind w:firstLine="560"/>
        <w:rPr>
          <w:rFonts w:ascii="华文中宋" w:hAnsi="华文中宋" w:eastAsia="华文中宋" w:cs="华文中宋"/>
          <w:bCs/>
          <w:sz w:val="28"/>
          <w:szCs w:val="28"/>
        </w:rPr>
      </w:pPr>
      <w:r>
        <w:rPr>
          <w:rFonts w:hint="eastAsia" w:ascii="华文中宋" w:hAnsi="华文中宋" w:eastAsia="华文中宋" w:cs="华文中宋"/>
          <w:bCs/>
          <w:sz w:val="28"/>
          <w:szCs w:val="28"/>
        </w:rPr>
        <w:t>其它调整</w:t>
      </w:r>
    </w:p>
    <w:p>
      <w:pPr>
        <w:pStyle w:val="2"/>
        <w:ind w:firstLine="560"/>
        <w:rPr>
          <w:rFonts w:hint="default" w:ascii="华文中宋" w:hAnsi="华文中宋" w:eastAsia="华文中宋" w:cs="华文中宋"/>
          <w:bCs/>
          <w:sz w:val="28"/>
          <w:szCs w:val="28"/>
          <w:lang w:val="en-US" w:eastAsia="zh-CN"/>
        </w:rPr>
      </w:pPr>
      <w:r>
        <w:rPr>
          <w:rFonts w:hint="eastAsia" w:ascii="华文中宋" w:hAnsi="华文中宋" w:eastAsia="华文中宋" w:cs="华文中宋"/>
          <w:bCs/>
          <w:sz w:val="28"/>
          <w:szCs w:val="28"/>
        </w:rPr>
        <w:t>沃尔特沟南侧新规划滨河道路，西起五虎山路东至污水处理厂北侧，红线宽度12米。</w:t>
      </w:r>
    </w:p>
    <w:p>
      <w:pPr>
        <w:pStyle w:val="2"/>
        <w:ind w:firstLine="560"/>
        <w:rPr>
          <w:rFonts w:ascii="华文中宋" w:hAnsi="华文中宋" w:eastAsia="华文中宋" w:cs="华文中宋"/>
          <w:bCs/>
          <w:sz w:val="28"/>
          <w:szCs w:val="28"/>
        </w:rPr>
      </w:pPr>
      <w:r>
        <w:rPr>
          <w:rFonts w:hint="eastAsia" w:ascii="华文中宋" w:hAnsi="华文中宋" w:eastAsia="华文中宋" w:cs="华文中宋"/>
          <w:bCs/>
          <w:sz w:val="28"/>
          <w:szCs w:val="28"/>
        </w:rPr>
        <w:t>取消乌达电厂西侧原规划20米红线宽度道路。</w:t>
      </w:r>
    </w:p>
    <w:p>
      <w:pPr>
        <w:pStyle w:val="2"/>
        <w:ind w:firstLine="560"/>
        <w:rPr>
          <w:rFonts w:ascii="华文中宋" w:hAnsi="华文中宋" w:eastAsia="华文中宋" w:cs="华文中宋"/>
          <w:bCs/>
          <w:sz w:val="28"/>
          <w:szCs w:val="28"/>
        </w:rPr>
      </w:pPr>
      <w:r>
        <w:rPr>
          <w:rFonts w:hint="eastAsia" w:ascii="华文中宋" w:hAnsi="华文中宋" w:eastAsia="华文中宋" w:cs="华文中宋"/>
          <w:bCs/>
          <w:sz w:val="28"/>
          <w:szCs w:val="28"/>
        </w:rPr>
        <w:t>乌海西站西侧区域（三道坎社区）道路整体调整。</w:t>
      </w:r>
    </w:p>
    <w:p>
      <w:pPr>
        <w:pStyle w:val="2"/>
        <w:ind w:firstLine="0" w:firstLineChars="0"/>
        <w:rPr>
          <w:rFonts w:ascii="华文中宋" w:hAnsi="华文中宋" w:eastAsia="华文中宋" w:cs="华文中宋"/>
          <w:bCs/>
          <w:sz w:val="28"/>
          <w:szCs w:val="28"/>
        </w:rPr>
      </w:pPr>
      <w:r>
        <w:drawing>
          <wp:inline distT="0" distB="0" distL="114300" distR="114300">
            <wp:extent cx="6381750" cy="4507865"/>
            <wp:effectExtent l="0" t="0" r="0" b="6985"/>
            <wp:docPr id="26" name="图片 16" descr="F:\2022乌达工业园控规调整\202306成果\02土地使用规划图.jpg02土地使用规划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6" descr="F:\2022乌达工业园控规调整\202306成果\02土地使用规划图.jpg02土地使用规划图"/>
                    <pic:cNvPicPr>
                      <a:picLocks noChangeAspect="1"/>
                    </pic:cNvPicPr>
                  </pic:nvPicPr>
                  <pic:blipFill>
                    <a:blip r:embed="rId22"/>
                    <a:srcRect/>
                    <a:stretch>
                      <a:fillRect/>
                    </a:stretch>
                  </pic:blipFill>
                  <pic:spPr>
                    <a:xfrm>
                      <a:off x="0" y="0"/>
                      <a:ext cx="6381750" cy="4507865"/>
                    </a:xfrm>
                    <a:prstGeom prst="rect">
                      <a:avLst/>
                    </a:prstGeom>
                    <a:noFill/>
                    <a:ln>
                      <a:noFill/>
                    </a:ln>
                  </pic:spPr>
                </pic:pic>
              </a:graphicData>
            </a:graphic>
          </wp:inline>
        </w:drawing>
      </w:r>
    </w:p>
    <w:p>
      <w:pPr>
        <w:pStyle w:val="2"/>
        <w:ind w:firstLine="480"/>
        <w:jc w:val="center"/>
        <w:rPr>
          <w:rFonts w:ascii="华文中宋" w:hAnsi="华文中宋" w:eastAsia="华文中宋" w:cs="华文中宋"/>
          <w:bCs/>
          <w:sz w:val="28"/>
          <w:szCs w:val="28"/>
        </w:rPr>
      </w:pPr>
      <w:r>
        <w:rPr>
          <w:rFonts w:hint="eastAsia" w:ascii="华文中宋" w:hAnsi="华文中宋" w:eastAsia="华文中宋" w:cs="华文中宋"/>
          <w:sz w:val="24"/>
          <w:szCs w:val="24"/>
        </w:rPr>
        <w:t>图2-3-1 土地使用规划图</w:t>
      </w:r>
    </w:p>
    <w:p>
      <w:pPr>
        <w:pStyle w:val="4"/>
        <w:spacing w:before="260" w:after="260"/>
        <w:rPr>
          <w:rFonts w:ascii="华文中宋" w:hAnsi="华文中宋" w:eastAsia="华文中宋" w:cs="华文中宋"/>
        </w:rPr>
      </w:pPr>
      <w:bookmarkStart w:id="50" w:name="_Toc7061"/>
      <w:r>
        <w:rPr>
          <w:rFonts w:hint="eastAsia" w:ascii="华文中宋" w:hAnsi="华文中宋" w:eastAsia="华文中宋" w:cs="华文中宋"/>
        </w:rPr>
        <w:t>2.4 用地调整</w:t>
      </w:r>
      <w:bookmarkEnd w:id="50"/>
    </w:p>
    <w:p>
      <w:pPr>
        <w:spacing w:line="360" w:lineRule="auto"/>
        <w:ind w:firstLine="560" w:firstLineChars="200"/>
        <w:rPr>
          <w:rFonts w:ascii="华文中宋" w:hAnsi="华文中宋" w:eastAsia="华文中宋" w:cs="华文中宋"/>
          <w:bCs/>
          <w:sz w:val="28"/>
          <w:szCs w:val="28"/>
        </w:rPr>
      </w:pPr>
      <w:r>
        <w:rPr>
          <w:rFonts w:hint="eastAsia" w:ascii="华文中宋" w:hAnsi="华文中宋" w:eastAsia="华文中宋" w:cs="华文中宋"/>
          <w:bCs/>
          <w:sz w:val="28"/>
          <w:szCs w:val="28"/>
        </w:rPr>
        <w:t>由于规划区范围线根据城镇开发边界进行了调整，涉及范围线调整的所有用地界线均进行了调整；同时，根据部分不符合原规划的新建项目建设需求，调整了部分用地的性质或控制指标。A区调整将在后文单独说明，其它单独地块调整内容为：</w:t>
      </w:r>
    </w:p>
    <w:p>
      <w:pPr>
        <w:spacing w:line="360" w:lineRule="auto"/>
        <w:ind w:firstLine="561" w:firstLineChars="200"/>
        <w:rPr>
          <w:rFonts w:ascii="华文中宋" w:hAnsi="华文中宋" w:eastAsia="华文中宋" w:cs="华文中宋"/>
          <w:b/>
          <w:sz w:val="28"/>
          <w:szCs w:val="28"/>
        </w:rPr>
      </w:pPr>
      <w:r>
        <w:rPr>
          <w:rFonts w:hint="eastAsia" w:ascii="华文中宋" w:hAnsi="华文中宋" w:eastAsia="华文中宋" w:cs="华文中宋"/>
          <w:b/>
          <w:sz w:val="28"/>
          <w:szCs w:val="28"/>
        </w:rPr>
        <w:t>（1）B13图则中S42地块控制指标调整</w:t>
      </w:r>
    </w:p>
    <w:p>
      <w:pPr>
        <w:spacing w:line="360" w:lineRule="auto"/>
        <w:ind w:firstLine="561" w:firstLineChars="200"/>
        <w:rPr>
          <w:rFonts w:ascii="华文中宋" w:hAnsi="华文中宋" w:eastAsia="华文中宋" w:cs="华文中宋"/>
          <w:b/>
          <w:sz w:val="28"/>
          <w:szCs w:val="28"/>
        </w:rPr>
      </w:pPr>
      <w:r>
        <w:rPr>
          <w:rFonts w:hint="eastAsia" w:ascii="华文中宋" w:hAnsi="华文中宋" w:eastAsia="华文中宋" w:cs="华文中宋"/>
          <w:b/>
          <w:sz w:val="28"/>
          <w:szCs w:val="28"/>
        </w:rPr>
        <w:t>容积率从≤0.1调整为≤0.3</w:t>
      </w:r>
    </w:p>
    <w:p>
      <w:pPr>
        <w:spacing w:line="360" w:lineRule="auto"/>
        <w:ind w:firstLine="561" w:firstLineChars="200"/>
        <w:rPr>
          <w:rFonts w:ascii="华文中宋" w:hAnsi="华文中宋" w:eastAsia="华文中宋" w:cs="华文中宋"/>
          <w:b/>
          <w:sz w:val="28"/>
          <w:szCs w:val="28"/>
        </w:rPr>
      </w:pPr>
      <w:r>
        <w:rPr>
          <w:rFonts w:hint="eastAsia" w:ascii="华文中宋" w:hAnsi="华文中宋" w:eastAsia="华文中宋" w:cs="华文中宋"/>
          <w:b/>
          <w:sz w:val="28"/>
          <w:szCs w:val="28"/>
        </w:rPr>
        <w:t>建筑密度从≤5%调整为≤15%</w:t>
      </w:r>
    </w:p>
    <w:p>
      <w:pPr>
        <w:pStyle w:val="2"/>
        <w:ind w:firstLine="561"/>
        <w:rPr>
          <w:rFonts w:ascii="华文中宋" w:hAnsi="华文中宋" w:eastAsia="华文中宋" w:cs="华文中宋"/>
          <w:b/>
          <w:sz w:val="28"/>
          <w:szCs w:val="28"/>
        </w:rPr>
      </w:pPr>
      <w:r>
        <w:rPr>
          <w:rFonts w:hint="eastAsia" w:ascii="华文中宋" w:hAnsi="华文中宋" w:eastAsia="华文中宋" w:cs="华文中宋"/>
          <w:b/>
          <w:sz w:val="28"/>
          <w:szCs w:val="28"/>
        </w:rPr>
        <w:t>建筑高度从限高8米调整为限高24米</w:t>
      </w:r>
    </w:p>
    <w:p>
      <w:pPr>
        <w:pStyle w:val="2"/>
        <w:ind w:firstLine="561"/>
        <w:rPr>
          <w:rFonts w:hint="eastAsia" w:ascii="华文中宋" w:hAnsi="华文中宋" w:eastAsia="华文中宋" w:cs="华文中宋"/>
          <w:b/>
          <w:sz w:val="28"/>
          <w:szCs w:val="28"/>
        </w:rPr>
      </w:pPr>
      <w:r>
        <w:rPr>
          <w:rFonts w:hint="eastAsia" w:ascii="华文中宋" w:hAnsi="华文中宋" w:eastAsia="华文中宋" w:cs="华文中宋"/>
          <w:b/>
          <w:sz w:val="28"/>
          <w:szCs w:val="28"/>
        </w:rPr>
        <w:t>绿地率从≥20调整为不做强制要求</w:t>
      </w:r>
    </w:p>
    <w:p>
      <w:pPr>
        <w:pStyle w:val="2"/>
        <w:numPr>
          <w:numId w:val="0"/>
        </w:numPr>
        <w:ind w:firstLine="561" w:firstLineChars="200"/>
        <w:rPr>
          <w:rFonts w:hint="eastAsia" w:ascii="华文中宋" w:hAnsi="华文中宋" w:eastAsia="华文中宋" w:cs="华文中宋"/>
          <w:b/>
          <w:sz w:val="28"/>
          <w:szCs w:val="28"/>
          <w:lang w:val="en-US" w:eastAsia="zh-CN"/>
        </w:rPr>
      </w:pPr>
      <w:r>
        <w:rPr>
          <w:rFonts w:hint="eastAsia" w:ascii="华文中宋" w:hAnsi="华文中宋" w:eastAsia="华文中宋" w:cs="华文中宋"/>
          <w:b/>
          <w:sz w:val="28"/>
          <w:szCs w:val="28"/>
          <w:lang w:val="en-US" w:eastAsia="zh-CN"/>
        </w:rPr>
        <w:t>（2）B3、B5图则中消防站位置变更调整</w:t>
      </w:r>
    </w:p>
    <w:p>
      <w:pPr>
        <w:pStyle w:val="2"/>
        <w:numPr>
          <w:numId w:val="0"/>
        </w:numPr>
        <w:ind w:firstLine="561" w:firstLineChars="200"/>
        <w:rPr>
          <w:rFonts w:hint="default" w:ascii="华文中宋" w:hAnsi="华文中宋" w:eastAsia="华文中宋" w:cs="华文中宋"/>
          <w:b/>
          <w:sz w:val="28"/>
          <w:szCs w:val="28"/>
          <w:lang w:val="en-US" w:eastAsia="zh-CN"/>
        </w:rPr>
      </w:pPr>
      <w:r>
        <w:rPr>
          <w:rFonts w:hint="eastAsia" w:ascii="华文中宋" w:hAnsi="华文中宋" w:eastAsia="华文中宋" w:cs="华文中宋"/>
          <w:b/>
          <w:sz w:val="28"/>
          <w:szCs w:val="28"/>
          <w:lang w:val="en-US" w:eastAsia="zh-CN"/>
        </w:rPr>
        <w:t>原B3地块中消防站用地调整至B5地块，原用地面积、容积率等各类指标均维持不变。</w:t>
      </w:r>
    </w:p>
    <w:p>
      <w:pPr>
        <w:pStyle w:val="2"/>
        <w:numPr>
          <w:numId w:val="0"/>
        </w:numPr>
        <w:ind w:firstLine="561" w:firstLineChars="200"/>
        <w:rPr>
          <w:rFonts w:ascii="华文中宋" w:hAnsi="华文中宋" w:eastAsia="华文中宋" w:cs="华文中宋"/>
          <w:b/>
          <w:sz w:val="28"/>
          <w:szCs w:val="28"/>
        </w:rPr>
      </w:pPr>
      <w:r>
        <w:rPr>
          <w:rFonts w:hint="eastAsia" w:ascii="华文中宋" w:hAnsi="华文中宋" w:eastAsia="华文中宋" w:cs="华文中宋"/>
          <w:b/>
          <w:sz w:val="28"/>
          <w:szCs w:val="28"/>
          <w:lang w:eastAsia="zh-CN"/>
        </w:rPr>
        <w:t>（</w:t>
      </w:r>
      <w:r>
        <w:rPr>
          <w:rFonts w:hint="eastAsia" w:ascii="华文中宋" w:hAnsi="华文中宋" w:eastAsia="华文中宋" w:cs="华文中宋"/>
          <w:b/>
          <w:sz w:val="28"/>
          <w:szCs w:val="28"/>
          <w:lang w:val="en-US" w:eastAsia="zh-CN"/>
        </w:rPr>
        <w:t>3</w:t>
      </w:r>
      <w:r>
        <w:rPr>
          <w:rFonts w:hint="eastAsia" w:ascii="华文中宋" w:hAnsi="华文中宋" w:eastAsia="华文中宋" w:cs="华文中宋"/>
          <w:b/>
          <w:sz w:val="28"/>
          <w:szCs w:val="28"/>
          <w:lang w:eastAsia="zh-CN"/>
        </w:rPr>
        <w:t>）</w:t>
      </w:r>
      <w:r>
        <w:rPr>
          <w:rFonts w:hint="eastAsia" w:ascii="华文中宋" w:hAnsi="华文中宋" w:eastAsia="华文中宋" w:cs="华文中宋"/>
          <w:b/>
          <w:sz w:val="28"/>
          <w:szCs w:val="28"/>
        </w:rPr>
        <w:t>C1图则中新增A22用地</w:t>
      </w:r>
    </w:p>
    <w:p>
      <w:pPr>
        <w:pStyle w:val="2"/>
        <w:ind w:firstLine="561"/>
        <w:rPr>
          <w:rFonts w:ascii="华文中宋" w:hAnsi="华文中宋" w:eastAsia="华文中宋" w:cs="华文中宋"/>
          <w:b/>
          <w:sz w:val="28"/>
          <w:szCs w:val="28"/>
        </w:rPr>
      </w:pPr>
      <w:r>
        <w:rPr>
          <w:rFonts w:hint="eastAsia" w:ascii="华文中宋" w:hAnsi="华文中宋" w:eastAsia="华文中宋" w:cs="华文中宋"/>
          <w:b/>
          <w:sz w:val="28"/>
          <w:szCs w:val="28"/>
        </w:rPr>
        <w:t>容积率≤1.0，建筑密度≤45%，绿地率≥30%，建筑限高24米</w:t>
      </w:r>
    </w:p>
    <w:p>
      <w:pPr>
        <w:pStyle w:val="2"/>
        <w:numPr>
          <w:numId w:val="0"/>
        </w:numPr>
        <w:ind w:firstLine="561" w:firstLineChars="200"/>
        <w:rPr>
          <w:rFonts w:ascii="华文中宋" w:hAnsi="华文中宋" w:eastAsia="华文中宋" w:cs="华文中宋"/>
          <w:b/>
          <w:sz w:val="28"/>
          <w:szCs w:val="28"/>
        </w:rPr>
      </w:pPr>
      <w:r>
        <w:rPr>
          <w:rFonts w:hint="eastAsia" w:ascii="华文中宋" w:hAnsi="华文中宋" w:eastAsia="华文中宋" w:cs="华文中宋"/>
          <w:b/>
          <w:sz w:val="28"/>
          <w:szCs w:val="28"/>
          <w:lang w:eastAsia="zh-CN"/>
        </w:rPr>
        <w:t>（</w:t>
      </w:r>
      <w:r>
        <w:rPr>
          <w:rFonts w:hint="eastAsia" w:ascii="华文中宋" w:hAnsi="华文中宋" w:eastAsia="华文中宋" w:cs="华文中宋"/>
          <w:b/>
          <w:sz w:val="28"/>
          <w:szCs w:val="28"/>
          <w:lang w:val="en-US" w:eastAsia="zh-CN"/>
        </w:rPr>
        <w:t>4</w:t>
      </w:r>
      <w:r>
        <w:rPr>
          <w:rFonts w:hint="eastAsia" w:ascii="华文中宋" w:hAnsi="华文中宋" w:eastAsia="华文中宋" w:cs="华文中宋"/>
          <w:b/>
          <w:sz w:val="28"/>
          <w:szCs w:val="28"/>
          <w:lang w:eastAsia="zh-CN"/>
        </w:rPr>
        <w:t>）</w:t>
      </w:r>
      <w:r>
        <w:rPr>
          <w:rFonts w:hint="eastAsia" w:ascii="华文中宋" w:hAnsi="华文中宋" w:eastAsia="华文中宋" w:cs="华文中宋"/>
          <w:b/>
          <w:sz w:val="28"/>
          <w:szCs w:val="28"/>
        </w:rPr>
        <w:t>C4、C5图则中新增U21用地</w:t>
      </w:r>
    </w:p>
    <w:p>
      <w:pPr>
        <w:pStyle w:val="2"/>
        <w:ind w:firstLine="561"/>
        <w:rPr>
          <w:rFonts w:ascii="华文中宋" w:hAnsi="华文中宋" w:eastAsia="华文中宋" w:cs="华文中宋"/>
          <w:b/>
          <w:sz w:val="28"/>
          <w:szCs w:val="28"/>
        </w:rPr>
      </w:pPr>
      <w:r>
        <w:rPr>
          <w:rFonts w:hint="eastAsia" w:ascii="华文中宋" w:hAnsi="华文中宋" w:eastAsia="华文中宋" w:cs="华文中宋"/>
          <w:b/>
          <w:sz w:val="28"/>
          <w:szCs w:val="28"/>
        </w:rPr>
        <w:t>容积率≤0.5，建筑密度≤25%，绿地率≥40%，建筑限高12米</w:t>
      </w:r>
    </w:p>
    <w:p>
      <w:pPr>
        <w:pStyle w:val="4"/>
        <w:spacing w:before="260" w:after="260"/>
        <w:rPr>
          <w:rFonts w:ascii="华文中宋" w:hAnsi="华文中宋" w:eastAsia="华文中宋" w:cs="华文中宋"/>
        </w:rPr>
      </w:pPr>
      <w:bookmarkStart w:id="51" w:name="_Toc19290"/>
      <w:r>
        <w:rPr>
          <w:rFonts w:hint="eastAsia" w:ascii="华文中宋" w:hAnsi="华文中宋" w:eastAsia="华文中宋" w:cs="华文中宋"/>
        </w:rPr>
        <w:t>2.5 用地规模</w:t>
      </w:r>
      <w:bookmarkEnd w:id="51"/>
    </w:p>
    <w:p>
      <w:pPr>
        <w:spacing w:line="360" w:lineRule="auto"/>
        <w:ind w:firstLine="561" w:firstLineChars="200"/>
        <w:rPr>
          <w:rFonts w:ascii="华文中宋" w:hAnsi="华文中宋" w:eastAsia="华文中宋" w:cs="华文中宋"/>
          <w:b/>
          <w:sz w:val="28"/>
          <w:szCs w:val="28"/>
        </w:rPr>
      </w:pPr>
      <w:r>
        <w:rPr>
          <w:rFonts w:hint="eastAsia" w:ascii="华文中宋" w:hAnsi="华文中宋" w:eastAsia="华文中宋" w:cs="华文中宋"/>
          <w:b/>
          <w:sz w:val="28"/>
          <w:szCs w:val="28"/>
        </w:rPr>
        <w:t>本次调整后城乡总用地面积</w:t>
      </w:r>
      <w:r>
        <w:rPr>
          <w:rFonts w:hint="eastAsia" w:ascii="华文中宋" w:hAnsi="华文中宋" w:eastAsia="华文中宋" w:cs="华文中宋"/>
          <w:b/>
          <w:sz w:val="28"/>
          <w:szCs w:val="28"/>
          <w:lang w:val="en-US" w:eastAsia="zh-CN"/>
        </w:rPr>
        <w:t>2883.80</w:t>
      </w:r>
      <w:r>
        <w:rPr>
          <w:rFonts w:hint="eastAsia" w:ascii="华文中宋" w:hAnsi="华文中宋" w:eastAsia="华文中宋" w:cs="华文中宋"/>
          <w:b/>
          <w:sz w:val="28"/>
          <w:szCs w:val="28"/>
        </w:rPr>
        <w:t>公顷，其中建设用地2</w:t>
      </w:r>
      <w:r>
        <w:rPr>
          <w:rFonts w:hint="eastAsia" w:ascii="华文中宋" w:hAnsi="华文中宋" w:eastAsia="华文中宋" w:cs="华文中宋"/>
          <w:b/>
          <w:sz w:val="28"/>
          <w:szCs w:val="28"/>
          <w:lang w:val="en-US" w:eastAsia="zh-CN"/>
        </w:rPr>
        <w:t>880.78</w:t>
      </w:r>
      <w:r>
        <w:rPr>
          <w:rFonts w:hint="eastAsia" w:ascii="华文中宋" w:hAnsi="华文中宋" w:eastAsia="华文中宋" w:cs="华文中宋"/>
          <w:b/>
          <w:sz w:val="28"/>
          <w:szCs w:val="28"/>
        </w:rPr>
        <w:t>公顷（包含园区建设用地</w:t>
      </w:r>
      <w:r>
        <w:rPr>
          <w:rFonts w:hint="eastAsia" w:ascii="华文中宋" w:hAnsi="华文中宋" w:eastAsia="华文中宋" w:cs="华文中宋"/>
          <w:b/>
          <w:sz w:val="28"/>
          <w:szCs w:val="28"/>
          <w:lang w:val="en-US" w:eastAsia="zh-CN"/>
        </w:rPr>
        <w:t>2861.65</w:t>
      </w:r>
      <w:r>
        <w:rPr>
          <w:rFonts w:hint="eastAsia" w:ascii="华文中宋" w:hAnsi="华文中宋" w:eastAsia="华文中宋" w:cs="华文中宋"/>
          <w:b/>
          <w:sz w:val="28"/>
          <w:szCs w:val="28"/>
        </w:rPr>
        <w:t>公顷和区域交通设施用地1</w:t>
      </w:r>
      <w:r>
        <w:rPr>
          <w:rFonts w:hint="eastAsia" w:ascii="华文中宋" w:hAnsi="华文中宋" w:eastAsia="华文中宋" w:cs="华文中宋"/>
          <w:b/>
          <w:sz w:val="28"/>
          <w:szCs w:val="28"/>
          <w:lang w:val="en-US" w:eastAsia="zh-CN"/>
        </w:rPr>
        <w:t>9.13</w:t>
      </w:r>
      <w:r>
        <w:rPr>
          <w:rFonts w:hint="eastAsia" w:ascii="华文中宋" w:hAnsi="华文中宋" w:eastAsia="华文中宋" w:cs="华文中宋"/>
          <w:b/>
          <w:sz w:val="28"/>
          <w:szCs w:val="28"/>
        </w:rPr>
        <w:t>公顷），非建设用地3.02公顷。</w:t>
      </w:r>
    </w:p>
    <w:p>
      <w:pPr>
        <w:spacing w:line="360" w:lineRule="auto"/>
        <w:ind w:firstLine="561" w:firstLineChars="200"/>
        <w:rPr>
          <w:rFonts w:ascii="华文中宋" w:hAnsi="华文中宋" w:eastAsia="华文中宋" w:cs="华文中宋"/>
          <w:bCs/>
          <w:sz w:val="28"/>
          <w:szCs w:val="28"/>
        </w:rPr>
      </w:pPr>
      <w:r>
        <w:rPr>
          <w:rFonts w:hint="eastAsia" w:ascii="华文中宋" w:hAnsi="华文中宋" w:eastAsia="华文中宋" w:cs="华文中宋"/>
          <w:b/>
          <w:sz w:val="28"/>
          <w:szCs w:val="28"/>
        </w:rPr>
        <w:t>城市（园区）建设用地28</w:t>
      </w:r>
      <w:r>
        <w:rPr>
          <w:rFonts w:hint="eastAsia" w:ascii="华文中宋" w:hAnsi="华文中宋" w:eastAsia="华文中宋" w:cs="华文中宋"/>
          <w:b/>
          <w:sz w:val="28"/>
          <w:szCs w:val="28"/>
          <w:lang w:val="en-US" w:eastAsia="zh-CN"/>
        </w:rPr>
        <w:t>61.65</w:t>
      </w:r>
      <w:r>
        <w:rPr>
          <w:rFonts w:hint="eastAsia" w:ascii="华文中宋" w:hAnsi="华文中宋" w:eastAsia="华文中宋" w:cs="华文中宋"/>
          <w:b/>
          <w:sz w:val="28"/>
          <w:szCs w:val="28"/>
        </w:rPr>
        <w:t>公顷，其中公共管理与公共服务设施用地3.31公顷，商业服务业设施用地14.22公顷，工业用地219</w:t>
      </w:r>
      <w:r>
        <w:rPr>
          <w:rFonts w:hint="eastAsia" w:ascii="华文中宋" w:hAnsi="华文中宋" w:eastAsia="华文中宋" w:cs="华文中宋"/>
          <w:b/>
          <w:sz w:val="28"/>
          <w:szCs w:val="28"/>
          <w:lang w:val="en-US" w:eastAsia="zh-CN"/>
        </w:rPr>
        <w:t>1.46</w:t>
      </w:r>
      <w:r>
        <w:rPr>
          <w:rFonts w:hint="eastAsia" w:ascii="华文中宋" w:hAnsi="华文中宋" w:eastAsia="华文中宋" w:cs="华文中宋"/>
          <w:b/>
          <w:sz w:val="28"/>
          <w:szCs w:val="28"/>
        </w:rPr>
        <w:t>公顷，物流仓储用地282.85公顷，道路与交通设施用地1</w:t>
      </w:r>
      <w:r>
        <w:rPr>
          <w:rFonts w:hint="eastAsia" w:ascii="华文中宋" w:hAnsi="华文中宋" w:eastAsia="华文中宋" w:cs="华文中宋"/>
          <w:b/>
          <w:sz w:val="28"/>
          <w:szCs w:val="28"/>
          <w:lang w:val="en-US" w:eastAsia="zh-CN"/>
        </w:rPr>
        <w:t>41.98</w:t>
      </w:r>
      <w:r>
        <w:rPr>
          <w:rFonts w:hint="eastAsia" w:ascii="华文中宋" w:hAnsi="华文中宋" w:eastAsia="华文中宋" w:cs="华文中宋"/>
          <w:b/>
          <w:sz w:val="28"/>
          <w:szCs w:val="28"/>
        </w:rPr>
        <w:t>公顷，公用设施用地32.62公顷，绿地与广场用地19</w:t>
      </w:r>
      <w:r>
        <w:rPr>
          <w:rFonts w:hint="eastAsia" w:ascii="华文中宋" w:hAnsi="华文中宋" w:eastAsia="华文中宋" w:cs="华文中宋"/>
          <w:b/>
          <w:sz w:val="28"/>
          <w:szCs w:val="28"/>
          <w:lang w:val="en-US" w:eastAsia="zh-CN"/>
        </w:rPr>
        <w:t>5</w:t>
      </w:r>
      <w:r>
        <w:rPr>
          <w:rFonts w:hint="eastAsia" w:ascii="华文中宋" w:hAnsi="华文中宋" w:eastAsia="华文中宋" w:cs="华文中宋"/>
          <w:b/>
          <w:sz w:val="28"/>
          <w:szCs w:val="28"/>
        </w:rPr>
        <w:t>.</w:t>
      </w:r>
      <w:r>
        <w:rPr>
          <w:rFonts w:hint="eastAsia" w:ascii="华文中宋" w:hAnsi="华文中宋" w:eastAsia="华文中宋" w:cs="华文中宋"/>
          <w:b/>
          <w:sz w:val="28"/>
          <w:szCs w:val="28"/>
          <w:lang w:val="en-US" w:eastAsia="zh-CN"/>
        </w:rPr>
        <w:t>21</w:t>
      </w:r>
      <w:r>
        <w:rPr>
          <w:rFonts w:hint="eastAsia" w:ascii="华文中宋" w:hAnsi="华文中宋" w:eastAsia="华文中宋" w:cs="华文中宋"/>
          <w:b/>
          <w:sz w:val="28"/>
          <w:szCs w:val="28"/>
        </w:rPr>
        <w:t>公顷。</w:t>
      </w:r>
    </w:p>
    <w:tbl>
      <w:tblPr>
        <w:tblW w:w="9240"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Layout w:type="autofit"/>
        <w:tblCellMar>
          <w:top w:w="0" w:type="dxa"/>
          <w:left w:w="108" w:type="dxa"/>
          <w:bottom w:w="0" w:type="dxa"/>
          <w:right w:w="108" w:type="dxa"/>
        </w:tblCellMar>
      </w:tblPr>
      <w:tblGrid>
        <w:gridCol w:w="645"/>
        <w:gridCol w:w="690"/>
        <w:gridCol w:w="840"/>
        <w:gridCol w:w="2715"/>
        <w:gridCol w:w="2160"/>
        <w:gridCol w:w="219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405" w:hRule="atLeast"/>
          <w:jc w:val="center"/>
        </w:trPr>
        <w:tc>
          <w:tcPr>
            <w:tcW w:w="9240" w:type="dxa"/>
            <w:gridSpan w:val="6"/>
            <w:tcBorders>
              <w:top w:val="nil"/>
              <w:left w:val="nil"/>
              <w:bottom w:val="nil"/>
              <w:right w:val="nil"/>
            </w:tcBorders>
            <w:shd w:val="clear"/>
            <w:noWrap/>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4"/>
                <w:szCs w:val="24"/>
                <w:u w:val="none"/>
                <w:bdr w:val="none" w:color="auto" w:sz="0" w:space="0"/>
                <w:lang w:val="en-US" w:eastAsia="zh-CN" w:bidi="ar"/>
              </w:rPr>
              <w:t>表2-5-1 城乡用地汇总表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285" w:hRule="atLeast"/>
          <w:jc w:val="center"/>
        </w:trPr>
        <w:tc>
          <w:tcPr>
            <w:tcW w:w="2175" w:type="dxa"/>
            <w:gridSpan w:val="3"/>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用地代码</w:t>
            </w:r>
          </w:p>
        </w:tc>
        <w:tc>
          <w:tcPr>
            <w:tcW w:w="2715" w:type="dxa"/>
            <w:vMerge w:val="restart"/>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用地名称</w:t>
            </w:r>
          </w:p>
        </w:tc>
        <w:tc>
          <w:tcPr>
            <w:tcW w:w="2160" w:type="dxa"/>
            <w:vMerge w:val="restart"/>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用地面积(hm²)</w:t>
            </w:r>
          </w:p>
        </w:tc>
        <w:tc>
          <w:tcPr>
            <w:tcW w:w="2190" w:type="dxa"/>
            <w:vMerge w:val="restart"/>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占城乡用地比例(%)</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285" w:hRule="atLeast"/>
          <w:jc w:val="center"/>
        </w:trPr>
        <w:tc>
          <w:tcPr>
            <w:tcW w:w="645" w:type="dxa"/>
            <w:tcBorders>
              <w:top w:val="single" w:color="000000" w:sz="4" w:space="0"/>
              <w:left w:val="single" w:color="000000" w:sz="4" w:space="0"/>
              <w:bottom w:val="single" w:color="000000" w:sz="4" w:space="0"/>
              <w:right w:val="single" w:color="000000" w:sz="4" w:space="0"/>
            </w:tcBorders>
            <w:shd w:val="clear"/>
            <w:vAlign w:val="top"/>
          </w:tcPr>
          <w:p>
            <w:pPr>
              <w:keepNext w:val="0"/>
              <w:keepLines w:val="0"/>
              <w:widowControl/>
              <w:suppressLineNumbers w:val="0"/>
              <w:jc w:val="center"/>
              <w:textAlignment w:val="top"/>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大类</w:t>
            </w:r>
          </w:p>
        </w:tc>
        <w:tc>
          <w:tcPr>
            <w:tcW w:w="690" w:type="dxa"/>
            <w:tcBorders>
              <w:top w:val="single" w:color="000000" w:sz="4" w:space="0"/>
              <w:left w:val="single" w:color="000000" w:sz="4" w:space="0"/>
              <w:bottom w:val="single" w:color="000000" w:sz="4" w:space="0"/>
              <w:right w:val="single" w:color="000000" w:sz="4" w:space="0"/>
            </w:tcBorders>
            <w:shd w:val="clear"/>
            <w:vAlign w:val="top"/>
          </w:tcPr>
          <w:p>
            <w:pPr>
              <w:keepNext w:val="0"/>
              <w:keepLines w:val="0"/>
              <w:widowControl/>
              <w:suppressLineNumbers w:val="0"/>
              <w:jc w:val="center"/>
              <w:textAlignment w:val="top"/>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中类</w:t>
            </w:r>
          </w:p>
        </w:tc>
        <w:tc>
          <w:tcPr>
            <w:tcW w:w="84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小类</w:t>
            </w:r>
          </w:p>
        </w:tc>
        <w:tc>
          <w:tcPr>
            <w:tcW w:w="2715" w:type="dxa"/>
            <w:vMerge w:val="continue"/>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华文中宋" w:hAnsi="华文中宋" w:eastAsia="华文中宋" w:cs="华文中宋"/>
                <w:i w:val="0"/>
                <w:iCs w:val="0"/>
                <w:color w:val="000000"/>
                <w:sz w:val="21"/>
                <w:szCs w:val="21"/>
                <w:u w:val="none"/>
              </w:rPr>
            </w:pPr>
          </w:p>
        </w:tc>
        <w:tc>
          <w:tcPr>
            <w:tcW w:w="2160" w:type="dxa"/>
            <w:vMerge w:val="continue"/>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华文中宋" w:hAnsi="华文中宋" w:eastAsia="华文中宋" w:cs="华文中宋"/>
                <w:i w:val="0"/>
                <w:iCs w:val="0"/>
                <w:color w:val="000000"/>
                <w:sz w:val="21"/>
                <w:szCs w:val="21"/>
                <w:u w:val="none"/>
              </w:rPr>
            </w:pPr>
          </w:p>
        </w:tc>
        <w:tc>
          <w:tcPr>
            <w:tcW w:w="2190" w:type="dxa"/>
            <w:vMerge w:val="continue"/>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华文中宋" w:hAnsi="华文中宋" w:eastAsia="华文中宋" w:cs="华文中宋"/>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285" w:hRule="atLeast"/>
          <w:jc w:val="center"/>
        </w:trPr>
        <w:tc>
          <w:tcPr>
            <w:tcW w:w="645" w:type="dxa"/>
            <w:vMerge w:val="restart"/>
            <w:tcBorders>
              <w:top w:val="single" w:color="000000" w:sz="4" w:space="0"/>
              <w:left w:val="single" w:color="000000" w:sz="4" w:space="0"/>
              <w:bottom w:val="nil"/>
              <w:right w:val="single" w:color="000000" w:sz="4" w:space="0"/>
            </w:tcBorders>
            <w:shd w:val="clear"/>
            <w:vAlign w:val="top"/>
          </w:tcPr>
          <w:p>
            <w:pPr>
              <w:keepNext w:val="0"/>
              <w:keepLines w:val="0"/>
              <w:widowControl/>
              <w:suppressLineNumbers w:val="0"/>
              <w:jc w:val="center"/>
              <w:textAlignment w:val="top"/>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H</w:t>
            </w:r>
          </w:p>
        </w:tc>
        <w:tc>
          <w:tcPr>
            <w:tcW w:w="690" w:type="dxa"/>
            <w:tcBorders>
              <w:top w:val="single" w:color="000000" w:sz="4" w:space="0"/>
              <w:left w:val="single" w:color="000000" w:sz="4" w:space="0"/>
              <w:bottom w:val="single" w:color="000000" w:sz="4" w:space="0"/>
              <w:right w:val="single" w:color="000000" w:sz="4" w:space="0"/>
            </w:tcBorders>
            <w:shd w:val="clear"/>
            <w:vAlign w:val="top"/>
          </w:tcPr>
          <w:p>
            <w:pPr>
              <w:jc w:val="center"/>
              <w:rPr>
                <w:rFonts w:hint="eastAsia" w:ascii="华文中宋" w:hAnsi="华文中宋" w:eastAsia="华文中宋" w:cs="华文中宋"/>
                <w:i w:val="0"/>
                <w:iCs w:val="0"/>
                <w:color w:val="000000"/>
                <w:sz w:val="21"/>
                <w:szCs w:val="21"/>
                <w:u w:val="none"/>
              </w:rPr>
            </w:pPr>
          </w:p>
        </w:tc>
        <w:tc>
          <w:tcPr>
            <w:tcW w:w="840"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华文中宋" w:hAnsi="华文中宋" w:eastAsia="华文中宋" w:cs="华文中宋"/>
                <w:i w:val="0"/>
                <w:iCs w:val="0"/>
                <w:color w:val="000000"/>
                <w:sz w:val="21"/>
                <w:szCs w:val="21"/>
                <w:u w:val="none"/>
              </w:rPr>
            </w:pPr>
          </w:p>
        </w:tc>
        <w:tc>
          <w:tcPr>
            <w:tcW w:w="271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建设用地</w:t>
            </w:r>
          </w:p>
        </w:tc>
        <w:tc>
          <w:tcPr>
            <w:tcW w:w="216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 xml:space="preserve">2880.78 </w:t>
            </w:r>
          </w:p>
        </w:tc>
        <w:tc>
          <w:tcPr>
            <w:tcW w:w="219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 xml:space="preserve">99.90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645" w:type="dxa"/>
            <w:vMerge w:val="continue"/>
            <w:tcBorders>
              <w:top w:val="single" w:color="000000" w:sz="4" w:space="0"/>
              <w:left w:val="single" w:color="000000" w:sz="4" w:space="0"/>
              <w:bottom w:val="nil"/>
              <w:right w:val="single" w:color="000000" w:sz="4" w:space="0"/>
            </w:tcBorders>
            <w:shd w:val="clear"/>
            <w:vAlign w:val="top"/>
          </w:tcPr>
          <w:p>
            <w:pPr>
              <w:jc w:val="center"/>
              <w:rPr>
                <w:rFonts w:hint="eastAsia" w:ascii="华文中宋" w:hAnsi="华文中宋" w:eastAsia="华文中宋" w:cs="华文中宋"/>
                <w:i w:val="0"/>
                <w:iCs w:val="0"/>
                <w:color w:val="000000"/>
                <w:sz w:val="21"/>
                <w:szCs w:val="21"/>
                <w:u w:val="none"/>
              </w:rPr>
            </w:pPr>
          </w:p>
        </w:tc>
        <w:tc>
          <w:tcPr>
            <w:tcW w:w="690" w:type="dxa"/>
            <w:vMerge w:val="restart"/>
            <w:tcBorders>
              <w:top w:val="single" w:color="000000" w:sz="4" w:space="0"/>
              <w:left w:val="single" w:color="000000" w:sz="4" w:space="0"/>
              <w:bottom w:val="single" w:color="000000" w:sz="4" w:space="0"/>
              <w:right w:val="single" w:color="000000" w:sz="4" w:space="0"/>
            </w:tcBorders>
            <w:shd w:val="clear"/>
            <w:vAlign w:val="top"/>
          </w:tcPr>
          <w:p>
            <w:pPr>
              <w:keepNext w:val="0"/>
              <w:keepLines w:val="0"/>
              <w:widowControl/>
              <w:suppressLineNumbers w:val="0"/>
              <w:jc w:val="center"/>
              <w:textAlignment w:val="top"/>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H1</w:t>
            </w:r>
          </w:p>
        </w:tc>
        <w:tc>
          <w:tcPr>
            <w:tcW w:w="840"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华文中宋" w:hAnsi="华文中宋" w:eastAsia="华文中宋" w:cs="华文中宋"/>
                <w:i w:val="0"/>
                <w:iCs w:val="0"/>
                <w:color w:val="000000"/>
                <w:sz w:val="21"/>
                <w:szCs w:val="21"/>
                <w:u w:val="none"/>
              </w:rPr>
            </w:pPr>
          </w:p>
        </w:tc>
        <w:tc>
          <w:tcPr>
            <w:tcW w:w="271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城乡居民点建设用地</w:t>
            </w:r>
          </w:p>
        </w:tc>
        <w:tc>
          <w:tcPr>
            <w:tcW w:w="216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 xml:space="preserve">2861.65 </w:t>
            </w:r>
          </w:p>
        </w:tc>
        <w:tc>
          <w:tcPr>
            <w:tcW w:w="2190"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华文中宋" w:hAnsi="华文中宋" w:eastAsia="华文中宋" w:cs="华文中宋"/>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645" w:type="dxa"/>
            <w:vMerge w:val="continue"/>
            <w:tcBorders>
              <w:top w:val="single" w:color="000000" w:sz="4" w:space="0"/>
              <w:left w:val="single" w:color="000000" w:sz="4" w:space="0"/>
              <w:bottom w:val="nil"/>
              <w:right w:val="single" w:color="000000" w:sz="4" w:space="0"/>
            </w:tcBorders>
            <w:shd w:val="clear"/>
            <w:vAlign w:val="top"/>
          </w:tcPr>
          <w:p>
            <w:pPr>
              <w:jc w:val="center"/>
              <w:rPr>
                <w:rFonts w:hint="eastAsia" w:ascii="华文中宋" w:hAnsi="华文中宋" w:eastAsia="华文中宋" w:cs="华文中宋"/>
                <w:i w:val="0"/>
                <w:iCs w:val="0"/>
                <w:color w:val="000000"/>
                <w:sz w:val="21"/>
                <w:szCs w:val="21"/>
                <w:u w:val="none"/>
              </w:rPr>
            </w:pPr>
          </w:p>
        </w:tc>
        <w:tc>
          <w:tcPr>
            <w:tcW w:w="690" w:type="dxa"/>
            <w:vMerge w:val="continue"/>
            <w:tcBorders>
              <w:top w:val="single" w:color="000000" w:sz="4" w:space="0"/>
              <w:left w:val="single" w:color="000000" w:sz="4" w:space="0"/>
              <w:bottom w:val="single" w:color="000000" w:sz="4" w:space="0"/>
              <w:right w:val="single" w:color="000000" w:sz="4" w:space="0"/>
            </w:tcBorders>
            <w:shd w:val="clear"/>
            <w:vAlign w:val="top"/>
          </w:tcPr>
          <w:p>
            <w:pPr>
              <w:jc w:val="center"/>
              <w:rPr>
                <w:rFonts w:hint="eastAsia" w:ascii="华文中宋" w:hAnsi="华文中宋" w:eastAsia="华文中宋" w:cs="华文中宋"/>
                <w:i w:val="0"/>
                <w:iCs w:val="0"/>
                <w:color w:val="000000"/>
                <w:sz w:val="21"/>
                <w:szCs w:val="21"/>
                <w:u w:val="none"/>
              </w:rPr>
            </w:pPr>
          </w:p>
        </w:tc>
        <w:tc>
          <w:tcPr>
            <w:tcW w:w="84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H11</w:t>
            </w:r>
          </w:p>
        </w:tc>
        <w:tc>
          <w:tcPr>
            <w:tcW w:w="271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城市建设用地</w:t>
            </w:r>
          </w:p>
        </w:tc>
        <w:tc>
          <w:tcPr>
            <w:tcW w:w="216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 xml:space="preserve">2861.65 </w:t>
            </w:r>
          </w:p>
        </w:tc>
        <w:tc>
          <w:tcPr>
            <w:tcW w:w="2190"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华文中宋" w:hAnsi="华文中宋" w:eastAsia="华文中宋" w:cs="华文中宋"/>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645" w:type="dxa"/>
            <w:vMerge w:val="continue"/>
            <w:tcBorders>
              <w:top w:val="single" w:color="000000" w:sz="4" w:space="0"/>
              <w:left w:val="single" w:color="000000" w:sz="4" w:space="0"/>
              <w:bottom w:val="nil"/>
              <w:right w:val="single" w:color="000000" w:sz="4" w:space="0"/>
            </w:tcBorders>
            <w:shd w:val="clear"/>
            <w:vAlign w:val="top"/>
          </w:tcPr>
          <w:p>
            <w:pPr>
              <w:jc w:val="center"/>
              <w:rPr>
                <w:rFonts w:hint="eastAsia" w:ascii="华文中宋" w:hAnsi="华文中宋" w:eastAsia="华文中宋" w:cs="华文中宋"/>
                <w:i w:val="0"/>
                <w:iCs w:val="0"/>
                <w:color w:val="000000"/>
                <w:sz w:val="21"/>
                <w:szCs w:val="21"/>
                <w:u w:val="none"/>
              </w:rPr>
            </w:pPr>
          </w:p>
        </w:tc>
        <w:tc>
          <w:tcPr>
            <w:tcW w:w="690" w:type="dxa"/>
            <w:vMerge w:val="restart"/>
            <w:tcBorders>
              <w:top w:val="single" w:color="000000" w:sz="4" w:space="0"/>
              <w:left w:val="single" w:color="000000" w:sz="4" w:space="0"/>
              <w:bottom w:val="single" w:color="000000" w:sz="4" w:space="0"/>
              <w:right w:val="single" w:color="000000" w:sz="4" w:space="0"/>
            </w:tcBorders>
            <w:shd w:val="clear"/>
            <w:vAlign w:val="top"/>
          </w:tcPr>
          <w:p>
            <w:pPr>
              <w:keepNext w:val="0"/>
              <w:keepLines w:val="0"/>
              <w:widowControl/>
              <w:suppressLineNumbers w:val="0"/>
              <w:jc w:val="center"/>
              <w:textAlignment w:val="top"/>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H2</w:t>
            </w:r>
          </w:p>
        </w:tc>
        <w:tc>
          <w:tcPr>
            <w:tcW w:w="840"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华文中宋" w:hAnsi="华文中宋" w:eastAsia="华文中宋" w:cs="华文中宋"/>
                <w:i w:val="0"/>
                <w:iCs w:val="0"/>
                <w:color w:val="000000"/>
                <w:sz w:val="21"/>
                <w:szCs w:val="21"/>
                <w:u w:val="none"/>
              </w:rPr>
            </w:pPr>
          </w:p>
        </w:tc>
        <w:tc>
          <w:tcPr>
            <w:tcW w:w="271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区域交通设施用地</w:t>
            </w:r>
          </w:p>
        </w:tc>
        <w:tc>
          <w:tcPr>
            <w:tcW w:w="216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 xml:space="preserve">19.13 </w:t>
            </w:r>
          </w:p>
        </w:tc>
        <w:tc>
          <w:tcPr>
            <w:tcW w:w="2190"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华文中宋" w:hAnsi="华文中宋" w:eastAsia="华文中宋" w:cs="华文中宋"/>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285" w:hRule="atLeast"/>
          <w:jc w:val="center"/>
        </w:trPr>
        <w:tc>
          <w:tcPr>
            <w:tcW w:w="645" w:type="dxa"/>
            <w:vMerge w:val="continue"/>
            <w:tcBorders>
              <w:top w:val="single" w:color="000000" w:sz="4" w:space="0"/>
              <w:left w:val="single" w:color="000000" w:sz="4" w:space="0"/>
              <w:bottom w:val="nil"/>
              <w:right w:val="single" w:color="000000" w:sz="4" w:space="0"/>
            </w:tcBorders>
            <w:shd w:val="clear"/>
            <w:vAlign w:val="top"/>
          </w:tcPr>
          <w:p>
            <w:pPr>
              <w:jc w:val="center"/>
              <w:rPr>
                <w:rFonts w:hint="eastAsia" w:ascii="华文中宋" w:hAnsi="华文中宋" w:eastAsia="华文中宋" w:cs="华文中宋"/>
                <w:i w:val="0"/>
                <w:iCs w:val="0"/>
                <w:color w:val="000000"/>
                <w:sz w:val="21"/>
                <w:szCs w:val="21"/>
                <w:u w:val="none"/>
              </w:rPr>
            </w:pPr>
          </w:p>
        </w:tc>
        <w:tc>
          <w:tcPr>
            <w:tcW w:w="690" w:type="dxa"/>
            <w:vMerge w:val="continue"/>
            <w:tcBorders>
              <w:top w:val="single" w:color="000000" w:sz="4" w:space="0"/>
              <w:left w:val="single" w:color="000000" w:sz="4" w:space="0"/>
              <w:bottom w:val="single" w:color="000000" w:sz="4" w:space="0"/>
              <w:right w:val="single" w:color="000000" w:sz="4" w:space="0"/>
            </w:tcBorders>
            <w:shd w:val="clear"/>
            <w:vAlign w:val="top"/>
          </w:tcPr>
          <w:p>
            <w:pPr>
              <w:jc w:val="center"/>
              <w:rPr>
                <w:rFonts w:hint="eastAsia" w:ascii="华文中宋" w:hAnsi="华文中宋" w:eastAsia="华文中宋" w:cs="华文中宋"/>
                <w:i w:val="0"/>
                <w:iCs w:val="0"/>
                <w:color w:val="000000"/>
                <w:sz w:val="21"/>
                <w:szCs w:val="21"/>
                <w:u w:val="none"/>
              </w:rPr>
            </w:pPr>
          </w:p>
        </w:tc>
        <w:tc>
          <w:tcPr>
            <w:tcW w:w="84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H21</w:t>
            </w:r>
          </w:p>
        </w:tc>
        <w:tc>
          <w:tcPr>
            <w:tcW w:w="271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铁路用地</w:t>
            </w:r>
          </w:p>
        </w:tc>
        <w:tc>
          <w:tcPr>
            <w:tcW w:w="216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 xml:space="preserve">19.13 </w:t>
            </w:r>
          </w:p>
        </w:tc>
        <w:tc>
          <w:tcPr>
            <w:tcW w:w="2190"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华文中宋" w:hAnsi="华文中宋" w:eastAsia="华文中宋" w:cs="华文中宋"/>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645" w:type="dxa"/>
            <w:vMerge w:val="restart"/>
            <w:tcBorders>
              <w:top w:val="single" w:color="000000" w:sz="4" w:space="0"/>
              <w:left w:val="single" w:color="000000" w:sz="4" w:space="0"/>
              <w:bottom w:val="single" w:color="000000" w:sz="4" w:space="0"/>
              <w:right w:val="single" w:color="000000" w:sz="4" w:space="0"/>
            </w:tcBorders>
            <w:shd w:val="clear"/>
            <w:vAlign w:val="top"/>
          </w:tcPr>
          <w:p>
            <w:pPr>
              <w:keepNext w:val="0"/>
              <w:keepLines w:val="0"/>
              <w:widowControl/>
              <w:suppressLineNumbers w:val="0"/>
              <w:jc w:val="center"/>
              <w:textAlignment w:val="top"/>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E</w:t>
            </w:r>
          </w:p>
        </w:tc>
        <w:tc>
          <w:tcPr>
            <w:tcW w:w="690" w:type="dxa"/>
            <w:tcBorders>
              <w:top w:val="single" w:color="000000" w:sz="4" w:space="0"/>
              <w:left w:val="single" w:color="000000" w:sz="4" w:space="0"/>
              <w:bottom w:val="single" w:color="000000" w:sz="4" w:space="0"/>
              <w:right w:val="single" w:color="000000" w:sz="4" w:space="0"/>
            </w:tcBorders>
            <w:shd w:val="clear"/>
            <w:vAlign w:val="top"/>
          </w:tcPr>
          <w:p>
            <w:pPr>
              <w:jc w:val="center"/>
              <w:rPr>
                <w:rFonts w:hint="eastAsia" w:ascii="华文中宋" w:hAnsi="华文中宋" w:eastAsia="华文中宋" w:cs="华文中宋"/>
                <w:i w:val="0"/>
                <w:iCs w:val="0"/>
                <w:color w:val="000000"/>
                <w:sz w:val="21"/>
                <w:szCs w:val="21"/>
                <w:u w:val="none"/>
              </w:rPr>
            </w:pPr>
          </w:p>
        </w:tc>
        <w:tc>
          <w:tcPr>
            <w:tcW w:w="840"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华文中宋" w:hAnsi="华文中宋" w:eastAsia="华文中宋" w:cs="华文中宋"/>
                <w:i w:val="0"/>
                <w:iCs w:val="0"/>
                <w:color w:val="000000"/>
                <w:sz w:val="21"/>
                <w:szCs w:val="21"/>
                <w:u w:val="none"/>
              </w:rPr>
            </w:pPr>
          </w:p>
        </w:tc>
        <w:tc>
          <w:tcPr>
            <w:tcW w:w="271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非建设用地</w:t>
            </w:r>
          </w:p>
        </w:tc>
        <w:tc>
          <w:tcPr>
            <w:tcW w:w="216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 xml:space="preserve">3.02 </w:t>
            </w:r>
          </w:p>
        </w:tc>
        <w:tc>
          <w:tcPr>
            <w:tcW w:w="219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 xml:space="preserve">0.10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285" w:hRule="atLeast"/>
          <w:jc w:val="center"/>
        </w:trPr>
        <w:tc>
          <w:tcPr>
            <w:tcW w:w="645" w:type="dxa"/>
            <w:vMerge w:val="continue"/>
            <w:tcBorders>
              <w:top w:val="single" w:color="000000" w:sz="4" w:space="0"/>
              <w:left w:val="single" w:color="000000" w:sz="4" w:space="0"/>
              <w:bottom w:val="single" w:color="000000" w:sz="4" w:space="0"/>
              <w:right w:val="single" w:color="000000" w:sz="4" w:space="0"/>
            </w:tcBorders>
            <w:shd w:val="clear"/>
            <w:vAlign w:val="top"/>
          </w:tcPr>
          <w:p>
            <w:pPr>
              <w:jc w:val="center"/>
              <w:rPr>
                <w:rFonts w:hint="eastAsia" w:ascii="华文中宋" w:hAnsi="华文中宋" w:eastAsia="华文中宋" w:cs="华文中宋"/>
                <w:i w:val="0"/>
                <w:iCs w:val="0"/>
                <w:color w:val="000000"/>
                <w:sz w:val="21"/>
                <w:szCs w:val="21"/>
                <w:u w:val="none"/>
              </w:rPr>
            </w:pPr>
          </w:p>
        </w:tc>
        <w:tc>
          <w:tcPr>
            <w:tcW w:w="690" w:type="dxa"/>
            <w:tcBorders>
              <w:top w:val="single" w:color="000000" w:sz="4" w:space="0"/>
              <w:left w:val="single" w:color="000000" w:sz="4" w:space="0"/>
              <w:bottom w:val="single" w:color="000000" w:sz="4" w:space="0"/>
              <w:right w:val="single" w:color="000000" w:sz="4" w:space="0"/>
            </w:tcBorders>
            <w:shd w:val="clear"/>
            <w:vAlign w:val="top"/>
          </w:tcPr>
          <w:p>
            <w:pPr>
              <w:keepNext w:val="0"/>
              <w:keepLines w:val="0"/>
              <w:widowControl/>
              <w:suppressLineNumbers w:val="0"/>
              <w:jc w:val="center"/>
              <w:textAlignment w:val="top"/>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E1</w:t>
            </w:r>
          </w:p>
        </w:tc>
        <w:tc>
          <w:tcPr>
            <w:tcW w:w="840"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华文中宋" w:hAnsi="华文中宋" w:eastAsia="华文中宋" w:cs="华文中宋"/>
                <w:i w:val="0"/>
                <w:iCs w:val="0"/>
                <w:color w:val="000000"/>
                <w:sz w:val="21"/>
                <w:szCs w:val="21"/>
                <w:u w:val="none"/>
              </w:rPr>
            </w:pPr>
          </w:p>
        </w:tc>
        <w:tc>
          <w:tcPr>
            <w:tcW w:w="271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水域</w:t>
            </w:r>
          </w:p>
        </w:tc>
        <w:tc>
          <w:tcPr>
            <w:tcW w:w="216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 xml:space="preserve">3.02 </w:t>
            </w:r>
          </w:p>
        </w:tc>
        <w:tc>
          <w:tcPr>
            <w:tcW w:w="2190"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华文中宋" w:hAnsi="华文中宋" w:eastAsia="华文中宋" w:cs="华文中宋"/>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0" w:type="auto"/>
            <w:gridSpan w:val="3"/>
            <w:tcBorders>
              <w:top w:val="single" w:color="000000" w:sz="4" w:space="0"/>
              <w:left w:val="single" w:color="000000" w:sz="4" w:space="0"/>
              <w:bottom w:val="single" w:color="000000" w:sz="4" w:space="0"/>
              <w:right w:val="single" w:color="000000" w:sz="4" w:space="0"/>
            </w:tcBorders>
            <w:shd w:val="clear"/>
            <w:noWrap/>
            <w:vAlign w:val="center"/>
          </w:tcPr>
          <w:p>
            <w:pPr>
              <w:jc w:val="center"/>
              <w:rPr>
                <w:rFonts w:hint="eastAsia" w:ascii="华文中宋" w:hAnsi="华文中宋" w:eastAsia="华文中宋" w:cs="华文中宋"/>
                <w:i w:val="0"/>
                <w:iCs w:val="0"/>
                <w:color w:val="000000"/>
                <w:sz w:val="21"/>
                <w:szCs w:val="21"/>
                <w:u w:val="none"/>
              </w:rPr>
            </w:pPr>
          </w:p>
        </w:tc>
        <w:tc>
          <w:tcPr>
            <w:tcW w:w="0" w:type="auto"/>
            <w:tcBorders>
              <w:top w:val="single" w:color="000000" w:sz="4" w:space="0"/>
              <w:left w:val="single" w:color="000000" w:sz="4" w:space="0"/>
              <w:bottom w:val="single" w:color="000000" w:sz="4" w:space="0"/>
              <w:right w:val="single" w:color="000000" w:sz="4" w:space="0"/>
            </w:tcBorders>
            <w:shd w:val="clear"/>
            <w:noWrap/>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城乡用地</w:t>
            </w:r>
          </w:p>
        </w:tc>
        <w:tc>
          <w:tcPr>
            <w:tcW w:w="0" w:type="auto"/>
            <w:tcBorders>
              <w:top w:val="single" w:color="000000" w:sz="4" w:space="0"/>
              <w:left w:val="single" w:color="000000" w:sz="4" w:space="0"/>
              <w:bottom w:val="single" w:color="000000" w:sz="4" w:space="0"/>
              <w:right w:val="single" w:color="000000" w:sz="4" w:space="0"/>
            </w:tcBorders>
            <w:shd w:val="clear"/>
            <w:noWrap/>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 xml:space="preserve">2883.80 </w:t>
            </w:r>
          </w:p>
        </w:tc>
        <w:tc>
          <w:tcPr>
            <w:tcW w:w="0" w:type="auto"/>
            <w:tcBorders>
              <w:top w:val="single" w:color="000000" w:sz="4" w:space="0"/>
              <w:left w:val="single" w:color="000000" w:sz="4" w:space="0"/>
              <w:bottom w:val="single" w:color="000000" w:sz="4" w:space="0"/>
              <w:right w:val="single" w:color="000000" w:sz="4" w:space="0"/>
            </w:tcBorders>
            <w:shd w:val="clear"/>
            <w:noWrap/>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 xml:space="preserve">100.00 </w:t>
            </w:r>
          </w:p>
        </w:tc>
      </w:tr>
    </w:tbl>
    <w:p>
      <w:pPr>
        <w:pStyle w:val="2"/>
        <w:ind w:firstLine="560"/>
        <w:rPr>
          <w:rFonts w:ascii="华文中宋" w:hAnsi="华文中宋" w:eastAsia="华文中宋" w:cs="华文中宋"/>
          <w:bCs/>
          <w:sz w:val="28"/>
          <w:szCs w:val="28"/>
        </w:rPr>
      </w:pPr>
    </w:p>
    <w:tbl>
      <w:tblPr>
        <w:tblW w:w="9240"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Layout w:type="fixed"/>
        <w:tblCellMar>
          <w:top w:w="0" w:type="dxa"/>
          <w:left w:w="108" w:type="dxa"/>
          <w:bottom w:w="0" w:type="dxa"/>
          <w:right w:w="108" w:type="dxa"/>
        </w:tblCellMar>
      </w:tblPr>
      <w:tblGrid>
        <w:gridCol w:w="645"/>
        <w:gridCol w:w="690"/>
        <w:gridCol w:w="840"/>
        <w:gridCol w:w="3077"/>
        <w:gridCol w:w="2100"/>
        <w:gridCol w:w="1888"/>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405" w:hRule="atLeast"/>
          <w:jc w:val="center"/>
        </w:trPr>
        <w:tc>
          <w:tcPr>
            <w:tcW w:w="9240" w:type="dxa"/>
            <w:gridSpan w:val="6"/>
            <w:tcBorders>
              <w:top w:val="nil"/>
              <w:left w:val="nil"/>
              <w:bottom w:val="single" w:color="000000" w:sz="4" w:space="0"/>
              <w:right w:val="nil"/>
            </w:tcBorders>
            <w:shd w:val="clear"/>
            <w:noWrap/>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4"/>
                <w:szCs w:val="24"/>
                <w:u w:val="none"/>
                <w:bdr w:val="none" w:color="auto" w:sz="0" w:space="0"/>
                <w:lang w:val="en-US" w:eastAsia="zh-CN" w:bidi="ar"/>
              </w:rPr>
              <w:t>表2-5-2 城市（园区）建设用地平衡表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285" w:hRule="atLeast"/>
          <w:jc w:val="center"/>
        </w:trPr>
        <w:tc>
          <w:tcPr>
            <w:tcW w:w="2175" w:type="dxa"/>
            <w:gridSpan w:val="3"/>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用地代码</w:t>
            </w:r>
          </w:p>
        </w:tc>
        <w:tc>
          <w:tcPr>
            <w:tcW w:w="3077" w:type="dxa"/>
            <w:vMerge w:val="restart"/>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用地名称</w:t>
            </w:r>
          </w:p>
        </w:tc>
        <w:tc>
          <w:tcPr>
            <w:tcW w:w="2100" w:type="dxa"/>
            <w:vMerge w:val="restart"/>
            <w:tcBorders>
              <w:top w:val="nil"/>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用地面积(hm²)</w:t>
            </w:r>
          </w:p>
        </w:tc>
        <w:tc>
          <w:tcPr>
            <w:tcW w:w="1888" w:type="dxa"/>
            <w:vMerge w:val="restart"/>
            <w:tcBorders>
              <w:top w:val="nil"/>
              <w:left w:val="single" w:color="000000" w:sz="4" w:space="0"/>
              <w:bottom w:val="single" w:color="000000" w:sz="4" w:space="0"/>
              <w:right w:val="single" w:color="000000" w:sz="4" w:space="0"/>
            </w:tcBorders>
            <w:shd w:val="clear"/>
            <w:noWrap/>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占城市建设用地比例(%)</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285" w:hRule="atLeast"/>
          <w:jc w:val="center"/>
        </w:trPr>
        <w:tc>
          <w:tcPr>
            <w:tcW w:w="645" w:type="dxa"/>
            <w:tcBorders>
              <w:top w:val="single" w:color="000000" w:sz="4" w:space="0"/>
              <w:left w:val="single" w:color="000000" w:sz="4" w:space="0"/>
              <w:bottom w:val="single" w:color="000000" w:sz="4" w:space="0"/>
              <w:right w:val="single" w:color="000000" w:sz="4" w:space="0"/>
            </w:tcBorders>
            <w:shd w:val="clear"/>
            <w:vAlign w:val="top"/>
          </w:tcPr>
          <w:p>
            <w:pPr>
              <w:keepNext w:val="0"/>
              <w:keepLines w:val="0"/>
              <w:widowControl/>
              <w:suppressLineNumbers w:val="0"/>
              <w:jc w:val="center"/>
              <w:textAlignment w:val="top"/>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大类</w:t>
            </w:r>
          </w:p>
        </w:tc>
        <w:tc>
          <w:tcPr>
            <w:tcW w:w="690" w:type="dxa"/>
            <w:tcBorders>
              <w:top w:val="single" w:color="000000" w:sz="4" w:space="0"/>
              <w:left w:val="single" w:color="000000" w:sz="4" w:space="0"/>
              <w:bottom w:val="single" w:color="000000" w:sz="4" w:space="0"/>
              <w:right w:val="single" w:color="000000" w:sz="4" w:space="0"/>
            </w:tcBorders>
            <w:shd w:val="clear"/>
            <w:vAlign w:val="top"/>
          </w:tcPr>
          <w:p>
            <w:pPr>
              <w:keepNext w:val="0"/>
              <w:keepLines w:val="0"/>
              <w:widowControl/>
              <w:suppressLineNumbers w:val="0"/>
              <w:jc w:val="center"/>
              <w:textAlignment w:val="top"/>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中类</w:t>
            </w:r>
          </w:p>
        </w:tc>
        <w:tc>
          <w:tcPr>
            <w:tcW w:w="84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小类</w:t>
            </w:r>
          </w:p>
        </w:tc>
        <w:tc>
          <w:tcPr>
            <w:tcW w:w="3077" w:type="dxa"/>
            <w:vMerge w:val="continue"/>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华文中宋" w:hAnsi="华文中宋" w:eastAsia="华文中宋" w:cs="华文中宋"/>
                <w:i w:val="0"/>
                <w:iCs w:val="0"/>
                <w:color w:val="000000"/>
                <w:sz w:val="21"/>
                <w:szCs w:val="21"/>
                <w:u w:val="none"/>
              </w:rPr>
            </w:pPr>
          </w:p>
        </w:tc>
        <w:tc>
          <w:tcPr>
            <w:tcW w:w="2100" w:type="dxa"/>
            <w:vMerge w:val="continue"/>
            <w:tcBorders>
              <w:top w:val="nil"/>
              <w:left w:val="single" w:color="000000" w:sz="4" w:space="0"/>
              <w:bottom w:val="single" w:color="000000" w:sz="4" w:space="0"/>
              <w:right w:val="single" w:color="000000" w:sz="4" w:space="0"/>
            </w:tcBorders>
            <w:shd w:val="clear"/>
            <w:vAlign w:val="center"/>
          </w:tcPr>
          <w:p>
            <w:pPr>
              <w:jc w:val="center"/>
              <w:rPr>
                <w:rFonts w:hint="eastAsia" w:ascii="华文中宋" w:hAnsi="华文中宋" w:eastAsia="华文中宋" w:cs="华文中宋"/>
                <w:i w:val="0"/>
                <w:iCs w:val="0"/>
                <w:color w:val="000000"/>
                <w:sz w:val="21"/>
                <w:szCs w:val="21"/>
                <w:u w:val="none"/>
              </w:rPr>
            </w:pPr>
          </w:p>
        </w:tc>
        <w:tc>
          <w:tcPr>
            <w:tcW w:w="1888" w:type="dxa"/>
            <w:vMerge w:val="continue"/>
            <w:tcBorders>
              <w:top w:val="nil"/>
              <w:left w:val="single" w:color="000000" w:sz="4" w:space="0"/>
              <w:bottom w:val="single" w:color="000000" w:sz="4" w:space="0"/>
              <w:right w:val="single" w:color="000000" w:sz="4" w:space="0"/>
            </w:tcBorders>
            <w:shd w:val="clear"/>
            <w:noWrap/>
            <w:vAlign w:val="center"/>
          </w:tcPr>
          <w:p>
            <w:pPr>
              <w:jc w:val="center"/>
              <w:rPr>
                <w:rFonts w:hint="eastAsia" w:ascii="华文中宋" w:hAnsi="华文中宋" w:eastAsia="华文中宋" w:cs="华文中宋"/>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285" w:hRule="atLeast"/>
          <w:jc w:val="center"/>
        </w:trPr>
        <w:tc>
          <w:tcPr>
            <w:tcW w:w="645" w:type="dxa"/>
            <w:vMerge w:val="restart"/>
            <w:tcBorders>
              <w:top w:val="single" w:color="000000" w:sz="4" w:space="0"/>
              <w:left w:val="single" w:color="000000" w:sz="4" w:space="0"/>
              <w:bottom w:val="nil"/>
              <w:right w:val="single" w:color="000000" w:sz="4" w:space="0"/>
            </w:tcBorders>
            <w:shd w:val="clear"/>
            <w:vAlign w:val="top"/>
          </w:tcPr>
          <w:p>
            <w:pPr>
              <w:keepNext w:val="0"/>
              <w:keepLines w:val="0"/>
              <w:widowControl/>
              <w:suppressLineNumbers w:val="0"/>
              <w:jc w:val="center"/>
              <w:textAlignment w:val="top"/>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A</w:t>
            </w:r>
          </w:p>
        </w:tc>
        <w:tc>
          <w:tcPr>
            <w:tcW w:w="690" w:type="dxa"/>
            <w:tcBorders>
              <w:top w:val="single" w:color="000000" w:sz="4" w:space="0"/>
              <w:left w:val="single" w:color="000000" w:sz="4" w:space="0"/>
              <w:bottom w:val="single" w:color="000000" w:sz="4" w:space="0"/>
              <w:right w:val="single" w:color="000000" w:sz="4" w:space="0"/>
            </w:tcBorders>
            <w:shd w:val="clear"/>
            <w:vAlign w:val="top"/>
          </w:tcPr>
          <w:p>
            <w:pPr>
              <w:jc w:val="center"/>
              <w:rPr>
                <w:rFonts w:hint="eastAsia" w:ascii="华文中宋" w:hAnsi="华文中宋" w:eastAsia="华文中宋" w:cs="华文中宋"/>
                <w:i w:val="0"/>
                <w:iCs w:val="0"/>
                <w:color w:val="000000"/>
                <w:sz w:val="21"/>
                <w:szCs w:val="21"/>
                <w:u w:val="none"/>
              </w:rPr>
            </w:pPr>
          </w:p>
        </w:tc>
        <w:tc>
          <w:tcPr>
            <w:tcW w:w="840"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华文中宋" w:hAnsi="华文中宋" w:eastAsia="华文中宋" w:cs="华文中宋"/>
                <w:i w:val="0"/>
                <w:iCs w:val="0"/>
                <w:color w:val="000000"/>
                <w:sz w:val="21"/>
                <w:szCs w:val="21"/>
                <w:u w:val="none"/>
              </w:rPr>
            </w:pPr>
          </w:p>
        </w:tc>
        <w:tc>
          <w:tcPr>
            <w:tcW w:w="3077"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公共管理与公共服务设施用地</w:t>
            </w:r>
          </w:p>
        </w:tc>
        <w:tc>
          <w:tcPr>
            <w:tcW w:w="210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 xml:space="preserve">3.31 </w:t>
            </w:r>
          </w:p>
        </w:tc>
        <w:tc>
          <w:tcPr>
            <w:tcW w:w="1888"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 xml:space="preserve">0.12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285" w:hRule="atLeast"/>
          <w:jc w:val="center"/>
        </w:trPr>
        <w:tc>
          <w:tcPr>
            <w:tcW w:w="645" w:type="dxa"/>
            <w:vMerge w:val="continue"/>
            <w:tcBorders>
              <w:top w:val="single" w:color="000000" w:sz="4" w:space="0"/>
              <w:left w:val="single" w:color="000000" w:sz="4" w:space="0"/>
              <w:bottom w:val="nil"/>
              <w:right w:val="single" w:color="000000" w:sz="4" w:space="0"/>
            </w:tcBorders>
            <w:shd w:val="clear"/>
            <w:vAlign w:val="top"/>
          </w:tcPr>
          <w:p>
            <w:pPr>
              <w:jc w:val="center"/>
              <w:rPr>
                <w:rFonts w:hint="eastAsia" w:ascii="华文中宋" w:hAnsi="华文中宋" w:eastAsia="华文中宋" w:cs="华文中宋"/>
                <w:i w:val="0"/>
                <w:iCs w:val="0"/>
                <w:color w:val="000000"/>
                <w:sz w:val="21"/>
                <w:szCs w:val="21"/>
                <w:u w:val="none"/>
              </w:rPr>
            </w:pPr>
          </w:p>
        </w:tc>
        <w:tc>
          <w:tcPr>
            <w:tcW w:w="690" w:type="dxa"/>
            <w:tcBorders>
              <w:top w:val="single" w:color="000000" w:sz="4" w:space="0"/>
              <w:left w:val="single" w:color="000000" w:sz="4" w:space="0"/>
              <w:bottom w:val="single" w:color="000000" w:sz="4" w:space="0"/>
              <w:right w:val="single" w:color="000000" w:sz="4" w:space="0"/>
            </w:tcBorders>
            <w:shd w:val="clear"/>
            <w:vAlign w:val="top"/>
          </w:tcPr>
          <w:p>
            <w:pPr>
              <w:keepNext w:val="0"/>
              <w:keepLines w:val="0"/>
              <w:widowControl/>
              <w:suppressLineNumbers w:val="0"/>
              <w:jc w:val="center"/>
              <w:textAlignment w:val="top"/>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A1</w:t>
            </w:r>
          </w:p>
        </w:tc>
        <w:tc>
          <w:tcPr>
            <w:tcW w:w="840"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华文中宋" w:hAnsi="华文中宋" w:eastAsia="华文中宋" w:cs="华文中宋"/>
                <w:i w:val="0"/>
                <w:iCs w:val="0"/>
                <w:color w:val="000000"/>
                <w:sz w:val="21"/>
                <w:szCs w:val="21"/>
                <w:u w:val="none"/>
              </w:rPr>
            </w:pPr>
          </w:p>
        </w:tc>
        <w:tc>
          <w:tcPr>
            <w:tcW w:w="3077"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行政办公用地</w:t>
            </w:r>
          </w:p>
        </w:tc>
        <w:tc>
          <w:tcPr>
            <w:tcW w:w="2100" w:type="dxa"/>
            <w:tcBorders>
              <w:top w:val="single" w:color="000000" w:sz="4" w:space="0"/>
              <w:left w:val="single" w:color="000000" w:sz="4" w:space="0"/>
              <w:bottom w:val="single" w:color="000000" w:sz="4" w:space="0"/>
              <w:right w:val="single" w:color="000000" w:sz="4" w:space="0"/>
            </w:tcBorders>
            <w:shd w:val="clear"/>
            <w:vAlign w:val="top"/>
          </w:tcPr>
          <w:p>
            <w:pPr>
              <w:keepNext w:val="0"/>
              <w:keepLines w:val="0"/>
              <w:widowControl/>
              <w:suppressLineNumbers w:val="0"/>
              <w:jc w:val="center"/>
              <w:textAlignment w:val="top"/>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 xml:space="preserve">2.82 </w:t>
            </w:r>
          </w:p>
        </w:tc>
        <w:tc>
          <w:tcPr>
            <w:tcW w:w="1888" w:type="dxa"/>
            <w:tcBorders>
              <w:top w:val="single" w:color="000000" w:sz="4" w:space="0"/>
              <w:left w:val="single" w:color="000000" w:sz="4" w:space="0"/>
              <w:bottom w:val="single" w:color="000000" w:sz="4" w:space="0"/>
              <w:right w:val="single" w:color="000000" w:sz="4" w:space="0"/>
            </w:tcBorders>
            <w:shd w:val="clear"/>
            <w:vAlign w:val="top"/>
          </w:tcPr>
          <w:p>
            <w:pPr>
              <w:jc w:val="center"/>
              <w:rPr>
                <w:rFonts w:hint="eastAsia" w:ascii="华文中宋" w:hAnsi="华文中宋" w:eastAsia="华文中宋" w:cs="华文中宋"/>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285" w:hRule="atLeast"/>
          <w:jc w:val="center"/>
        </w:trPr>
        <w:tc>
          <w:tcPr>
            <w:tcW w:w="645" w:type="dxa"/>
            <w:vMerge w:val="continue"/>
            <w:tcBorders>
              <w:top w:val="single" w:color="000000" w:sz="4" w:space="0"/>
              <w:left w:val="single" w:color="000000" w:sz="4" w:space="0"/>
              <w:bottom w:val="nil"/>
              <w:right w:val="single" w:color="000000" w:sz="4" w:space="0"/>
            </w:tcBorders>
            <w:shd w:val="clear"/>
            <w:vAlign w:val="top"/>
          </w:tcPr>
          <w:p>
            <w:pPr>
              <w:jc w:val="center"/>
              <w:rPr>
                <w:rFonts w:hint="eastAsia" w:ascii="华文中宋" w:hAnsi="华文中宋" w:eastAsia="华文中宋" w:cs="华文中宋"/>
                <w:i w:val="0"/>
                <w:iCs w:val="0"/>
                <w:color w:val="000000"/>
                <w:sz w:val="21"/>
                <w:szCs w:val="21"/>
                <w:u w:val="none"/>
              </w:rPr>
            </w:pPr>
          </w:p>
        </w:tc>
        <w:tc>
          <w:tcPr>
            <w:tcW w:w="690" w:type="dxa"/>
            <w:vMerge w:val="restart"/>
            <w:tcBorders>
              <w:top w:val="single" w:color="000000" w:sz="4" w:space="0"/>
              <w:left w:val="single" w:color="000000" w:sz="4" w:space="0"/>
              <w:bottom w:val="single" w:color="000000" w:sz="4" w:space="0"/>
              <w:right w:val="single" w:color="000000" w:sz="4" w:space="0"/>
            </w:tcBorders>
            <w:shd w:val="clear"/>
            <w:vAlign w:val="top"/>
          </w:tcPr>
          <w:p>
            <w:pPr>
              <w:keepNext w:val="0"/>
              <w:keepLines w:val="0"/>
              <w:widowControl/>
              <w:suppressLineNumbers w:val="0"/>
              <w:jc w:val="center"/>
              <w:textAlignment w:val="top"/>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A2</w:t>
            </w:r>
          </w:p>
        </w:tc>
        <w:tc>
          <w:tcPr>
            <w:tcW w:w="840"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华文中宋" w:hAnsi="华文中宋" w:eastAsia="华文中宋" w:cs="华文中宋"/>
                <w:i w:val="0"/>
                <w:iCs w:val="0"/>
                <w:color w:val="000000"/>
                <w:sz w:val="21"/>
                <w:szCs w:val="21"/>
                <w:u w:val="none"/>
              </w:rPr>
            </w:pPr>
          </w:p>
        </w:tc>
        <w:tc>
          <w:tcPr>
            <w:tcW w:w="3077"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文化设施用地</w:t>
            </w:r>
          </w:p>
        </w:tc>
        <w:tc>
          <w:tcPr>
            <w:tcW w:w="210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 xml:space="preserve">0.49 </w:t>
            </w:r>
          </w:p>
        </w:tc>
        <w:tc>
          <w:tcPr>
            <w:tcW w:w="1888"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华文中宋" w:hAnsi="华文中宋" w:eastAsia="华文中宋" w:cs="华文中宋"/>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285" w:hRule="atLeast"/>
          <w:jc w:val="center"/>
        </w:trPr>
        <w:tc>
          <w:tcPr>
            <w:tcW w:w="645" w:type="dxa"/>
            <w:vMerge w:val="continue"/>
            <w:tcBorders>
              <w:top w:val="single" w:color="000000" w:sz="4" w:space="0"/>
              <w:left w:val="single" w:color="000000" w:sz="4" w:space="0"/>
              <w:bottom w:val="nil"/>
              <w:right w:val="single" w:color="000000" w:sz="4" w:space="0"/>
            </w:tcBorders>
            <w:shd w:val="clear"/>
            <w:vAlign w:val="top"/>
          </w:tcPr>
          <w:p>
            <w:pPr>
              <w:jc w:val="center"/>
              <w:rPr>
                <w:rFonts w:hint="eastAsia" w:ascii="华文中宋" w:hAnsi="华文中宋" w:eastAsia="华文中宋" w:cs="华文中宋"/>
                <w:i w:val="0"/>
                <w:iCs w:val="0"/>
                <w:color w:val="000000"/>
                <w:sz w:val="21"/>
                <w:szCs w:val="21"/>
                <w:u w:val="none"/>
              </w:rPr>
            </w:pPr>
          </w:p>
        </w:tc>
        <w:tc>
          <w:tcPr>
            <w:tcW w:w="690" w:type="dxa"/>
            <w:vMerge w:val="continue"/>
            <w:tcBorders>
              <w:top w:val="single" w:color="000000" w:sz="4" w:space="0"/>
              <w:left w:val="single" w:color="000000" w:sz="4" w:space="0"/>
              <w:bottom w:val="single" w:color="000000" w:sz="4" w:space="0"/>
              <w:right w:val="single" w:color="000000" w:sz="4" w:space="0"/>
            </w:tcBorders>
            <w:shd w:val="clear"/>
            <w:vAlign w:val="top"/>
          </w:tcPr>
          <w:p>
            <w:pPr>
              <w:jc w:val="center"/>
              <w:rPr>
                <w:rFonts w:hint="eastAsia" w:ascii="华文中宋" w:hAnsi="华文中宋" w:eastAsia="华文中宋" w:cs="华文中宋"/>
                <w:i w:val="0"/>
                <w:iCs w:val="0"/>
                <w:color w:val="000000"/>
                <w:sz w:val="21"/>
                <w:szCs w:val="21"/>
                <w:u w:val="none"/>
              </w:rPr>
            </w:pPr>
          </w:p>
        </w:tc>
        <w:tc>
          <w:tcPr>
            <w:tcW w:w="84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A22</w:t>
            </w:r>
          </w:p>
        </w:tc>
        <w:tc>
          <w:tcPr>
            <w:tcW w:w="3077"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文化活动用地</w:t>
            </w:r>
          </w:p>
        </w:tc>
        <w:tc>
          <w:tcPr>
            <w:tcW w:w="210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 xml:space="preserve">0.49 </w:t>
            </w:r>
          </w:p>
        </w:tc>
        <w:tc>
          <w:tcPr>
            <w:tcW w:w="1888"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华文中宋" w:hAnsi="华文中宋" w:eastAsia="华文中宋" w:cs="华文中宋"/>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285" w:hRule="atLeast"/>
          <w:jc w:val="center"/>
        </w:trPr>
        <w:tc>
          <w:tcPr>
            <w:tcW w:w="645" w:type="dxa"/>
            <w:vMerge w:val="restart"/>
            <w:tcBorders>
              <w:top w:val="single" w:color="000000" w:sz="4" w:space="0"/>
              <w:left w:val="single" w:color="000000" w:sz="4" w:space="0"/>
              <w:bottom w:val="nil"/>
              <w:right w:val="single" w:color="000000" w:sz="4" w:space="0"/>
            </w:tcBorders>
            <w:shd w:val="clear"/>
            <w:vAlign w:val="top"/>
          </w:tcPr>
          <w:p>
            <w:pPr>
              <w:keepNext w:val="0"/>
              <w:keepLines w:val="0"/>
              <w:widowControl/>
              <w:suppressLineNumbers w:val="0"/>
              <w:jc w:val="center"/>
              <w:textAlignment w:val="top"/>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B</w:t>
            </w:r>
          </w:p>
        </w:tc>
        <w:tc>
          <w:tcPr>
            <w:tcW w:w="690" w:type="dxa"/>
            <w:tcBorders>
              <w:top w:val="single" w:color="000000" w:sz="4" w:space="0"/>
              <w:left w:val="single" w:color="000000" w:sz="4" w:space="0"/>
              <w:bottom w:val="single" w:color="000000" w:sz="4" w:space="0"/>
              <w:right w:val="single" w:color="000000" w:sz="4" w:space="0"/>
            </w:tcBorders>
            <w:shd w:val="clear"/>
            <w:vAlign w:val="top"/>
          </w:tcPr>
          <w:p>
            <w:pPr>
              <w:jc w:val="center"/>
              <w:rPr>
                <w:rFonts w:hint="eastAsia" w:ascii="华文中宋" w:hAnsi="华文中宋" w:eastAsia="华文中宋" w:cs="华文中宋"/>
                <w:i w:val="0"/>
                <w:iCs w:val="0"/>
                <w:color w:val="000000"/>
                <w:sz w:val="21"/>
                <w:szCs w:val="21"/>
                <w:u w:val="none"/>
              </w:rPr>
            </w:pPr>
          </w:p>
        </w:tc>
        <w:tc>
          <w:tcPr>
            <w:tcW w:w="840"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华文中宋" w:hAnsi="华文中宋" w:eastAsia="华文中宋" w:cs="华文中宋"/>
                <w:i w:val="0"/>
                <w:iCs w:val="0"/>
                <w:color w:val="000000"/>
                <w:sz w:val="21"/>
                <w:szCs w:val="21"/>
                <w:u w:val="none"/>
              </w:rPr>
            </w:pPr>
          </w:p>
        </w:tc>
        <w:tc>
          <w:tcPr>
            <w:tcW w:w="3077"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商业服务业设施用地</w:t>
            </w:r>
          </w:p>
        </w:tc>
        <w:tc>
          <w:tcPr>
            <w:tcW w:w="210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 xml:space="preserve">14.22 </w:t>
            </w:r>
          </w:p>
        </w:tc>
        <w:tc>
          <w:tcPr>
            <w:tcW w:w="1888"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 xml:space="preserve">0.50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285" w:hRule="atLeast"/>
          <w:jc w:val="center"/>
        </w:trPr>
        <w:tc>
          <w:tcPr>
            <w:tcW w:w="645" w:type="dxa"/>
            <w:vMerge w:val="continue"/>
            <w:tcBorders>
              <w:top w:val="single" w:color="000000" w:sz="4" w:space="0"/>
              <w:left w:val="single" w:color="000000" w:sz="4" w:space="0"/>
              <w:bottom w:val="nil"/>
              <w:right w:val="single" w:color="000000" w:sz="4" w:space="0"/>
            </w:tcBorders>
            <w:shd w:val="clear"/>
            <w:vAlign w:val="top"/>
          </w:tcPr>
          <w:p>
            <w:pPr>
              <w:jc w:val="center"/>
              <w:rPr>
                <w:rFonts w:hint="eastAsia" w:ascii="华文中宋" w:hAnsi="华文中宋" w:eastAsia="华文中宋" w:cs="华文中宋"/>
                <w:i w:val="0"/>
                <w:iCs w:val="0"/>
                <w:color w:val="000000"/>
                <w:sz w:val="21"/>
                <w:szCs w:val="21"/>
                <w:u w:val="none"/>
              </w:rPr>
            </w:pPr>
          </w:p>
        </w:tc>
        <w:tc>
          <w:tcPr>
            <w:tcW w:w="690" w:type="dxa"/>
            <w:tcBorders>
              <w:top w:val="single" w:color="000000" w:sz="4" w:space="0"/>
              <w:left w:val="single" w:color="000000" w:sz="4" w:space="0"/>
              <w:bottom w:val="single" w:color="000000" w:sz="4" w:space="0"/>
              <w:right w:val="single" w:color="000000" w:sz="4" w:space="0"/>
            </w:tcBorders>
            <w:shd w:val="clear"/>
            <w:vAlign w:val="top"/>
          </w:tcPr>
          <w:p>
            <w:pPr>
              <w:keepNext w:val="0"/>
              <w:keepLines w:val="0"/>
              <w:widowControl/>
              <w:suppressLineNumbers w:val="0"/>
              <w:jc w:val="center"/>
              <w:textAlignment w:val="top"/>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B1</w:t>
            </w:r>
          </w:p>
        </w:tc>
        <w:tc>
          <w:tcPr>
            <w:tcW w:w="840"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华文中宋" w:hAnsi="华文中宋" w:eastAsia="华文中宋" w:cs="华文中宋"/>
                <w:i w:val="0"/>
                <w:iCs w:val="0"/>
                <w:color w:val="000000"/>
                <w:sz w:val="21"/>
                <w:szCs w:val="21"/>
                <w:u w:val="none"/>
              </w:rPr>
            </w:pPr>
          </w:p>
        </w:tc>
        <w:tc>
          <w:tcPr>
            <w:tcW w:w="3077"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商业用地</w:t>
            </w:r>
          </w:p>
        </w:tc>
        <w:tc>
          <w:tcPr>
            <w:tcW w:w="210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 xml:space="preserve">6.16 </w:t>
            </w:r>
          </w:p>
        </w:tc>
        <w:tc>
          <w:tcPr>
            <w:tcW w:w="1888"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华文中宋" w:hAnsi="华文中宋" w:eastAsia="华文中宋" w:cs="华文中宋"/>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285" w:hRule="atLeast"/>
          <w:jc w:val="center"/>
        </w:trPr>
        <w:tc>
          <w:tcPr>
            <w:tcW w:w="645" w:type="dxa"/>
            <w:vMerge w:val="continue"/>
            <w:tcBorders>
              <w:top w:val="single" w:color="000000" w:sz="4" w:space="0"/>
              <w:left w:val="single" w:color="000000" w:sz="4" w:space="0"/>
              <w:bottom w:val="nil"/>
              <w:right w:val="single" w:color="000000" w:sz="4" w:space="0"/>
            </w:tcBorders>
            <w:shd w:val="clear"/>
            <w:vAlign w:val="top"/>
          </w:tcPr>
          <w:p>
            <w:pPr>
              <w:jc w:val="center"/>
              <w:rPr>
                <w:rFonts w:hint="eastAsia" w:ascii="华文中宋" w:hAnsi="华文中宋" w:eastAsia="华文中宋" w:cs="华文中宋"/>
                <w:i w:val="0"/>
                <w:iCs w:val="0"/>
                <w:color w:val="000000"/>
                <w:sz w:val="21"/>
                <w:szCs w:val="21"/>
                <w:u w:val="none"/>
              </w:rPr>
            </w:pPr>
          </w:p>
        </w:tc>
        <w:tc>
          <w:tcPr>
            <w:tcW w:w="690" w:type="dxa"/>
            <w:vMerge w:val="restart"/>
            <w:tcBorders>
              <w:top w:val="single" w:color="000000" w:sz="4" w:space="0"/>
              <w:left w:val="single" w:color="000000" w:sz="4" w:space="0"/>
              <w:bottom w:val="single" w:color="000000" w:sz="4" w:space="0"/>
              <w:right w:val="single" w:color="000000" w:sz="4" w:space="0"/>
            </w:tcBorders>
            <w:shd w:val="clear"/>
            <w:vAlign w:val="top"/>
          </w:tcPr>
          <w:p>
            <w:pPr>
              <w:keepNext w:val="0"/>
              <w:keepLines w:val="0"/>
              <w:widowControl/>
              <w:suppressLineNumbers w:val="0"/>
              <w:jc w:val="center"/>
              <w:textAlignment w:val="top"/>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B4</w:t>
            </w:r>
          </w:p>
        </w:tc>
        <w:tc>
          <w:tcPr>
            <w:tcW w:w="840"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华文中宋" w:hAnsi="华文中宋" w:eastAsia="华文中宋" w:cs="华文中宋"/>
                <w:i w:val="0"/>
                <w:iCs w:val="0"/>
                <w:color w:val="000000"/>
                <w:sz w:val="21"/>
                <w:szCs w:val="21"/>
                <w:u w:val="none"/>
              </w:rPr>
            </w:pPr>
          </w:p>
        </w:tc>
        <w:tc>
          <w:tcPr>
            <w:tcW w:w="3077"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公用设施营业网点用地</w:t>
            </w:r>
          </w:p>
        </w:tc>
        <w:tc>
          <w:tcPr>
            <w:tcW w:w="210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 xml:space="preserve">8.06 </w:t>
            </w:r>
          </w:p>
        </w:tc>
        <w:tc>
          <w:tcPr>
            <w:tcW w:w="1888"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华文中宋" w:hAnsi="华文中宋" w:eastAsia="华文中宋" w:cs="华文中宋"/>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285" w:hRule="atLeast"/>
          <w:jc w:val="center"/>
        </w:trPr>
        <w:tc>
          <w:tcPr>
            <w:tcW w:w="645" w:type="dxa"/>
            <w:vMerge w:val="continue"/>
            <w:tcBorders>
              <w:top w:val="single" w:color="000000" w:sz="4" w:space="0"/>
              <w:left w:val="single" w:color="000000" w:sz="4" w:space="0"/>
              <w:bottom w:val="nil"/>
              <w:right w:val="single" w:color="000000" w:sz="4" w:space="0"/>
            </w:tcBorders>
            <w:shd w:val="clear"/>
            <w:vAlign w:val="top"/>
          </w:tcPr>
          <w:p>
            <w:pPr>
              <w:jc w:val="center"/>
              <w:rPr>
                <w:rFonts w:hint="eastAsia" w:ascii="华文中宋" w:hAnsi="华文中宋" w:eastAsia="华文中宋" w:cs="华文中宋"/>
                <w:i w:val="0"/>
                <w:iCs w:val="0"/>
                <w:color w:val="000000"/>
                <w:sz w:val="21"/>
                <w:szCs w:val="21"/>
                <w:u w:val="none"/>
              </w:rPr>
            </w:pPr>
          </w:p>
        </w:tc>
        <w:tc>
          <w:tcPr>
            <w:tcW w:w="690" w:type="dxa"/>
            <w:vMerge w:val="continue"/>
            <w:tcBorders>
              <w:top w:val="single" w:color="000000" w:sz="4" w:space="0"/>
              <w:left w:val="single" w:color="000000" w:sz="4" w:space="0"/>
              <w:bottom w:val="single" w:color="000000" w:sz="4" w:space="0"/>
              <w:right w:val="single" w:color="000000" w:sz="4" w:space="0"/>
            </w:tcBorders>
            <w:shd w:val="clear"/>
            <w:vAlign w:val="top"/>
          </w:tcPr>
          <w:p>
            <w:pPr>
              <w:jc w:val="center"/>
              <w:rPr>
                <w:rFonts w:hint="eastAsia" w:ascii="华文中宋" w:hAnsi="华文中宋" w:eastAsia="华文中宋" w:cs="华文中宋"/>
                <w:i w:val="0"/>
                <w:iCs w:val="0"/>
                <w:color w:val="000000"/>
                <w:sz w:val="21"/>
                <w:szCs w:val="21"/>
                <w:u w:val="none"/>
              </w:rPr>
            </w:pPr>
          </w:p>
        </w:tc>
        <w:tc>
          <w:tcPr>
            <w:tcW w:w="84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B41</w:t>
            </w:r>
          </w:p>
        </w:tc>
        <w:tc>
          <w:tcPr>
            <w:tcW w:w="3077"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加油加气站用地</w:t>
            </w:r>
          </w:p>
        </w:tc>
        <w:tc>
          <w:tcPr>
            <w:tcW w:w="210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 xml:space="preserve">7.06 </w:t>
            </w:r>
          </w:p>
        </w:tc>
        <w:tc>
          <w:tcPr>
            <w:tcW w:w="1888"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华文中宋" w:hAnsi="华文中宋" w:eastAsia="华文中宋" w:cs="华文中宋"/>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285" w:hRule="atLeast"/>
          <w:jc w:val="center"/>
        </w:trPr>
        <w:tc>
          <w:tcPr>
            <w:tcW w:w="645" w:type="dxa"/>
            <w:vMerge w:val="continue"/>
            <w:tcBorders>
              <w:top w:val="single" w:color="000000" w:sz="4" w:space="0"/>
              <w:left w:val="single" w:color="000000" w:sz="4" w:space="0"/>
              <w:bottom w:val="nil"/>
              <w:right w:val="single" w:color="000000" w:sz="4" w:space="0"/>
            </w:tcBorders>
            <w:shd w:val="clear"/>
            <w:vAlign w:val="top"/>
          </w:tcPr>
          <w:p>
            <w:pPr>
              <w:jc w:val="center"/>
              <w:rPr>
                <w:rFonts w:hint="eastAsia" w:ascii="华文中宋" w:hAnsi="华文中宋" w:eastAsia="华文中宋" w:cs="华文中宋"/>
                <w:i w:val="0"/>
                <w:iCs w:val="0"/>
                <w:color w:val="000000"/>
                <w:sz w:val="21"/>
                <w:szCs w:val="21"/>
                <w:u w:val="none"/>
              </w:rPr>
            </w:pPr>
          </w:p>
        </w:tc>
        <w:tc>
          <w:tcPr>
            <w:tcW w:w="690" w:type="dxa"/>
            <w:vMerge w:val="continue"/>
            <w:tcBorders>
              <w:top w:val="single" w:color="000000" w:sz="4" w:space="0"/>
              <w:left w:val="single" w:color="000000" w:sz="4" w:space="0"/>
              <w:bottom w:val="single" w:color="000000" w:sz="4" w:space="0"/>
              <w:right w:val="single" w:color="000000" w:sz="4" w:space="0"/>
            </w:tcBorders>
            <w:shd w:val="clear"/>
            <w:vAlign w:val="top"/>
          </w:tcPr>
          <w:p>
            <w:pPr>
              <w:jc w:val="center"/>
              <w:rPr>
                <w:rFonts w:hint="eastAsia" w:ascii="华文中宋" w:hAnsi="华文中宋" w:eastAsia="华文中宋" w:cs="华文中宋"/>
                <w:i w:val="0"/>
                <w:iCs w:val="0"/>
                <w:color w:val="000000"/>
                <w:sz w:val="21"/>
                <w:szCs w:val="21"/>
                <w:u w:val="none"/>
              </w:rPr>
            </w:pPr>
          </w:p>
        </w:tc>
        <w:tc>
          <w:tcPr>
            <w:tcW w:w="84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B49</w:t>
            </w:r>
          </w:p>
        </w:tc>
        <w:tc>
          <w:tcPr>
            <w:tcW w:w="3077"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其他公用设施营业网点用地</w:t>
            </w:r>
          </w:p>
        </w:tc>
        <w:tc>
          <w:tcPr>
            <w:tcW w:w="210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 xml:space="preserve">1.00 </w:t>
            </w:r>
          </w:p>
        </w:tc>
        <w:tc>
          <w:tcPr>
            <w:tcW w:w="1888"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华文中宋" w:hAnsi="华文中宋" w:eastAsia="华文中宋" w:cs="华文中宋"/>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285" w:hRule="atLeast"/>
          <w:jc w:val="center"/>
        </w:trPr>
        <w:tc>
          <w:tcPr>
            <w:tcW w:w="645" w:type="dxa"/>
            <w:vMerge w:val="restart"/>
            <w:tcBorders>
              <w:top w:val="single" w:color="000000" w:sz="4" w:space="0"/>
              <w:left w:val="single" w:color="000000" w:sz="4" w:space="0"/>
              <w:bottom w:val="single" w:color="000000" w:sz="4" w:space="0"/>
              <w:right w:val="single" w:color="000000" w:sz="4" w:space="0"/>
            </w:tcBorders>
            <w:shd w:val="clear"/>
            <w:vAlign w:val="top"/>
          </w:tcPr>
          <w:p>
            <w:pPr>
              <w:keepNext w:val="0"/>
              <w:keepLines w:val="0"/>
              <w:widowControl/>
              <w:suppressLineNumbers w:val="0"/>
              <w:jc w:val="center"/>
              <w:textAlignment w:val="top"/>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M</w:t>
            </w:r>
          </w:p>
        </w:tc>
        <w:tc>
          <w:tcPr>
            <w:tcW w:w="690" w:type="dxa"/>
            <w:tcBorders>
              <w:top w:val="single" w:color="000000" w:sz="4" w:space="0"/>
              <w:left w:val="single" w:color="000000" w:sz="4" w:space="0"/>
              <w:bottom w:val="single" w:color="000000" w:sz="4" w:space="0"/>
              <w:right w:val="single" w:color="000000" w:sz="4" w:space="0"/>
            </w:tcBorders>
            <w:shd w:val="clear"/>
            <w:vAlign w:val="top"/>
          </w:tcPr>
          <w:p>
            <w:pPr>
              <w:jc w:val="center"/>
              <w:rPr>
                <w:rFonts w:hint="eastAsia" w:ascii="华文中宋" w:hAnsi="华文中宋" w:eastAsia="华文中宋" w:cs="华文中宋"/>
                <w:i w:val="0"/>
                <w:iCs w:val="0"/>
                <w:color w:val="000000"/>
                <w:sz w:val="21"/>
                <w:szCs w:val="21"/>
                <w:u w:val="none"/>
              </w:rPr>
            </w:pPr>
          </w:p>
        </w:tc>
        <w:tc>
          <w:tcPr>
            <w:tcW w:w="840"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华文中宋" w:hAnsi="华文中宋" w:eastAsia="华文中宋" w:cs="华文中宋"/>
                <w:i w:val="0"/>
                <w:iCs w:val="0"/>
                <w:color w:val="000000"/>
                <w:sz w:val="21"/>
                <w:szCs w:val="21"/>
                <w:u w:val="none"/>
              </w:rPr>
            </w:pPr>
          </w:p>
        </w:tc>
        <w:tc>
          <w:tcPr>
            <w:tcW w:w="3077"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工业用地</w:t>
            </w:r>
          </w:p>
        </w:tc>
        <w:tc>
          <w:tcPr>
            <w:tcW w:w="210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 xml:space="preserve">2191.46 </w:t>
            </w:r>
          </w:p>
        </w:tc>
        <w:tc>
          <w:tcPr>
            <w:tcW w:w="1888"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 xml:space="preserve">76.58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285" w:hRule="atLeast"/>
          <w:jc w:val="center"/>
        </w:trPr>
        <w:tc>
          <w:tcPr>
            <w:tcW w:w="645" w:type="dxa"/>
            <w:vMerge w:val="continue"/>
            <w:tcBorders>
              <w:top w:val="single" w:color="000000" w:sz="4" w:space="0"/>
              <w:left w:val="single" w:color="000000" w:sz="4" w:space="0"/>
              <w:bottom w:val="single" w:color="000000" w:sz="4" w:space="0"/>
              <w:right w:val="single" w:color="000000" w:sz="4" w:space="0"/>
            </w:tcBorders>
            <w:shd w:val="clear"/>
            <w:vAlign w:val="top"/>
          </w:tcPr>
          <w:p>
            <w:pPr>
              <w:jc w:val="center"/>
              <w:rPr>
                <w:rFonts w:hint="eastAsia" w:ascii="华文中宋" w:hAnsi="华文中宋" w:eastAsia="华文中宋" w:cs="华文中宋"/>
                <w:i w:val="0"/>
                <w:iCs w:val="0"/>
                <w:color w:val="000000"/>
                <w:sz w:val="21"/>
                <w:szCs w:val="21"/>
                <w:u w:val="none"/>
              </w:rPr>
            </w:pPr>
          </w:p>
        </w:tc>
        <w:tc>
          <w:tcPr>
            <w:tcW w:w="690" w:type="dxa"/>
            <w:tcBorders>
              <w:top w:val="single" w:color="000000" w:sz="4" w:space="0"/>
              <w:left w:val="single" w:color="000000" w:sz="4" w:space="0"/>
              <w:bottom w:val="single" w:color="000000" w:sz="4" w:space="0"/>
              <w:right w:val="single" w:color="000000" w:sz="4" w:space="0"/>
            </w:tcBorders>
            <w:shd w:val="clear"/>
            <w:vAlign w:val="top"/>
          </w:tcPr>
          <w:p>
            <w:pPr>
              <w:keepNext w:val="0"/>
              <w:keepLines w:val="0"/>
              <w:widowControl/>
              <w:suppressLineNumbers w:val="0"/>
              <w:jc w:val="center"/>
              <w:textAlignment w:val="top"/>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M2</w:t>
            </w:r>
          </w:p>
        </w:tc>
        <w:tc>
          <w:tcPr>
            <w:tcW w:w="840"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华文中宋" w:hAnsi="华文中宋" w:eastAsia="华文中宋" w:cs="华文中宋"/>
                <w:i w:val="0"/>
                <w:iCs w:val="0"/>
                <w:color w:val="000000"/>
                <w:sz w:val="21"/>
                <w:szCs w:val="21"/>
                <w:u w:val="none"/>
              </w:rPr>
            </w:pPr>
          </w:p>
        </w:tc>
        <w:tc>
          <w:tcPr>
            <w:tcW w:w="3077"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二类工业用地</w:t>
            </w:r>
          </w:p>
        </w:tc>
        <w:tc>
          <w:tcPr>
            <w:tcW w:w="2100" w:type="dxa"/>
            <w:tcBorders>
              <w:top w:val="single" w:color="000000" w:sz="4" w:space="0"/>
              <w:left w:val="single" w:color="000000" w:sz="4" w:space="0"/>
              <w:bottom w:val="single" w:color="000000" w:sz="4" w:space="0"/>
              <w:right w:val="single" w:color="000000" w:sz="4" w:space="0"/>
            </w:tcBorders>
            <w:shd w:val="clear"/>
            <w:vAlign w:val="top"/>
          </w:tcPr>
          <w:p>
            <w:pPr>
              <w:keepNext w:val="0"/>
              <w:keepLines w:val="0"/>
              <w:widowControl/>
              <w:suppressLineNumbers w:val="0"/>
              <w:jc w:val="center"/>
              <w:textAlignment w:val="top"/>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 xml:space="preserve">175.08 </w:t>
            </w:r>
          </w:p>
        </w:tc>
        <w:tc>
          <w:tcPr>
            <w:tcW w:w="1888" w:type="dxa"/>
            <w:tcBorders>
              <w:top w:val="single" w:color="000000" w:sz="4" w:space="0"/>
              <w:left w:val="single" w:color="000000" w:sz="4" w:space="0"/>
              <w:bottom w:val="single" w:color="000000" w:sz="4" w:space="0"/>
              <w:right w:val="single" w:color="000000" w:sz="4" w:space="0"/>
            </w:tcBorders>
            <w:shd w:val="clear"/>
            <w:vAlign w:val="top"/>
          </w:tcPr>
          <w:p>
            <w:pPr>
              <w:jc w:val="center"/>
              <w:rPr>
                <w:rFonts w:hint="eastAsia" w:ascii="华文中宋" w:hAnsi="华文中宋" w:eastAsia="华文中宋" w:cs="华文中宋"/>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285" w:hRule="atLeast"/>
          <w:jc w:val="center"/>
        </w:trPr>
        <w:tc>
          <w:tcPr>
            <w:tcW w:w="645" w:type="dxa"/>
            <w:vMerge w:val="continue"/>
            <w:tcBorders>
              <w:top w:val="single" w:color="000000" w:sz="4" w:space="0"/>
              <w:left w:val="single" w:color="000000" w:sz="4" w:space="0"/>
              <w:bottom w:val="single" w:color="000000" w:sz="4" w:space="0"/>
              <w:right w:val="single" w:color="000000" w:sz="4" w:space="0"/>
            </w:tcBorders>
            <w:shd w:val="clear"/>
            <w:vAlign w:val="top"/>
          </w:tcPr>
          <w:p>
            <w:pPr>
              <w:jc w:val="center"/>
              <w:rPr>
                <w:rFonts w:hint="eastAsia" w:ascii="华文中宋" w:hAnsi="华文中宋" w:eastAsia="华文中宋" w:cs="华文中宋"/>
                <w:i w:val="0"/>
                <w:iCs w:val="0"/>
                <w:color w:val="000000"/>
                <w:sz w:val="21"/>
                <w:szCs w:val="21"/>
                <w:u w:val="none"/>
              </w:rPr>
            </w:pPr>
          </w:p>
        </w:tc>
        <w:tc>
          <w:tcPr>
            <w:tcW w:w="690" w:type="dxa"/>
            <w:tcBorders>
              <w:top w:val="single" w:color="000000" w:sz="4" w:space="0"/>
              <w:left w:val="single" w:color="000000" w:sz="4" w:space="0"/>
              <w:bottom w:val="single" w:color="000000" w:sz="4" w:space="0"/>
              <w:right w:val="single" w:color="000000" w:sz="4" w:space="0"/>
            </w:tcBorders>
            <w:shd w:val="clear"/>
            <w:vAlign w:val="top"/>
          </w:tcPr>
          <w:p>
            <w:pPr>
              <w:keepNext w:val="0"/>
              <w:keepLines w:val="0"/>
              <w:widowControl/>
              <w:suppressLineNumbers w:val="0"/>
              <w:jc w:val="center"/>
              <w:textAlignment w:val="top"/>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M3</w:t>
            </w:r>
          </w:p>
        </w:tc>
        <w:tc>
          <w:tcPr>
            <w:tcW w:w="840"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华文中宋" w:hAnsi="华文中宋" w:eastAsia="华文中宋" w:cs="华文中宋"/>
                <w:i w:val="0"/>
                <w:iCs w:val="0"/>
                <w:color w:val="000000"/>
                <w:sz w:val="21"/>
                <w:szCs w:val="21"/>
                <w:u w:val="none"/>
              </w:rPr>
            </w:pPr>
          </w:p>
        </w:tc>
        <w:tc>
          <w:tcPr>
            <w:tcW w:w="3077"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三类工业用地</w:t>
            </w:r>
          </w:p>
        </w:tc>
        <w:tc>
          <w:tcPr>
            <w:tcW w:w="2100" w:type="dxa"/>
            <w:tcBorders>
              <w:top w:val="single" w:color="000000" w:sz="4" w:space="0"/>
              <w:left w:val="single" w:color="000000" w:sz="4" w:space="0"/>
              <w:bottom w:val="single" w:color="000000" w:sz="4" w:space="0"/>
              <w:right w:val="single" w:color="000000" w:sz="4" w:space="0"/>
            </w:tcBorders>
            <w:shd w:val="clear"/>
            <w:vAlign w:val="top"/>
          </w:tcPr>
          <w:p>
            <w:pPr>
              <w:keepNext w:val="0"/>
              <w:keepLines w:val="0"/>
              <w:widowControl/>
              <w:suppressLineNumbers w:val="0"/>
              <w:jc w:val="center"/>
              <w:textAlignment w:val="top"/>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 xml:space="preserve">2016.38 </w:t>
            </w:r>
          </w:p>
        </w:tc>
        <w:tc>
          <w:tcPr>
            <w:tcW w:w="1888" w:type="dxa"/>
            <w:tcBorders>
              <w:top w:val="single" w:color="000000" w:sz="4" w:space="0"/>
              <w:left w:val="single" w:color="000000" w:sz="4" w:space="0"/>
              <w:bottom w:val="single" w:color="000000" w:sz="4" w:space="0"/>
              <w:right w:val="single" w:color="000000" w:sz="4" w:space="0"/>
            </w:tcBorders>
            <w:shd w:val="clear"/>
            <w:vAlign w:val="top"/>
          </w:tcPr>
          <w:p>
            <w:pPr>
              <w:jc w:val="center"/>
              <w:rPr>
                <w:rFonts w:hint="eastAsia" w:ascii="华文中宋" w:hAnsi="华文中宋" w:eastAsia="华文中宋" w:cs="华文中宋"/>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285" w:hRule="atLeast"/>
          <w:jc w:val="center"/>
        </w:trPr>
        <w:tc>
          <w:tcPr>
            <w:tcW w:w="645" w:type="dxa"/>
            <w:tcBorders>
              <w:top w:val="single" w:color="000000" w:sz="4" w:space="0"/>
              <w:left w:val="single" w:color="000000" w:sz="4" w:space="0"/>
              <w:bottom w:val="single" w:color="000000" w:sz="4" w:space="0"/>
              <w:right w:val="single" w:color="000000" w:sz="4" w:space="0"/>
            </w:tcBorders>
            <w:shd w:val="clear"/>
            <w:vAlign w:val="top"/>
          </w:tcPr>
          <w:p>
            <w:pPr>
              <w:keepNext w:val="0"/>
              <w:keepLines w:val="0"/>
              <w:widowControl/>
              <w:suppressLineNumbers w:val="0"/>
              <w:jc w:val="center"/>
              <w:textAlignment w:val="top"/>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W</w:t>
            </w:r>
          </w:p>
        </w:tc>
        <w:tc>
          <w:tcPr>
            <w:tcW w:w="690" w:type="dxa"/>
            <w:tcBorders>
              <w:top w:val="single" w:color="000000" w:sz="4" w:space="0"/>
              <w:left w:val="single" w:color="000000" w:sz="4" w:space="0"/>
              <w:bottom w:val="single" w:color="000000" w:sz="4" w:space="0"/>
              <w:right w:val="single" w:color="000000" w:sz="4" w:space="0"/>
            </w:tcBorders>
            <w:shd w:val="clear"/>
            <w:vAlign w:val="top"/>
          </w:tcPr>
          <w:p>
            <w:pPr>
              <w:jc w:val="center"/>
              <w:rPr>
                <w:rFonts w:hint="eastAsia" w:ascii="华文中宋" w:hAnsi="华文中宋" w:eastAsia="华文中宋" w:cs="华文中宋"/>
                <w:i w:val="0"/>
                <w:iCs w:val="0"/>
                <w:color w:val="000000"/>
                <w:sz w:val="21"/>
                <w:szCs w:val="21"/>
                <w:u w:val="none"/>
              </w:rPr>
            </w:pPr>
          </w:p>
        </w:tc>
        <w:tc>
          <w:tcPr>
            <w:tcW w:w="840"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华文中宋" w:hAnsi="华文中宋" w:eastAsia="华文中宋" w:cs="华文中宋"/>
                <w:i w:val="0"/>
                <w:iCs w:val="0"/>
                <w:color w:val="000000"/>
                <w:sz w:val="21"/>
                <w:szCs w:val="21"/>
                <w:u w:val="none"/>
              </w:rPr>
            </w:pPr>
          </w:p>
        </w:tc>
        <w:tc>
          <w:tcPr>
            <w:tcW w:w="3077"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物流仓储用地</w:t>
            </w:r>
          </w:p>
        </w:tc>
        <w:tc>
          <w:tcPr>
            <w:tcW w:w="210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 xml:space="preserve">282.85 </w:t>
            </w:r>
          </w:p>
        </w:tc>
        <w:tc>
          <w:tcPr>
            <w:tcW w:w="1888"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 xml:space="preserve">9.88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285" w:hRule="atLeast"/>
          <w:jc w:val="center"/>
        </w:trPr>
        <w:tc>
          <w:tcPr>
            <w:tcW w:w="645" w:type="dxa"/>
            <w:vMerge w:val="restart"/>
            <w:tcBorders>
              <w:top w:val="single" w:color="000000" w:sz="4" w:space="0"/>
              <w:left w:val="single" w:color="000000" w:sz="4" w:space="0"/>
              <w:bottom w:val="nil"/>
              <w:right w:val="single" w:color="000000" w:sz="4" w:space="0"/>
            </w:tcBorders>
            <w:shd w:val="clear"/>
            <w:vAlign w:val="top"/>
          </w:tcPr>
          <w:p>
            <w:pPr>
              <w:keepNext w:val="0"/>
              <w:keepLines w:val="0"/>
              <w:widowControl/>
              <w:suppressLineNumbers w:val="0"/>
              <w:jc w:val="center"/>
              <w:textAlignment w:val="top"/>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S</w:t>
            </w:r>
          </w:p>
        </w:tc>
        <w:tc>
          <w:tcPr>
            <w:tcW w:w="690" w:type="dxa"/>
            <w:tcBorders>
              <w:top w:val="single" w:color="000000" w:sz="4" w:space="0"/>
              <w:left w:val="single" w:color="000000" w:sz="4" w:space="0"/>
              <w:bottom w:val="single" w:color="000000" w:sz="4" w:space="0"/>
              <w:right w:val="single" w:color="000000" w:sz="4" w:space="0"/>
            </w:tcBorders>
            <w:shd w:val="clear"/>
            <w:vAlign w:val="top"/>
          </w:tcPr>
          <w:p>
            <w:pPr>
              <w:jc w:val="center"/>
              <w:rPr>
                <w:rFonts w:hint="eastAsia" w:ascii="华文中宋" w:hAnsi="华文中宋" w:eastAsia="华文中宋" w:cs="华文中宋"/>
                <w:i w:val="0"/>
                <w:iCs w:val="0"/>
                <w:color w:val="000000"/>
                <w:sz w:val="21"/>
                <w:szCs w:val="21"/>
                <w:u w:val="none"/>
              </w:rPr>
            </w:pPr>
          </w:p>
        </w:tc>
        <w:tc>
          <w:tcPr>
            <w:tcW w:w="840"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华文中宋" w:hAnsi="华文中宋" w:eastAsia="华文中宋" w:cs="华文中宋"/>
                <w:i w:val="0"/>
                <w:iCs w:val="0"/>
                <w:color w:val="000000"/>
                <w:sz w:val="21"/>
                <w:szCs w:val="21"/>
                <w:u w:val="none"/>
              </w:rPr>
            </w:pPr>
          </w:p>
        </w:tc>
        <w:tc>
          <w:tcPr>
            <w:tcW w:w="3077"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道路与交通设施用地</w:t>
            </w:r>
          </w:p>
        </w:tc>
        <w:tc>
          <w:tcPr>
            <w:tcW w:w="210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 xml:space="preserve">141.98 </w:t>
            </w:r>
          </w:p>
        </w:tc>
        <w:tc>
          <w:tcPr>
            <w:tcW w:w="1888"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 xml:space="preserve">4.96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285" w:hRule="atLeast"/>
          <w:jc w:val="center"/>
        </w:trPr>
        <w:tc>
          <w:tcPr>
            <w:tcW w:w="645" w:type="dxa"/>
            <w:vMerge w:val="continue"/>
            <w:tcBorders>
              <w:top w:val="single" w:color="000000" w:sz="4" w:space="0"/>
              <w:left w:val="single" w:color="000000" w:sz="4" w:space="0"/>
              <w:bottom w:val="nil"/>
              <w:right w:val="single" w:color="000000" w:sz="4" w:space="0"/>
            </w:tcBorders>
            <w:shd w:val="clear"/>
            <w:vAlign w:val="top"/>
          </w:tcPr>
          <w:p>
            <w:pPr>
              <w:jc w:val="center"/>
              <w:rPr>
                <w:rFonts w:hint="eastAsia" w:ascii="华文中宋" w:hAnsi="华文中宋" w:eastAsia="华文中宋" w:cs="华文中宋"/>
                <w:i w:val="0"/>
                <w:iCs w:val="0"/>
                <w:color w:val="000000"/>
                <w:sz w:val="21"/>
                <w:szCs w:val="21"/>
                <w:u w:val="none"/>
              </w:rPr>
            </w:pPr>
          </w:p>
        </w:tc>
        <w:tc>
          <w:tcPr>
            <w:tcW w:w="690" w:type="dxa"/>
            <w:tcBorders>
              <w:top w:val="single" w:color="000000" w:sz="4" w:space="0"/>
              <w:left w:val="single" w:color="000000" w:sz="4" w:space="0"/>
              <w:bottom w:val="single" w:color="000000" w:sz="4" w:space="0"/>
              <w:right w:val="single" w:color="000000" w:sz="4" w:space="0"/>
            </w:tcBorders>
            <w:shd w:val="clear"/>
            <w:vAlign w:val="top"/>
          </w:tcPr>
          <w:p>
            <w:pPr>
              <w:keepNext w:val="0"/>
              <w:keepLines w:val="0"/>
              <w:widowControl/>
              <w:suppressLineNumbers w:val="0"/>
              <w:jc w:val="center"/>
              <w:textAlignment w:val="top"/>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S1</w:t>
            </w:r>
          </w:p>
        </w:tc>
        <w:tc>
          <w:tcPr>
            <w:tcW w:w="840"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华文中宋" w:hAnsi="华文中宋" w:eastAsia="华文中宋" w:cs="华文中宋"/>
                <w:i w:val="0"/>
                <w:iCs w:val="0"/>
                <w:color w:val="000000"/>
                <w:sz w:val="21"/>
                <w:szCs w:val="21"/>
                <w:u w:val="none"/>
              </w:rPr>
            </w:pPr>
          </w:p>
        </w:tc>
        <w:tc>
          <w:tcPr>
            <w:tcW w:w="3077"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城市道路用地</w:t>
            </w:r>
          </w:p>
        </w:tc>
        <w:tc>
          <w:tcPr>
            <w:tcW w:w="2100" w:type="dxa"/>
            <w:tcBorders>
              <w:top w:val="single" w:color="000000" w:sz="4" w:space="0"/>
              <w:left w:val="single" w:color="000000" w:sz="4" w:space="0"/>
              <w:bottom w:val="single" w:color="000000" w:sz="4" w:space="0"/>
              <w:right w:val="single" w:color="000000" w:sz="4" w:space="0"/>
            </w:tcBorders>
            <w:shd w:val="clear"/>
            <w:vAlign w:val="top"/>
          </w:tcPr>
          <w:p>
            <w:pPr>
              <w:keepNext w:val="0"/>
              <w:keepLines w:val="0"/>
              <w:widowControl/>
              <w:suppressLineNumbers w:val="0"/>
              <w:jc w:val="center"/>
              <w:textAlignment w:val="top"/>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 xml:space="preserve">126.18 </w:t>
            </w:r>
          </w:p>
        </w:tc>
        <w:tc>
          <w:tcPr>
            <w:tcW w:w="1888" w:type="dxa"/>
            <w:tcBorders>
              <w:top w:val="single" w:color="000000" w:sz="4" w:space="0"/>
              <w:left w:val="single" w:color="000000" w:sz="4" w:space="0"/>
              <w:bottom w:val="single" w:color="000000" w:sz="4" w:space="0"/>
              <w:right w:val="single" w:color="000000" w:sz="4" w:space="0"/>
            </w:tcBorders>
            <w:shd w:val="clear"/>
            <w:vAlign w:val="top"/>
          </w:tcPr>
          <w:p>
            <w:pPr>
              <w:jc w:val="center"/>
              <w:rPr>
                <w:rFonts w:hint="eastAsia" w:ascii="华文中宋" w:hAnsi="华文中宋" w:eastAsia="华文中宋" w:cs="华文中宋"/>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285" w:hRule="atLeast"/>
          <w:jc w:val="center"/>
        </w:trPr>
        <w:tc>
          <w:tcPr>
            <w:tcW w:w="645" w:type="dxa"/>
            <w:vMerge w:val="continue"/>
            <w:tcBorders>
              <w:top w:val="single" w:color="000000" w:sz="4" w:space="0"/>
              <w:left w:val="single" w:color="000000" w:sz="4" w:space="0"/>
              <w:bottom w:val="nil"/>
              <w:right w:val="single" w:color="000000" w:sz="4" w:space="0"/>
            </w:tcBorders>
            <w:shd w:val="clear"/>
            <w:vAlign w:val="top"/>
          </w:tcPr>
          <w:p>
            <w:pPr>
              <w:jc w:val="center"/>
              <w:rPr>
                <w:rFonts w:hint="eastAsia" w:ascii="华文中宋" w:hAnsi="华文中宋" w:eastAsia="华文中宋" w:cs="华文中宋"/>
                <w:i w:val="0"/>
                <w:iCs w:val="0"/>
                <w:color w:val="000000"/>
                <w:sz w:val="21"/>
                <w:szCs w:val="21"/>
                <w:u w:val="none"/>
              </w:rPr>
            </w:pPr>
          </w:p>
        </w:tc>
        <w:tc>
          <w:tcPr>
            <w:tcW w:w="690" w:type="dxa"/>
            <w:vMerge w:val="restart"/>
            <w:tcBorders>
              <w:top w:val="single" w:color="000000" w:sz="4" w:space="0"/>
              <w:left w:val="single" w:color="000000" w:sz="4" w:space="0"/>
              <w:bottom w:val="single" w:color="000000" w:sz="4" w:space="0"/>
              <w:right w:val="single" w:color="000000" w:sz="4" w:space="0"/>
            </w:tcBorders>
            <w:shd w:val="clear"/>
            <w:vAlign w:val="top"/>
          </w:tcPr>
          <w:p>
            <w:pPr>
              <w:keepNext w:val="0"/>
              <w:keepLines w:val="0"/>
              <w:widowControl/>
              <w:suppressLineNumbers w:val="0"/>
              <w:jc w:val="center"/>
              <w:textAlignment w:val="top"/>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S4</w:t>
            </w:r>
          </w:p>
        </w:tc>
        <w:tc>
          <w:tcPr>
            <w:tcW w:w="840"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华文中宋" w:hAnsi="华文中宋" w:eastAsia="华文中宋" w:cs="华文中宋"/>
                <w:i w:val="0"/>
                <w:iCs w:val="0"/>
                <w:color w:val="000000"/>
                <w:sz w:val="21"/>
                <w:szCs w:val="21"/>
                <w:u w:val="none"/>
              </w:rPr>
            </w:pPr>
          </w:p>
        </w:tc>
        <w:tc>
          <w:tcPr>
            <w:tcW w:w="3077" w:type="dxa"/>
            <w:tcBorders>
              <w:top w:val="single" w:color="000000" w:sz="4" w:space="0"/>
              <w:left w:val="single" w:color="000000" w:sz="4" w:space="0"/>
              <w:bottom w:val="single" w:color="000000" w:sz="4" w:space="0"/>
              <w:right w:val="single" w:color="000000" w:sz="4" w:space="0"/>
            </w:tcBorders>
            <w:shd w:val="clear"/>
            <w:noWrap/>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交通场站用地</w:t>
            </w:r>
          </w:p>
        </w:tc>
        <w:tc>
          <w:tcPr>
            <w:tcW w:w="210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 xml:space="preserve">15.80 </w:t>
            </w:r>
          </w:p>
        </w:tc>
        <w:tc>
          <w:tcPr>
            <w:tcW w:w="1888"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华文中宋" w:hAnsi="华文中宋" w:eastAsia="华文中宋" w:cs="华文中宋"/>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285" w:hRule="atLeast"/>
          <w:jc w:val="center"/>
        </w:trPr>
        <w:tc>
          <w:tcPr>
            <w:tcW w:w="645" w:type="dxa"/>
            <w:vMerge w:val="continue"/>
            <w:tcBorders>
              <w:top w:val="single" w:color="000000" w:sz="4" w:space="0"/>
              <w:left w:val="single" w:color="000000" w:sz="4" w:space="0"/>
              <w:bottom w:val="nil"/>
              <w:right w:val="single" w:color="000000" w:sz="4" w:space="0"/>
            </w:tcBorders>
            <w:shd w:val="clear"/>
            <w:vAlign w:val="top"/>
          </w:tcPr>
          <w:p>
            <w:pPr>
              <w:jc w:val="center"/>
              <w:rPr>
                <w:rFonts w:hint="eastAsia" w:ascii="华文中宋" w:hAnsi="华文中宋" w:eastAsia="华文中宋" w:cs="华文中宋"/>
                <w:i w:val="0"/>
                <w:iCs w:val="0"/>
                <w:color w:val="000000"/>
                <w:sz w:val="21"/>
                <w:szCs w:val="21"/>
                <w:u w:val="none"/>
              </w:rPr>
            </w:pPr>
          </w:p>
        </w:tc>
        <w:tc>
          <w:tcPr>
            <w:tcW w:w="690" w:type="dxa"/>
            <w:vMerge w:val="continue"/>
            <w:tcBorders>
              <w:top w:val="single" w:color="000000" w:sz="4" w:space="0"/>
              <w:left w:val="single" w:color="000000" w:sz="4" w:space="0"/>
              <w:bottom w:val="single" w:color="000000" w:sz="4" w:space="0"/>
              <w:right w:val="single" w:color="000000" w:sz="4" w:space="0"/>
            </w:tcBorders>
            <w:shd w:val="clear"/>
            <w:vAlign w:val="top"/>
          </w:tcPr>
          <w:p>
            <w:pPr>
              <w:jc w:val="center"/>
              <w:rPr>
                <w:rFonts w:hint="eastAsia" w:ascii="华文中宋" w:hAnsi="华文中宋" w:eastAsia="华文中宋" w:cs="华文中宋"/>
                <w:i w:val="0"/>
                <w:iCs w:val="0"/>
                <w:color w:val="000000"/>
                <w:sz w:val="21"/>
                <w:szCs w:val="21"/>
                <w:u w:val="none"/>
              </w:rPr>
            </w:pPr>
          </w:p>
        </w:tc>
        <w:tc>
          <w:tcPr>
            <w:tcW w:w="84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S42</w:t>
            </w:r>
          </w:p>
        </w:tc>
        <w:tc>
          <w:tcPr>
            <w:tcW w:w="3077" w:type="dxa"/>
            <w:tcBorders>
              <w:top w:val="single" w:color="000000" w:sz="4" w:space="0"/>
              <w:left w:val="single" w:color="000000" w:sz="4" w:space="0"/>
              <w:bottom w:val="single" w:color="000000" w:sz="4" w:space="0"/>
              <w:right w:val="single" w:color="000000" w:sz="4" w:space="0"/>
            </w:tcBorders>
            <w:shd w:val="clear"/>
            <w:noWrap/>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社会停车场用地</w:t>
            </w:r>
          </w:p>
        </w:tc>
        <w:tc>
          <w:tcPr>
            <w:tcW w:w="210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 xml:space="preserve">15.80 </w:t>
            </w:r>
          </w:p>
        </w:tc>
        <w:tc>
          <w:tcPr>
            <w:tcW w:w="1888"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华文中宋" w:hAnsi="华文中宋" w:eastAsia="华文中宋" w:cs="华文中宋"/>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285" w:hRule="atLeast"/>
          <w:jc w:val="center"/>
        </w:trPr>
        <w:tc>
          <w:tcPr>
            <w:tcW w:w="645" w:type="dxa"/>
            <w:vMerge w:val="restart"/>
            <w:tcBorders>
              <w:top w:val="single" w:color="000000" w:sz="4" w:space="0"/>
              <w:left w:val="single" w:color="000000" w:sz="4" w:space="0"/>
              <w:bottom w:val="single" w:color="000000" w:sz="4" w:space="0"/>
              <w:right w:val="single" w:color="000000" w:sz="4" w:space="0"/>
            </w:tcBorders>
            <w:shd w:val="clear"/>
            <w:vAlign w:val="top"/>
          </w:tcPr>
          <w:p>
            <w:pPr>
              <w:keepNext w:val="0"/>
              <w:keepLines w:val="0"/>
              <w:widowControl/>
              <w:suppressLineNumbers w:val="0"/>
              <w:jc w:val="center"/>
              <w:textAlignment w:val="top"/>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U</w:t>
            </w:r>
          </w:p>
        </w:tc>
        <w:tc>
          <w:tcPr>
            <w:tcW w:w="690" w:type="dxa"/>
            <w:tcBorders>
              <w:top w:val="single" w:color="000000" w:sz="4" w:space="0"/>
              <w:left w:val="single" w:color="000000" w:sz="4" w:space="0"/>
              <w:bottom w:val="single" w:color="000000" w:sz="4" w:space="0"/>
              <w:right w:val="single" w:color="000000" w:sz="4" w:space="0"/>
            </w:tcBorders>
            <w:shd w:val="clear"/>
            <w:vAlign w:val="top"/>
          </w:tcPr>
          <w:p>
            <w:pPr>
              <w:jc w:val="center"/>
              <w:rPr>
                <w:rFonts w:hint="eastAsia" w:ascii="华文中宋" w:hAnsi="华文中宋" w:eastAsia="华文中宋" w:cs="华文中宋"/>
                <w:i w:val="0"/>
                <w:iCs w:val="0"/>
                <w:color w:val="000000"/>
                <w:sz w:val="21"/>
                <w:szCs w:val="21"/>
                <w:u w:val="none"/>
              </w:rPr>
            </w:pPr>
          </w:p>
        </w:tc>
        <w:tc>
          <w:tcPr>
            <w:tcW w:w="840"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华文中宋" w:hAnsi="华文中宋" w:eastAsia="华文中宋" w:cs="华文中宋"/>
                <w:i w:val="0"/>
                <w:iCs w:val="0"/>
                <w:color w:val="000000"/>
                <w:sz w:val="21"/>
                <w:szCs w:val="21"/>
                <w:u w:val="none"/>
              </w:rPr>
            </w:pPr>
          </w:p>
        </w:tc>
        <w:tc>
          <w:tcPr>
            <w:tcW w:w="3077"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公用设施用地</w:t>
            </w:r>
          </w:p>
        </w:tc>
        <w:tc>
          <w:tcPr>
            <w:tcW w:w="210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 xml:space="preserve">32.62 </w:t>
            </w:r>
          </w:p>
        </w:tc>
        <w:tc>
          <w:tcPr>
            <w:tcW w:w="1888"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 xml:space="preserve">1.14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285" w:hRule="atLeast"/>
          <w:jc w:val="center"/>
        </w:trPr>
        <w:tc>
          <w:tcPr>
            <w:tcW w:w="645" w:type="dxa"/>
            <w:vMerge w:val="continue"/>
            <w:tcBorders>
              <w:top w:val="single" w:color="000000" w:sz="4" w:space="0"/>
              <w:left w:val="single" w:color="000000" w:sz="4" w:space="0"/>
              <w:bottom w:val="single" w:color="000000" w:sz="4" w:space="0"/>
              <w:right w:val="single" w:color="000000" w:sz="4" w:space="0"/>
            </w:tcBorders>
            <w:shd w:val="clear"/>
            <w:vAlign w:val="top"/>
          </w:tcPr>
          <w:p>
            <w:pPr>
              <w:jc w:val="center"/>
              <w:rPr>
                <w:rFonts w:hint="eastAsia" w:ascii="华文中宋" w:hAnsi="华文中宋" w:eastAsia="华文中宋" w:cs="华文中宋"/>
                <w:i w:val="0"/>
                <w:iCs w:val="0"/>
                <w:color w:val="000000"/>
                <w:sz w:val="21"/>
                <w:szCs w:val="21"/>
                <w:u w:val="none"/>
              </w:rPr>
            </w:pPr>
          </w:p>
        </w:tc>
        <w:tc>
          <w:tcPr>
            <w:tcW w:w="690" w:type="dxa"/>
            <w:vMerge w:val="restart"/>
            <w:tcBorders>
              <w:top w:val="single" w:color="000000" w:sz="4" w:space="0"/>
              <w:left w:val="single" w:color="000000" w:sz="4" w:space="0"/>
              <w:bottom w:val="single" w:color="000000" w:sz="4" w:space="0"/>
              <w:right w:val="single" w:color="000000" w:sz="4" w:space="0"/>
            </w:tcBorders>
            <w:shd w:val="clear"/>
            <w:vAlign w:val="top"/>
          </w:tcPr>
          <w:p>
            <w:pPr>
              <w:keepNext w:val="0"/>
              <w:keepLines w:val="0"/>
              <w:widowControl/>
              <w:suppressLineNumbers w:val="0"/>
              <w:jc w:val="center"/>
              <w:textAlignment w:val="top"/>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U1</w:t>
            </w:r>
          </w:p>
        </w:tc>
        <w:tc>
          <w:tcPr>
            <w:tcW w:w="840"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华文中宋" w:hAnsi="华文中宋" w:eastAsia="华文中宋" w:cs="华文中宋"/>
                <w:i w:val="0"/>
                <w:iCs w:val="0"/>
                <w:color w:val="000000"/>
                <w:sz w:val="21"/>
                <w:szCs w:val="21"/>
                <w:u w:val="none"/>
              </w:rPr>
            </w:pPr>
          </w:p>
        </w:tc>
        <w:tc>
          <w:tcPr>
            <w:tcW w:w="3077"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供应设施用地</w:t>
            </w:r>
          </w:p>
        </w:tc>
        <w:tc>
          <w:tcPr>
            <w:tcW w:w="210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 xml:space="preserve">16.93 </w:t>
            </w:r>
          </w:p>
        </w:tc>
        <w:tc>
          <w:tcPr>
            <w:tcW w:w="1888"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华文中宋" w:hAnsi="华文中宋" w:eastAsia="华文中宋" w:cs="华文中宋"/>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285" w:hRule="atLeast"/>
          <w:jc w:val="center"/>
        </w:trPr>
        <w:tc>
          <w:tcPr>
            <w:tcW w:w="645" w:type="dxa"/>
            <w:vMerge w:val="continue"/>
            <w:tcBorders>
              <w:top w:val="single" w:color="000000" w:sz="4" w:space="0"/>
              <w:left w:val="single" w:color="000000" w:sz="4" w:space="0"/>
              <w:bottom w:val="single" w:color="000000" w:sz="4" w:space="0"/>
              <w:right w:val="single" w:color="000000" w:sz="4" w:space="0"/>
            </w:tcBorders>
            <w:shd w:val="clear"/>
            <w:vAlign w:val="top"/>
          </w:tcPr>
          <w:p>
            <w:pPr>
              <w:jc w:val="center"/>
              <w:rPr>
                <w:rFonts w:hint="eastAsia" w:ascii="华文中宋" w:hAnsi="华文中宋" w:eastAsia="华文中宋" w:cs="华文中宋"/>
                <w:i w:val="0"/>
                <w:iCs w:val="0"/>
                <w:color w:val="000000"/>
                <w:sz w:val="21"/>
                <w:szCs w:val="21"/>
                <w:u w:val="none"/>
              </w:rPr>
            </w:pPr>
          </w:p>
        </w:tc>
        <w:tc>
          <w:tcPr>
            <w:tcW w:w="690" w:type="dxa"/>
            <w:vMerge w:val="continue"/>
            <w:tcBorders>
              <w:top w:val="single" w:color="000000" w:sz="4" w:space="0"/>
              <w:left w:val="single" w:color="000000" w:sz="4" w:space="0"/>
              <w:bottom w:val="single" w:color="000000" w:sz="4" w:space="0"/>
              <w:right w:val="single" w:color="000000" w:sz="4" w:space="0"/>
            </w:tcBorders>
            <w:shd w:val="clear"/>
            <w:vAlign w:val="top"/>
          </w:tcPr>
          <w:p>
            <w:pPr>
              <w:jc w:val="center"/>
              <w:rPr>
                <w:rFonts w:hint="eastAsia" w:ascii="华文中宋" w:hAnsi="华文中宋" w:eastAsia="华文中宋" w:cs="华文中宋"/>
                <w:i w:val="0"/>
                <w:iCs w:val="0"/>
                <w:color w:val="000000"/>
                <w:sz w:val="21"/>
                <w:szCs w:val="21"/>
                <w:u w:val="none"/>
              </w:rPr>
            </w:pPr>
          </w:p>
        </w:tc>
        <w:tc>
          <w:tcPr>
            <w:tcW w:w="84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U11</w:t>
            </w:r>
          </w:p>
        </w:tc>
        <w:tc>
          <w:tcPr>
            <w:tcW w:w="3077"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供水用地</w:t>
            </w:r>
          </w:p>
        </w:tc>
        <w:tc>
          <w:tcPr>
            <w:tcW w:w="210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 xml:space="preserve">5.29 </w:t>
            </w:r>
          </w:p>
        </w:tc>
        <w:tc>
          <w:tcPr>
            <w:tcW w:w="1888"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华文中宋" w:hAnsi="华文中宋" w:eastAsia="华文中宋" w:cs="华文中宋"/>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285" w:hRule="atLeast"/>
          <w:jc w:val="center"/>
        </w:trPr>
        <w:tc>
          <w:tcPr>
            <w:tcW w:w="645" w:type="dxa"/>
            <w:vMerge w:val="continue"/>
            <w:tcBorders>
              <w:top w:val="single" w:color="000000" w:sz="4" w:space="0"/>
              <w:left w:val="single" w:color="000000" w:sz="4" w:space="0"/>
              <w:bottom w:val="single" w:color="000000" w:sz="4" w:space="0"/>
              <w:right w:val="single" w:color="000000" w:sz="4" w:space="0"/>
            </w:tcBorders>
            <w:shd w:val="clear"/>
            <w:vAlign w:val="top"/>
          </w:tcPr>
          <w:p>
            <w:pPr>
              <w:jc w:val="center"/>
              <w:rPr>
                <w:rFonts w:hint="eastAsia" w:ascii="华文中宋" w:hAnsi="华文中宋" w:eastAsia="华文中宋" w:cs="华文中宋"/>
                <w:i w:val="0"/>
                <w:iCs w:val="0"/>
                <w:color w:val="000000"/>
                <w:sz w:val="21"/>
                <w:szCs w:val="21"/>
                <w:u w:val="none"/>
              </w:rPr>
            </w:pPr>
          </w:p>
        </w:tc>
        <w:tc>
          <w:tcPr>
            <w:tcW w:w="690" w:type="dxa"/>
            <w:vMerge w:val="continue"/>
            <w:tcBorders>
              <w:top w:val="single" w:color="000000" w:sz="4" w:space="0"/>
              <w:left w:val="single" w:color="000000" w:sz="4" w:space="0"/>
              <w:bottom w:val="single" w:color="000000" w:sz="4" w:space="0"/>
              <w:right w:val="single" w:color="000000" w:sz="4" w:space="0"/>
            </w:tcBorders>
            <w:shd w:val="clear"/>
            <w:vAlign w:val="top"/>
          </w:tcPr>
          <w:p>
            <w:pPr>
              <w:jc w:val="center"/>
              <w:rPr>
                <w:rFonts w:hint="eastAsia" w:ascii="华文中宋" w:hAnsi="华文中宋" w:eastAsia="华文中宋" w:cs="华文中宋"/>
                <w:i w:val="0"/>
                <w:iCs w:val="0"/>
                <w:color w:val="000000"/>
                <w:sz w:val="21"/>
                <w:szCs w:val="21"/>
                <w:u w:val="none"/>
              </w:rPr>
            </w:pPr>
          </w:p>
        </w:tc>
        <w:tc>
          <w:tcPr>
            <w:tcW w:w="84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U12</w:t>
            </w:r>
          </w:p>
        </w:tc>
        <w:tc>
          <w:tcPr>
            <w:tcW w:w="3077"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供电用地</w:t>
            </w:r>
          </w:p>
        </w:tc>
        <w:tc>
          <w:tcPr>
            <w:tcW w:w="210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 xml:space="preserve">10.77 </w:t>
            </w:r>
          </w:p>
        </w:tc>
        <w:tc>
          <w:tcPr>
            <w:tcW w:w="1888"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华文中宋" w:hAnsi="华文中宋" w:eastAsia="华文中宋" w:cs="华文中宋"/>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285" w:hRule="atLeast"/>
          <w:jc w:val="center"/>
        </w:trPr>
        <w:tc>
          <w:tcPr>
            <w:tcW w:w="645" w:type="dxa"/>
            <w:vMerge w:val="continue"/>
            <w:tcBorders>
              <w:top w:val="single" w:color="000000" w:sz="4" w:space="0"/>
              <w:left w:val="single" w:color="000000" w:sz="4" w:space="0"/>
              <w:bottom w:val="single" w:color="000000" w:sz="4" w:space="0"/>
              <w:right w:val="single" w:color="000000" w:sz="4" w:space="0"/>
            </w:tcBorders>
            <w:shd w:val="clear"/>
            <w:vAlign w:val="top"/>
          </w:tcPr>
          <w:p>
            <w:pPr>
              <w:jc w:val="center"/>
              <w:rPr>
                <w:rFonts w:hint="eastAsia" w:ascii="华文中宋" w:hAnsi="华文中宋" w:eastAsia="华文中宋" w:cs="华文中宋"/>
                <w:i w:val="0"/>
                <w:iCs w:val="0"/>
                <w:color w:val="000000"/>
                <w:sz w:val="21"/>
                <w:szCs w:val="21"/>
                <w:u w:val="none"/>
              </w:rPr>
            </w:pPr>
          </w:p>
        </w:tc>
        <w:tc>
          <w:tcPr>
            <w:tcW w:w="690" w:type="dxa"/>
            <w:vMerge w:val="continue"/>
            <w:tcBorders>
              <w:top w:val="single" w:color="000000" w:sz="4" w:space="0"/>
              <w:left w:val="single" w:color="000000" w:sz="4" w:space="0"/>
              <w:bottom w:val="single" w:color="000000" w:sz="4" w:space="0"/>
              <w:right w:val="single" w:color="000000" w:sz="4" w:space="0"/>
            </w:tcBorders>
            <w:shd w:val="clear"/>
            <w:vAlign w:val="top"/>
          </w:tcPr>
          <w:p>
            <w:pPr>
              <w:jc w:val="center"/>
              <w:rPr>
                <w:rFonts w:hint="eastAsia" w:ascii="华文中宋" w:hAnsi="华文中宋" w:eastAsia="华文中宋" w:cs="华文中宋"/>
                <w:i w:val="0"/>
                <w:iCs w:val="0"/>
                <w:color w:val="000000"/>
                <w:sz w:val="21"/>
                <w:szCs w:val="21"/>
                <w:u w:val="none"/>
              </w:rPr>
            </w:pPr>
          </w:p>
        </w:tc>
        <w:tc>
          <w:tcPr>
            <w:tcW w:w="84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U13</w:t>
            </w:r>
          </w:p>
        </w:tc>
        <w:tc>
          <w:tcPr>
            <w:tcW w:w="3077"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供燃气用地</w:t>
            </w:r>
          </w:p>
        </w:tc>
        <w:tc>
          <w:tcPr>
            <w:tcW w:w="210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 xml:space="preserve">0.77 </w:t>
            </w:r>
          </w:p>
        </w:tc>
        <w:tc>
          <w:tcPr>
            <w:tcW w:w="1888"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华文中宋" w:hAnsi="华文中宋" w:eastAsia="华文中宋" w:cs="华文中宋"/>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285" w:hRule="atLeast"/>
          <w:jc w:val="center"/>
        </w:trPr>
        <w:tc>
          <w:tcPr>
            <w:tcW w:w="645" w:type="dxa"/>
            <w:vMerge w:val="continue"/>
            <w:tcBorders>
              <w:top w:val="single" w:color="000000" w:sz="4" w:space="0"/>
              <w:left w:val="single" w:color="000000" w:sz="4" w:space="0"/>
              <w:bottom w:val="single" w:color="000000" w:sz="4" w:space="0"/>
              <w:right w:val="single" w:color="000000" w:sz="4" w:space="0"/>
            </w:tcBorders>
            <w:shd w:val="clear"/>
            <w:vAlign w:val="top"/>
          </w:tcPr>
          <w:p>
            <w:pPr>
              <w:jc w:val="center"/>
              <w:rPr>
                <w:rFonts w:hint="eastAsia" w:ascii="华文中宋" w:hAnsi="华文中宋" w:eastAsia="华文中宋" w:cs="华文中宋"/>
                <w:i w:val="0"/>
                <w:iCs w:val="0"/>
                <w:color w:val="000000"/>
                <w:sz w:val="21"/>
                <w:szCs w:val="21"/>
                <w:u w:val="none"/>
              </w:rPr>
            </w:pPr>
          </w:p>
        </w:tc>
        <w:tc>
          <w:tcPr>
            <w:tcW w:w="690" w:type="dxa"/>
            <w:vMerge w:val="continue"/>
            <w:tcBorders>
              <w:top w:val="single" w:color="000000" w:sz="4" w:space="0"/>
              <w:left w:val="single" w:color="000000" w:sz="4" w:space="0"/>
              <w:bottom w:val="single" w:color="000000" w:sz="4" w:space="0"/>
              <w:right w:val="single" w:color="000000" w:sz="4" w:space="0"/>
            </w:tcBorders>
            <w:shd w:val="clear"/>
            <w:vAlign w:val="top"/>
          </w:tcPr>
          <w:p>
            <w:pPr>
              <w:jc w:val="center"/>
              <w:rPr>
                <w:rFonts w:hint="eastAsia" w:ascii="华文中宋" w:hAnsi="华文中宋" w:eastAsia="华文中宋" w:cs="华文中宋"/>
                <w:i w:val="0"/>
                <w:iCs w:val="0"/>
                <w:color w:val="000000"/>
                <w:sz w:val="21"/>
                <w:szCs w:val="21"/>
                <w:u w:val="none"/>
              </w:rPr>
            </w:pPr>
          </w:p>
        </w:tc>
        <w:tc>
          <w:tcPr>
            <w:tcW w:w="84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U14</w:t>
            </w:r>
          </w:p>
        </w:tc>
        <w:tc>
          <w:tcPr>
            <w:tcW w:w="3077"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供热用地</w:t>
            </w:r>
          </w:p>
        </w:tc>
        <w:tc>
          <w:tcPr>
            <w:tcW w:w="210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 xml:space="preserve">0.10 </w:t>
            </w:r>
          </w:p>
        </w:tc>
        <w:tc>
          <w:tcPr>
            <w:tcW w:w="1888"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华文中宋" w:hAnsi="华文中宋" w:eastAsia="华文中宋" w:cs="华文中宋"/>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285" w:hRule="atLeast"/>
          <w:jc w:val="center"/>
        </w:trPr>
        <w:tc>
          <w:tcPr>
            <w:tcW w:w="645" w:type="dxa"/>
            <w:vMerge w:val="continue"/>
            <w:tcBorders>
              <w:top w:val="single" w:color="000000" w:sz="4" w:space="0"/>
              <w:left w:val="single" w:color="000000" w:sz="4" w:space="0"/>
              <w:bottom w:val="single" w:color="000000" w:sz="4" w:space="0"/>
              <w:right w:val="single" w:color="000000" w:sz="4" w:space="0"/>
            </w:tcBorders>
            <w:shd w:val="clear"/>
            <w:vAlign w:val="top"/>
          </w:tcPr>
          <w:p>
            <w:pPr>
              <w:jc w:val="center"/>
              <w:rPr>
                <w:rFonts w:hint="eastAsia" w:ascii="华文中宋" w:hAnsi="华文中宋" w:eastAsia="华文中宋" w:cs="华文中宋"/>
                <w:i w:val="0"/>
                <w:iCs w:val="0"/>
                <w:color w:val="000000"/>
                <w:sz w:val="21"/>
                <w:szCs w:val="21"/>
                <w:u w:val="none"/>
              </w:rPr>
            </w:pPr>
          </w:p>
        </w:tc>
        <w:tc>
          <w:tcPr>
            <w:tcW w:w="690" w:type="dxa"/>
            <w:vMerge w:val="restart"/>
            <w:tcBorders>
              <w:top w:val="single" w:color="000000" w:sz="4" w:space="0"/>
              <w:left w:val="single" w:color="000000" w:sz="4" w:space="0"/>
              <w:bottom w:val="single" w:color="000000" w:sz="4" w:space="0"/>
              <w:right w:val="single" w:color="000000" w:sz="4" w:space="0"/>
            </w:tcBorders>
            <w:shd w:val="clear"/>
            <w:vAlign w:val="top"/>
          </w:tcPr>
          <w:p>
            <w:pPr>
              <w:keepNext w:val="0"/>
              <w:keepLines w:val="0"/>
              <w:widowControl/>
              <w:suppressLineNumbers w:val="0"/>
              <w:jc w:val="center"/>
              <w:textAlignment w:val="top"/>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U2</w:t>
            </w:r>
          </w:p>
        </w:tc>
        <w:tc>
          <w:tcPr>
            <w:tcW w:w="840"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华文中宋" w:hAnsi="华文中宋" w:eastAsia="华文中宋" w:cs="华文中宋"/>
                <w:i w:val="0"/>
                <w:iCs w:val="0"/>
                <w:color w:val="000000"/>
                <w:sz w:val="21"/>
                <w:szCs w:val="21"/>
                <w:u w:val="none"/>
              </w:rPr>
            </w:pPr>
          </w:p>
        </w:tc>
        <w:tc>
          <w:tcPr>
            <w:tcW w:w="3077"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环境设施用地</w:t>
            </w:r>
          </w:p>
        </w:tc>
        <w:tc>
          <w:tcPr>
            <w:tcW w:w="210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 xml:space="preserve">11.35 </w:t>
            </w:r>
          </w:p>
        </w:tc>
        <w:tc>
          <w:tcPr>
            <w:tcW w:w="1888"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华文中宋" w:hAnsi="华文中宋" w:eastAsia="华文中宋" w:cs="华文中宋"/>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285" w:hRule="atLeast"/>
          <w:jc w:val="center"/>
        </w:trPr>
        <w:tc>
          <w:tcPr>
            <w:tcW w:w="645" w:type="dxa"/>
            <w:vMerge w:val="continue"/>
            <w:tcBorders>
              <w:top w:val="single" w:color="000000" w:sz="4" w:space="0"/>
              <w:left w:val="single" w:color="000000" w:sz="4" w:space="0"/>
              <w:bottom w:val="single" w:color="000000" w:sz="4" w:space="0"/>
              <w:right w:val="single" w:color="000000" w:sz="4" w:space="0"/>
            </w:tcBorders>
            <w:shd w:val="clear"/>
            <w:vAlign w:val="top"/>
          </w:tcPr>
          <w:p>
            <w:pPr>
              <w:jc w:val="center"/>
              <w:rPr>
                <w:rFonts w:hint="eastAsia" w:ascii="华文中宋" w:hAnsi="华文中宋" w:eastAsia="华文中宋" w:cs="华文中宋"/>
                <w:i w:val="0"/>
                <w:iCs w:val="0"/>
                <w:color w:val="000000"/>
                <w:sz w:val="21"/>
                <w:szCs w:val="21"/>
                <w:u w:val="none"/>
              </w:rPr>
            </w:pPr>
          </w:p>
        </w:tc>
        <w:tc>
          <w:tcPr>
            <w:tcW w:w="690" w:type="dxa"/>
            <w:vMerge w:val="continue"/>
            <w:tcBorders>
              <w:top w:val="single" w:color="000000" w:sz="4" w:space="0"/>
              <w:left w:val="single" w:color="000000" w:sz="4" w:space="0"/>
              <w:bottom w:val="single" w:color="000000" w:sz="4" w:space="0"/>
              <w:right w:val="single" w:color="000000" w:sz="4" w:space="0"/>
            </w:tcBorders>
            <w:shd w:val="clear"/>
            <w:vAlign w:val="top"/>
          </w:tcPr>
          <w:p>
            <w:pPr>
              <w:jc w:val="center"/>
              <w:rPr>
                <w:rFonts w:hint="eastAsia" w:ascii="华文中宋" w:hAnsi="华文中宋" w:eastAsia="华文中宋" w:cs="华文中宋"/>
                <w:i w:val="0"/>
                <w:iCs w:val="0"/>
                <w:color w:val="000000"/>
                <w:sz w:val="21"/>
                <w:szCs w:val="21"/>
                <w:u w:val="none"/>
              </w:rPr>
            </w:pPr>
          </w:p>
        </w:tc>
        <w:tc>
          <w:tcPr>
            <w:tcW w:w="84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U21</w:t>
            </w:r>
          </w:p>
        </w:tc>
        <w:tc>
          <w:tcPr>
            <w:tcW w:w="3077"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排水用地</w:t>
            </w:r>
          </w:p>
        </w:tc>
        <w:tc>
          <w:tcPr>
            <w:tcW w:w="210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 xml:space="preserve">8.45 </w:t>
            </w:r>
          </w:p>
        </w:tc>
        <w:tc>
          <w:tcPr>
            <w:tcW w:w="1888"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华文中宋" w:hAnsi="华文中宋" w:eastAsia="华文中宋" w:cs="华文中宋"/>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285" w:hRule="atLeast"/>
          <w:jc w:val="center"/>
        </w:trPr>
        <w:tc>
          <w:tcPr>
            <w:tcW w:w="645" w:type="dxa"/>
            <w:vMerge w:val="continue"/>
            <w:tcBorders>
              <w:top w:val="single" w:color="000000" w:sz="4" w:space="0"/>
              <w:left w:val="single" w:color="000000" w:sz="4" w:space="0"/>
              <w:bottom w:val="single" w:color="000000" w:sz="4" w:space="0"/>
              <w:right w:val="single" w:color="000000" w:sz="4" w:space="0"/>
            </w:tcBorders>
            <w:shd w:val="clear"/>
            <w:vAlign w:val="top"/>
          </w:tcPr>
          <w:p>
            <w:pPr>
              <w:jc w:val="center"/>
              <w:rPr>
                <w:rFonts w:hint="eastAsia" w:ascii="华文中宋" w:hAnsi="华文中宋" w:eastAsia="华文中宋" w:cs="华文中宋"/>
                <w:i w:val="0"/>
                <w:iCs w:val="0"/>
                <w:color w:val="000000"/>
                <w:sz w:val="21"/>
                <w:szCs w:val="21"/>
                <w:u w:val="none"/>
              </w:rPr>
            </w:pPr>
          </w:p>
        </w:tc>
        <w:tc>
          <w:tcPr>
            <w:tcW w:w="690" w:type="dxa"/>
            <w:vMerge w:val="continue"/>
            <w:tcBorders>
              <w:top w:val="single" w:color="000000" w:sz="4" w:space="0"/>
              <w:left w:val="single" w:color="000000" w:sz="4" w:space="0"/>
              <w:bottom w:val="single" w:color="000000" w:sz="4" w:space="0"/>
              <w:right w:val="single" w:color="000000" w:sz="4" w:space="0"/>
            </w:tcBorders>
            <w:shd w:val="clear"/>
            <w:vAlign w:val="top"/>
          </w:tcPr>
          <w:p>
            <w:pPr>
              <w:jc w:val="center"/>
              <w:rPr>
                <w:rFonts w:hint="eastAsia" w:ascii="华文中宋" w:hAnsi="华文中宋" w:eastAsia="华文中宋" w:cs="华文中宋"/>
                <w:i w:val="0"/>
                <w:iCs w:val="0"/>
                <w:color w:val="000000"/>
                <w:sz w:val="21"/>
                <w:szCs w:val="21"/>
                <w:u w:val="none"/>
              </w:rPr>
            </w:pPr>
          </w:p>
        </w:tc>
        <w:tc>
          <w:tcPr>
            <w:tcW w:w="84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U22</w:t>
            </w:r>
          </w:p>
        </w:tc>
        <w:tc>
          <w:tcPr>
            <w:tcW w:w="3077"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环卫用地</w:t>
            </w:r>
          </w:p>
        </w:tc>
        <w:tc>
          <w:tcPr>
            <w:tcW w:w="210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 xml:space="preserve">2.90 </w:t>
            </w:r>
          </w:p>
        </w:tc>
        <w:tc>
          <w:tcPr>
            <w:tcW w:w="1888"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华文中宋" w:hAnsi="华文中宋" w:eastAsia="华文中宋" w:cs="华文中宋"/>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645" w:type="dxa"/>
            <w:vMerge w:val="continue"/>
            <w:tcBorders>
              <w:top w:val="single" w:color="000000" w:sz="4" w:space="0"/>
              <w:left w:val="single" w:color="000000" w:sz="4" w:space="0"/>
              <w:bottom w:val="single" w:color="000000" w:sz="4" w:space="0"/>
              <w:right w:val="single" w:color="000000" w:sz="4" w:space="0"/>
            </w:tcBorders>
            <w:shd w:val="clear"/>
            <w:vAlign w:val="top"/>
          </w:tcPr>
          <w:p>
            <w:pPr>
              <w:jc w:val="center"/>
              <w:rPr>
                <w:rFonts w:hint="eastAsia" w:ascii="华文中宋" w:hAnsi="华文中宋" w:eastAsia="华文中宋" w:cs="华文中宋"/>
                <w:i w:val="0"/>
                <w:iCs w:val="0"/>
                <w:color w:val="000000"/>
                <w:sz w:val="21"/>
                <w:szCs w:val="21"/>
                <w:u w:val="none"/>
              </w:rPr>
            </w:pPr>
          </w:p>
        </w:tc>
        <w:tc>
          <w:tcPr>
            <w:tcW w:w="690" w:type="dxa"/>
            <w:vMerge w:val="restart"/>
            <w:tcBorders>
              <w:top w:val="single" w:color="000000" w:sz="4" w:space="0"/>
              <w:left w:val="single" w:color="000000" w:sz="4" w:space="0"/>
              <w:bottom w:val="single" w:color="000000" w:sz="4" w:space="0"/>
              <w:right w:val="single" w:color="000000" w:sz="4" w:space="0"/>
            </w:tcBorders>
            <w:shd w:val="clear"/>
            <w:vAlign w:val="top"/>
          </w:tcPr>
          <w:p>
            <w:pPr>
              <w:keepNext w:val="0"/>
              <w:keepLines w:val="0"/>
              <w:widowControl/>
              <w:suppressLineNumbers w:val="0"/>
              <w:jc w:val="center"/>
              <w:textAlignment w:val="top"/>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U3</w:t>
            </w:r>
          </w:p>
        </w:tc>
        <w:tc>
          <w:tcPr>
            <w:tcW w:w="840"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华文中宋" w:hAnsi="华文中宋" w:eastAsia="华文中宋" w:cs="华文中宋"/>
                <w:i w:val="0"/>
                <w:iCs w:val="0"/>
                <w:color w:val="000000"/>
                <w:sz w:val="21"/>
                <w:szCs w:val="21"/>
                <w:u w:val="none"/>
              </w:rPr>
            </w:pPr>
          </w:p>
        </w:tc>
        <w:tc>
          <w:tcPr>
            <w:tcW w:w="3077"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安全设施用地</w:t>
            </w:r>
          </w:p>
        </w:tc>
        <w:tc>
          <w:tcPr>
            <w:tcW w:w="210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 xml:space="preserve">4.34 </w:t>
            </w:r>
          </w:p>
        </w:tc>
        <w:tc>
          <w:tcPr>
            <w:tcW w:w="1888"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华文中宋" w:hAnsi="华文中宋" w:eastAsia="华文中宋" w:cs="华文中宋"/>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645" w:type="dxa"/>
            <w:vMerge w:val="continue"/>
            <w:tcBorders>
              <w:top w:val="single" w:color="000000" w:sz="4" w:space="0"/>
              <w:left w:val="single" w:color="000000" w:sz="4" w:space="0"/>
              <w:bottom w:val="single" w:color="auto" w:sz="4" w:space="0"/>
              <w:right w:val="single" w:color="000000" w:sz="4" w:space="0"/>
            </w:tcBorders>
            <w:shd w:val="clear"/>
            <w:vAlign w:val="top"/>
          </w:tcPr>
          <w:p>
            <w:pPr>
              <w:jc w:val="center"/>
              <w:rPr>
                <w:rFonts w:hint="eastAsia" w:ascii="华文中宋" w:hAnsi="华文中宋" w:eastAsia="华文中宋" w:cs="华文中宋"/>
                <w:i w:val="0"/>
                <w:iCs w:val="0"/>
                <w:color w:val="000000"/>
                <w:sz w:val="21"/>
                <w:szCs w:val="21"/>
                <w:u w:val="none"/>
              </w:rPr>
            </w:pPr>
          </w:p>
        </w:tc>
        <w:tc>
          <w:tcPr>
            <w:tcW w:w="690" w:type="dxa"/>
            <w:vMerge w:val="continue"/>
            <w:tcBorders>
              <w:top w:val="single" w:color="000000" w:sz="4" w:space="0"/>
              <w:left w:val="single" w:color="000000" w:sz="4" w:space="0"/>
              <w:bottom w:val="single" w:color="auto" w:sz="4" w:space="0"/>
              <w:right w:val="single" w:color="000000" w:sz="4" w:space="0"/>
            </w:tcBorders>
            <w:shd w:val="clear"/>
            <w:vAlign w:val="top"/>
          </w:tcPr>
          <w:p>
            <w:pPr>
              <w:jc w:val="center"/>
              <w:rPr>
                <w:rFonts w:hint="eastAsia" w:ascii="华文中宋" w:hAnsi="华文中宋" w:eastAsia="华文中宋" w:cs="华文中宋"/>
                <w:i w:val="0"/>
                <w:iCs w:val="0"/>
                <w:color w:val="000000"/>
                <w:sz w:val="21"/>
                <w:szCs w:val="21"/>
                <w:u w:val="none"/>
              </w:rPr>
            </w:pPr>
          </w:p>
        </w:tc>
        <w:tc>
          <w:tcPr>
            <w:tcW w:w="840" w:type="dxa"/>
            <w:tcBorders>
              <w:top w:val="single" w:color="000000" w:sz="4" w:space="0"/>
              <w:left w:val="single" w:color="000000" w:sz="4" w:space="0"/>
              <w:bottom w:val="single" w:color="auto"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U31</w:t>
            </w:r>
          </w:p>
        </w:tc>
        <w:tc>
          <w:tcPr>
            <w:tcW w:w="3077" w:type="dxa"/>
            <w:tcBorders>
              <w:top w:val="single" w:color="000000" w:sz="4" w:space="0"/>
              <w:left w:val="single" w:color="000000" w:sz="4" w:space="0"/>
              <w:bottom w:val="single" w:color="auto"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消防用地</w:t>
            </w:r>
          </w:p>
        </w:tc>
        <w:tc>
          <w:tcPr>
            <w:tcW w:w="2100" w:type="dxa"/>
            <w:tcBorders>
              <w:top w:val="single" w:color="000000" w:sz="4" w:space="0"/>
              <w:left w:val="single" w:color="000000" w:sz="4" w:space="0"/>
              <w:bottom w:val="single" w:color="auto"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 xml:space="preserve">4.34 </w:t>
            </w:r>
          </w:p>
        </w:tc>
        <w:tc>
          <w:tcPr>
            <w:tcW w:w="1888" w:type="dxa"/>
            <w:tcBorders>
              <w:top w:val="single" w:color="000000" w:sz="4" w:space="0"/>
              <w:left w:val="single" w:color="000000" w:sz="4" w:space="0"/>
              <w:bottom w:val="single" w:color="auto" w:sz="4" w:space="0"/>
              <w:right w:val="single" w:color="000000" w:sz="4" w:space="0"/>
            </w:tcBorders>
            <w:shd w:val="clear"/>
            <w:vAlign w:val="center"/>
          </w:tcPr>
          <w:p>
            <w:pPr>
              <w:jc w:val="center"/>
              <w:rPr>
                <w:rFonts w:hint="eastAsia" w:ascii="华文中宋" w:hAnsi="华文中宋" w:eastAsia="华文中宋" w:cs="华文中宋"/>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285" w:hRule="atLeast"/>
          <w:jc w:val="center"/>
        </w:trPr>
        <w:tc>
          <w:tcPr>
            <w:tcW w:w="645" w:type="dxa"/>
            <w:vMerge w:val="restart"/>
            <w:tcBorders>
              <w:top w:val="single" w:color="auto" w:sz="4" w:space="0"/>
              <w:left w:val="single" w:color="auto" w:sz="4" w:space="0"/>
              <w:bottom w:val="single" w:color="auto" w:sz="4" w:space="0"/>
              <w:right w:val="single" w:color="auto" w:sz="4" w:space="0"/>
            </w:tcBorders>
            <w:shd w:val="clear"/>
            <w:vAlign w:val="top"/>
          </w:tcPr>
          <w:p>
            <w:pPr>
              <w:keepNext w:val="0"/>
              <w:keepLines w:val="0"/>
              <w:widowControl/>
              <w:suppressLineNumbers w:val="0"/>
              <w:jc w:val="center"/>
              <w:textAlignment w:val="top"/>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G</w:t>
            </w:r>
          </w:p>
        </w:tc>
        <w:tc>
          <w:tcPr>
            <w:tcW w:w="690" w:type="dxa"/>
            <w:tcBorders>
              <w:top w:val="single" w:color="auto" w:sz="4" w:space="0"/>
              <w:left w:val="single" w:color="auto" w:sz="4" w:space="0"/>
              <w:bottom w:val="single" w:color="auto" w:sz="4" w:space="0"/>
              <w:right w:val="single" w:color="auto" w:sz="4" w:space="0"/>
            </w:tcBorders>
            <w:shd w:val="clear"/>
            <w:vAlign w:val="top"/>
          </w:tcPr>
          <w:p>
            <w:pPr>
              <w:jc w:val="center"/>
              <w:rPr>
                <w:rFonts w:hint="eastAsia" w:ascii="华文中宋" w:hAnsi="华文中宋" w:eastAsia="华文中宋" w:cs="华文中宋"/>
                <w:i w:val="0"/>
                <w:iCs w:val="0"/>
                <w:color w:val="000000"/>
                <w:sz w:val="21"/>
                <w:szCs w:val="21"/>
                <w:u w:val="none"/>
              </w:rPr>
            </w:pPr>
          </w:p>
        </w:tc>
        <w:tc>
          <w:tcPr>
            <w:tcW w:w="840" w:type="dxa"/>
            <w:tcBorders>
              <w:top w:val="single" w:color="auto" w:sz="4" w:space="0"/>
              <w:left w:val="single" w:color="auto" w:sz="4" w:space="0"/>
              <w:bottom w:val="single" w:color="auto" w:sz="4" w:space="0"/>
              <w:right w:val="single" w:color="auto" w:sz="4" w:space="0"/>
            </w:tcBorders>
            <w:shd w:val="clear"/>
            <w:vAlign w:val="center"/>
          </w:tcPr>
          <w:p>
            <w:pPr>
              <w:jc w:val="center"/>
              <w:rPr>
                <w:rFonts w:hint="eastAsia" w:ascii="华文中宋" w:hAnsi="华文中宋" w:eastAsia="华文中宋" w:cs="华文中宋"/>
                <w:i w:val="0"/>
                <w:iCs w:val="0"/>
                <w:color w:val="000000"/>
                <w:sz w:val="21"/>
                <w:szCs w:val="21"/>
                <w:u w:val="none"/>
              </w:rPr>
            </w:pPr>
          </w:p>
        </w:tc>
        <w:tc>
          <w:tcPr>
            <w:tcW w:w="307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绿地与广场用地</w:t>
            </w:r>
          </w:p>
        </w:tc>
        <w:tc>
          <w:tcPr>
            <w:tcW w:w="2100"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 xml:space="preserve">195.21 </w:t>
            </w:r>
          </w:p>
        </w:tc>
        <w:tc>
          <w:tcPr>
            <w:tcW w:w="1888"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 xml:space="preserve">6.82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285" w:hRule="atLeast"/>
          <w:jc w:val="center"/>
        </w:trPr>
        <w:tc>
          <w:tcPr>
            <w:tcW w:w="645" w:type="dxa"/>
            <w:vMerge w:val="continue"/>
            <w:tcBorders>
              <w:top w:val="single" w:color="auto" w:sz="4" w:space="0"/>
              <w:left w:val="single" w:color="auto" w:sz="4" w:space="0"/>
              <w:bottom w:val="single" w:color="auto" w:sz="4" w:space="0"/>
              <w:right w:val="single" w:color="auto" w:sz="4" w:space="0"/>
            </w:tcBorders>
            <w:shd w:val="clear"/>
            <w:vAlign w:val="top"/>
          </w:tcPr>
          <w:p>
            <w:pPr>
              <w:jc w:val="center"/>
              <w:rPr>
                <w:rFonts w:hint="eastAsia" w:ascii="华文中宋" w:hAnsi="华文中宋" w:eastAsia="华文中宋" w:cs="华文中宋"/>
                <w:i w:val="0"/>
                <w:iCs w:val="0"/>
                <w:color w:val="000000"/>
                <w:sz w:val="21"/>
                <w:szCs w:val="21"/>
                <w:u w:val="none"/>
              </w:rPr>
            </w:pPr>
          </w:p>
        </w:tc>
        <w:tc>
          <w:tcPr>
            <w:tcW w:w="690" w:type="dxa"/>
            <w:tcBorders>
              <w:top w:val="single" w:color="auto" w:sz="4" w:space="0"/>
              <w:left w:val="single" w:color="auto" w:sz="4" w:space="0"/>
              <w:bottom w:val="single" w:color="auto" w:sz="4" w:space="0"/>
              <w:right w:val="single" w:color="auto" w:sz="4" w:space="0"/>
            </w:tcBorders>
            <w:shd w:val="clear"/>
            <w:vAlign w:val="top"/>
          </w:tcPr>
          <w:p>
            <w:pPr>
              <w:keepNext w:val="0"/>
              <w:keepLines w:val="0"/>
              <w:widowControl/>
              <w:suppressLineNumbers w:val="0"/>
              <w:jc w:val="center"/>
              <w:textAlignment w:val="top"/>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G2</w:t>
            </w:r>
          </w:p>
        </w:tc>
        <w:tc>
          <w:tcPr>
            <w:tcW w:w="840" w:type="dxa"/>
            <w:tcBorders>
              <w:top w:val="single" w:color="auto" w:sz="4" w:space="0"/>
              <w:left w:val="single" w:color="auto" w:sz="4" w:space="0"/>
              <w:bottom w:val="single" w:color="auto" w:sz="4" w:space="0"/>
              <w:right w:val="single" w:color="auto" w:sz="4" w:space="0"/>
            </w:tcBorders>
            <w:shd w:val="clear"/>
            <w:vAlign w:val="center"/>
          </w:tcPr>
          <w:p>
            <w:pPr>
              <w:jc w:val="center"/>
              <w:rPr>
                <w:rFonts w:hint="eastAsia" w:ascii="华文中宋" w:hAnsi="华文中宋" w:eastAsia="华文中宋" w:cs="华文中宋"/>
                <w:i w:val="0"/>
                <w:iCs w:val="0"/>
                <w:color w:val="000000"/>
                <w:sz w:val="21"/>
                <w:szCs w:val="21"/>
                <w:u w:val="none"/>
              </w:rPr>
            </w:pPr>
          </w:p>
        </w:tc>
        <w:tc>
          <w:tcPr>
            <w:tcW w:w="307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防护绿地</w:t>
            </w:r>
          </w:p>
        </w:tc>
        <w:tc>
          <w:tcPr>
            <w:tcW w:w="2100" w:type="dxa"/>
            <w:tcBorders>
              <w:top w:val="single" w:color="auto" w:sz="4" w:space="0"/>
              <w:left w:val="single" w:color="auto" w:sz="4" w:space="0"/>
              <w:bottom w:val="single" w:color="auto" w:sz="4" w:space="0"/>
              <w:right w:val="single" w:color="auto" w:sz="4" w:space="0"/>
            </w:tcBorders>
            <w:shd w:val="clear"/>
            <w:vAlign w:val="top"/>
          </w:tcPr>
          <w:p>
            <w:pPr>
              <w:keepNext w:val="0"/>
              <w:keepLines w:val="0"/>
              <w:widowControl/>
              <w:suppressLineNumbers w:val="0"/>
              <w:jc w:val="center"/>
              <w:textAlignment w:val="top"/>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 xml:space="preserve">187.46 </w:t>
            </w:r>
          </w:p>
        </w:tc>
        <w:tc>
          <w:tcPr>
            <w:tcW w:w="1888" w:type="dxa"/>
            <w:tcBorders>
              <w:top w:val="single" w:color="auto" w:sz="4" w:space="0"/>
              <w:left w:val="single" w:color="auto" w:sz="4" w:space="0"/>
              <w:bottom w:val="single" w:color="auto" w:sz="4" w:space="0"/>
              <w:right w:val="single" w:color="auto" w:sz="4" w:space="0"/>
            </w:tcBorders>
            <w:shd w:val="clear"/>
            <w:vAlign w:val="top"/>
          </w:tcPr>
          <w:p>
            <w:pPr>
              <w:jc w:val="center"/>
              <w:rPr>
                <w:rFonts w:hint="eastAsia" w:ascii="华文中宋" w:hAnsi="华文中宋" w:eastAsia="华文中宋" w:cs="华文中宋"/>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645" w:type="dxa"/>
            <w:vMerge w:val="continue"/>
            <w:tcBorders>
              <w:top w:val="single" w:color="auto" w:sz="4" w:space="0"/>
              <w:left w:val="single" w:color="auto" w:sz="4" w:space="0"/>
              <w:bottom w:val="single" w:color="auto" w:sz="4" w:space="0"/>
              <w:right w:val="single" w:color="auto" w:sz="4" w:space="0"/>
            </w:tcBorders>
            <w:shd w:val="clear"/>
            <w:vAlign w:val="top"/>
          </w:tcPr>
          <w:p>
            <w:pPr>
              <w:jc w:val="center"/>
              <w:rPr>
                <w:rFonts w:hint="eastAsia" w:ascii="华文中宋" w:hAnsi="华文中宋" w:eastAsia="华文中宋" w:cs="华文中宋"/>
                <w:i w:val="0"/>
                <w:iCs w:val="0"/>
                <w:color w:val="000000"/>
                <w:sz w:val="21"/>
                <w:szCs w:val="21"/>
                <w:u w:val="none"/>
              </w:rPr>
            </w:pPr>
          </w:p>
        </w:tc>
        <w:tc>
          <w:tcPr>
            <w:tcW w:w="690" w:type="dxa"/>
            <w:tcBorders>
              <w:top w:val="single" w:color="auto" w:sz="4" w:space="0"/>
              <w:left w:val="single" w:color="auto" w:sz="4" w:space="0"/>
              <w:bottom w:val="single" w:color="auto" w:sz="4" w:space="0"/>
              <w:right w:val="single" w:color="auto" w:sz="4" w:space="0"/>
            </w:tcBorders>
            <w:shd w:val="clear"/>
            <w:vAlign w:val="top"/>
          </w:tcPr>
          <w:p>
            <w:pPr>
              <w:keepNext w:val="0"/>
              <w:keepLines w:val="0"/>
              <w:widowControl/>
              <w:suppressLineNumbers w:val="0"/>
              <w:jc w:val="center"/>
              <w:textAlignment w:val="top"/>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G3</w:t>
            </w:r>
          </w:p>
        </w:tc>
        <w:tc>
          <w:tcPr>
            <w:tcW w:w="840" w:type="dxa"/>
            <w:tcBorders>
              <w:top w:val="single" w:color="auto" w:sz="4" w:space="0"/>
              <w:left w:val="single" w:color="auto" w:sz="4" w:space="0"/>
              <w:bottom w:val="single" w:color="auto" w:sz="4" w:space="0"/>
              <w:right w:val="single" w:color="auto" w:sz="4" w:space="0"/>
            </w:tcBorders>
            <w:shd w:val="clear"/>
            <w:vAlign w:val="center"/>
          </w:tcPr>
          <w:p>
            <w:pPr>
              <w:jc w:val="center"/>
              <w:rPr>
                <w:rFonts w:hint="eastAsia" w:ascii="华文中宋" w:hAnsi="华文中宋" w:eastAsia="华文中宋" w:cs="华文中宋"/>
                <w:i w:val="0"/>
                <w:iCs w:val="0"/>
                <w:color w:val="000000"/>
                <w:sz w:val="21"/>
                <w:szCs w:val="21"/>
                <w:u w:val="none"/>
              </w:rPr>
            </w:pPr>
          </w:p>
        </w:tc>
        <w:tc>
          <w:tcPr>
            <w:tcW w:w="307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广场用地</w:t>
            </w:r>
          </w:p>
        </w:tc>
        <w:tc>
          <w:tcPr>
            <w:tcW w:w="2100" w:type="dxa"/>
            <w:tcBorders>
              <w:top w:val="single" w:color="auto" w:sz="4" w:space="0"/>
              <w:left w:val="single" w:color="auto" w:sz="4" w:space="0"/>
              <w:bottom w:val="single" w:color="auto" w:sz="4" w:space="0"/>
              <w:right w:val="single" w:color="auto" w:sz="4" w:space="0"/>
            </w:tcBorders>
            <w:shd w:val="clear"/>
            <w:vAlign w:val="top"/>
          </w:tcPr>
          <w:p>
            <w:pPr>
              <w:keepNext w:val="0"/>
              <w:keepLines w:val="0"/>
              <w:widowControl/>
              <w:suppressLineNumbers w:val="0"/>
              <w:jc w:val="center"/>
              <w:textAlignment w:val="top"/>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 xml:space="preserve">7.75 </w:t>
            </w:r>
          </w:p>
        </w:tc>
        <w:tc>
          <w:tcPr>
            <w:tcW w:w="1888" w:type="dxa"/>
            <w:tcBorders>
              <w:top w:val="single" w:color="auto" w:sz="4" w:space="0"/>
              <w:left w:val="single" w:color="auto" w:sz="4" w:space="0"/>
              <w:bottom w:val="single" w:color="auto" w:sz="4" w:space="0"/>
              <w:right w:val="single" w:color="auto" w:sz="4" w:space="0"/>
            </w:tcBorders>
            <w:shd w:val="clear"/>
            <w:vAlign w:val="top"/>
          </w:tcPr>
          <w:p>
            <w:pPr>
              <w:jc w:val="center"/>
              <w:rPr>
                <w:rFonts w:hint="eastAsia" w:ascii="华文中宋" w:hAnsi="华文中宋" w:eastAsia="华文中宋" w:cs="华文中宋"/>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285" w:hRule="atLeast"/>
          <w:jc w:val="center"/>
        </w:trPr>
        <w:tc>
          <w:tcPr>
            <w:tcW w:w="2175" w:type="dxa"/>
            <w:gridSpan w:val="3"/>
            <w:tcBorders>
              <w:top w:val="single" w:color="auto" w:sz="4" w:space="0"/>
              <w:left w:val="single" w:color="auto" w:sz="4" w:space="0"/>
              <w:bottom w:val="single" w:color="auto" w:sz="4" w:space="0"/>
              <w:right w:val="single" w:color="auto" w:sz="4" w:space="0"/>
            </w:tcBorders>
            <w:shd w:val="clear"/>
            <w:noWrap/>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H11</w:t>
            </w:r>
          </w:p>
        </w:tc>
        <w:tc>
          <w:tcPr>
            <w:tcW w:w="3077" w:type="dxa"/>
            <w:tcBorders>
              <w:top w:val="single" w:color="auto" w:sz="4" w:space="0"/>
              <w:left w:val="single" w:color="auto" w:sz="4" w:space="0"/>
              <w:bottom w:val="single" w:color="auto" w:sz="4" w:space="0"/>
              <w:right w:val="single" w:color="auto"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城市建设用地</w:t>
            </w:r>
          </w:p>
        </w:tc>
        <w:tc>
          <w:tcPr>
            <w:tcW w:w="2100" w:type="dxa"/>
            <w:tcBorders>
              <w:top w:val="single" w:color="auto" w:sz="4" w:space="0"/>
              <w:left w:val="single" w:color="auto" w:sz="4" w:space="0"/>
              <w:bottom w:val="single" w:color="auto" w:sz="4" w:space="0"/>
              <w:right w:val="single" w:color="auto" w:sz="4" w:space="0"/>
            </w:tcBorders>
            <w:shd w:val="clear"/>
            <w:noWrap/>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 xml:space="preserve">2861.65 </w:t>
            </w:r>
          </w:p>
        </w:tc>
        <w:tc>
          <w:tcPr>
            <w:tcW w:w="1888" w:type="dxa"/>
            <w:tcBorders>
              <w:top w:val="single" w:color="auto" w:sz="4" w:space="0"/>
              <w:left w:val="single" w:color="auto" w:sz="4" w:space="0"/>
              <w:bottom w:val="single" w:color="auto" w:sz="4" w:space="0"/>
              <w:right w:val="single" w:color="auto" w:sz="4" w:space="0"/>
            </w:tcBorders>
            <w:shd w:val="clear"/>
            <w:noWrap/>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 xml:space="preserve">100.00 </w:t>
            </w:r>
          </w:p>
        </w:tc>
      </w:tr>
    </w:tbl>
    <w:p>
      <w:pPr>
        <w:pStyle w:val="2"/>
        <w:ind w:firstLine="560"/>
        <w:rPr>
          <w:rFonts w:ascii="华文中宋" w:hAnsi="华文中宋" w:eastAsia="华文中宋" w:cs="华文中宋"/>
          <w:bCs/>
          <w:sz w:val="28"/>
          <w:szCs w:val="28"/>
        </w:rPr>
      </w:pPr>
    </w:p>
    <w:p>
      <w:pPr>
        <w:pStyle w:val="2"/>
        <w:ind w:firstLine="560"/>
        <w:rPr>
          <w:rFonts w:ascii="华文中宋" w:hAnsi="华文中宋" w:eastAsia="华文中宋" w:cs="华文中宋"/>
          <w:bCs/>
          <w:sz w:val="28"/>
          <w:szCs w:val="28"/>
        </w:rPr>
      </w:pPr>
    </w:p>
    <w:p>
      <w:pPr>
        <w:spacing w:line="360" w:lineRule="auto"/>
        <w:jc w:val="center"/>
        <w:rPr>
          <w:rFonts w:ascii="华文中宋" w:hAnsi="华文中宋" w:eastAsia="华文中宋" w:cs="华文中宋"/>
          <w:sz w:val="24"/>
          <w:szCs w:val="24"/>
        </w:rPr>
      </w:pPr>
    </w:p>
    <w:p>
      <w:pPr>
        <w:spacing w:line="360" w:lineRule="auto"/>
        <w:jc w:val="center"/>
        <w:rPr>
          <w:rFonts w:ascii="华文中宋" w:hAnsi="华文中宋" w:eastAsia="华文中宋" w:cs="华文中宋"/>
          <w:sz w:val="24"/>
          <w:szCs w:val="24"/>
        </w:rPr>
      </w:pPr>
      <w:r>
        <w:rPr>
          <w:rFonts w:hint="eastAsia" w:ascii="华文中宋" w:hAnsi="华文中宋" w:eastAsia="华文中宋" w:cs="华文中宋"/>
          <w:sz w:val="24"/>
          <w:szCs w:val="24"/>
        </w:rPr>
        <w:t>表2-5-3 调整后各类用地与原控规的对比</w:t>
      </w:r>
    </w:p>
    <w:tbl>
      <w:tblPr>
        <w:tblStyle w:val="32"/>
        <w:tblW w:w="8756" w:type="dxa"/>
        <w:jc w:val="center"/>
        <w:tblLayout w:type="fixed"/>
        <w:tblCellMar>
          <w:top w:w="0" w:type="dxa"/>
          <w:left w:w="108" w:type="dxa"/>
          <w:bottom w:w="0" w:type="dxa"/>
          <w:right w:w="108" w:type="dxa"/>
        </w:tblCellMar>
      </w:tblPr>
      <w:tblGrid>
        <w:gridCol w:w="792"/>
        <w:gridCol w:w="1056"/>
        <w:gridCol w:w="3105"/>
        <w:gridCol w:w="1907"/>
        <w:gridCol w:w="1896"/>
      </w:tblGrid>
      <w:tr>
        <w:tblPrEx>
          <w:tblCellMar>
            <w:top w:w="0" w:type="dxa"/>
            <w:left w:w="108" w:type="dxa"/>
            <w:bottom w:w="0" w:type="dxa"/>
            <w:right w:w="108" w:type="dxa"/>
          </w:tblCellMar>
        </w:tblPrEx>
        <w:trPr>
          <w:trHeight w:val="513" w:hRule="atLeast"/>
          <w:tblHeader/>
          <w:jc w:val="center"/>
        </w:trPr>
        <w:tc>
          <w:tcPr>
            <w:tcW w:w="1848"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华文中宋" w:hAnsi="华文中宋" w:eastAsia="华文中宋" w:cs="华文中宋"/>
                <w:b/>
                <w:bCs/>
                <w:kern w:val="0"/>
                <w:szCs w:val="21"/>
              </w:rPr>
            </w:pPr>
            <w:bookmarkStart w:id="52" w:name="OLE_LINK137"/>
            <w:bookmarkStart w:id="53" w:name="OLE_LINK136"/>
            <w:r>
              <w:rPr>
                <w:rFonts w:hint="eastAsia" w:ascii="华文中宋" w:hAnsi="华文中宋" w:eastAsia="华文中宋" w:cs="华文中宋"/>
                <w:b/>
                <w:bCs/>
                <w:kern w:val="0"/>
                <w:szCs w:val="21"/>
              </w:rPr>
              <w:t>用地代码</w:t>
            </w:r>
          </w:p>
        </w:tc>
        <w:tc>
          <w:tcPr>
            <w:tcW w:w="3105"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华文中宋" w:hAnsi="华文中宋" w:eastAsia="华文中宋" w:cs="华文中宋"/>
                <w:b/>
                <w:bCs/>
                <w:kern w:val="0"/>
                <w:szCs w:val="21"/>
              </w:rPr>
            </w:pPr>
            <w:r>
              <w:rPr>
                <w:rFonts w:hint="eastAsia" w:ascii="华文中宋" w:hAnsi="华文中宋" w:eastAsia="华文中宋" w:cs="华文中宋"/>
                <w:b/>
                <w:bCs/>
                <w:kern w:val="0"/>
                <w:szCs w:val="21"/>
              </w:rPr>
              <w:t>用地名称</w:t>
            </w:r>
          </w:p>
        </w:tc>
        <w:tc>
          <w:tcPr>
            <w:tcW w:w="1907"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华文中宋" w:hAnsi="华文中宋" w:eastAsia="华文中宋" w:cs="华文中宋"/>
                <w:b/>
                <w:bCs/>
                <w:kern w:val="0"/>
                <w:szCs w:val="21"/>
              </w:rPr>
            </w:pPr>
            <w:r>
              <w:rPr>
                <w:rFonts w:hint="eastAsia" w:ascii="华文中宋" w:hAnsi="华文中宋" w:eastAsia="华文中宋" w:cs="华文中宋"/>
                <w:b/>
                <w:bCs/>
                <w:kern w:val="0"/>
                <w:szCs w:val="21"/>
              </w:rPr>
              <w:t>原控规中用地面积(公顷)</w:t>
            </w:r>
          </w:p>
        </w:tc>
        <w:tc>
          <w:tcPr>
            <w:tcW w:w="1896" w:type="dxa"/>
            <w:vMerge w:val="restart"/>
            <w:tcBorders>
              <w:top w:val="single" w:color="auto" w:sz="4" w:space="0"/>
              <w:left w:val="single" w:color="auto" w:sz="4" w:space="0"/>
              <w:bottom w:val="single" w:color="auto" w:sz="4" w:space="0"/>
              <w:right w:val="single" w:color="auto" w:sz="4" w:space="0"/>
            </w:tcBorders>
            <w:shd w:val="clear" w:color="auto" w:fill="FBD4B4" w:themeFill="accent6" w:themeFillTint="66"/>
            <w:vAlign w:val="center"/>
          </w:tcPr>
          <w:p>
            <w:pPr>
              <w:widowControl/>
              <w:jc w:val="center"/>
              <w:rPr>
                <w:rFonts w:ascii="华文中宋" w:hAnsi="华文中宋" w:eastAsia="华文中宋" w:cs="华文中宋"/>
                <w:b/>
                <w:bCs/>
                <w:kern w:val="0"/>
                <w:szCs w:val="21"/>
              </w:rPr>
            </w:pPr>
            <w:r>
              <w:rPr>
                <w:rFonts w:hint="eastAsia" w:ascii="华文中宋" w:hAnsi="华文中宋" w:eastAsia="华文中宋" w:cs="华文中宋"/>
                <w:b/>
                <w:bCs/>
                <w:kern w:val="0"/>
                <w:szCs w:val="21"/>
              </w:rPr>
              <w:t>调整后用地面积(公顷)</w:t>
            </w:r>
          </w:p>
        </w:tc>
      </w:tr>
      <w:tr>
        <w:tblPrEx>
          <w:tblCellMar>
            <w:top w:w="0" w:type="dxa"/>
            <w:left w:w="108" w:type="dxa"/>
            <w:bottom w:w="0" w:type="dxa"/>
            <w:right w:w="108" w:type="dxa"/>
          </w:tblCellMar>
        </w:tblPrEx>
        <w:trPr>
          <w:trHeight w:val="513" w:hRule="atLeast"/>
          <w:tblHeader/>
          <w:jc w:val="center"/>
        </w:trPr>
        <w:tc>
          <w:tcPr>
            <w:tcW w:w="792"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华文中宋" w:hAnsi="华文中宋" w:eastAsia="华文中宋" w:cs="华文中宋"/>
                <w:b/>
                <w:bCs/>
                <w:kern w:val="0"/>
                <w:szCs w:val="21"/>
              </w:rPr>
            </w:pPr>
            <w:r>
              <w:rPr>
                <w:rFonts w:hint="eastAsia" w:ascii="华文中宋" w:hAnsi="华文中宋" w:eastAsia="华文中宋" w:cs="华文中宋"/>
                <w:b/>
                <w:bCs/>
                <w:kern w:val="0"/>
                <w:szCs w:val="21"/>
              </w:rPr>
              <w:t>大类</w:t>
            </w:r>
          </w:p>
        </w:tc>
        <w:tc>
          <w:tcPr>
            <w:tcW w:w="1056" w:type="dxa"/>
            <w:tcBorders>
              <w:top w:val="nil"/>
              <w:left w:val="nil"/>
              <w:bottom w:val="single" w:color="auto" w:sz="4" w:space="0"/>
              <w:right w:val="single" w:color="auto" w:sz="4" w:space="0"/>
            </w:tcBorders>
            <w:shd w:val="clear" w:color="auto" w:fill="auto"/>
            <w:vAlign w:val="center"/>
          </w:tcPr>
          <w:p>
            <w:pPr>
              <w:widowControl/>
              <w:jc w:val="center"/>
              <w:rPr>
                <w:rFonts w:ascii="华文中宋" w:hAnsi="华文中宋" w:eastAsia="华文中宋" w:cs="华文中宋"/>
                <w:b/>
                <w:bCs/>
                <w:kern w:val="0"/>
                <w:szCs w:val="21"/>
              </w:rPr>
            </w:pPr>
            <w:r>
              <w:rPr>
                <w:rFonts w:hint="eastAsia" w:ascii="华文中宋" w:hAnsi="华文中宋" w:eastAsia="华文中宋" w:cs="华文中宋"/>
                <w:b/>
                <w:bCs/>
                <w:kern w:val="0"/>
                <w:szCs w:val="21"/>
              </w:rPr>
              <w:t>中小类</w:t>
            </w:r>
          </w:p>
        </w:tc>
        <w:tc>
          <w:tcPr>
            <w:tcW w:w="3105"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rPr>
                <w:rFonts w:ascii="华文中宋" w:hAnsi="华文中宋" w:eastAsia="华文中宋" w:cs="华文中宋"/>
                <w:b/>
                <w:bCs/>
                <w:kern w:val="0"/>
                <w:szCs w:val="21"/>
              </w:rPr>
            </w:pPr>
          </w:p>
        </w:tc>
        <w:tc>
          <w:tcPr>
            <w:tcW w:w="190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left"/>
              <w:rPr>
                <w:rFonts w:ascii="华文中宋" w:hAnsi="华文中宋" w:eastAsia="华文中宋" w:cs="华文中宋"/>
                <w:b/>
                <w:bCs/>
                <w:kern w:val="0"/>
                <w:szCs w:val="21"/>
              </w:rPr>
            </w:pPr>
          </w:p>
        </w:tc>
        <w:tc>
          <w:tcPr>
            <w:tcW w:w="1896" w:type="dxa"/>
            <w:vMerge w:val="continue"/>
            <w:tcBorders>
              <w:top w:val="single" w:color="auto" w:sz="4" w:space="0"/>
              <w:left w:val="single" w:color="auto" w:sz="4" w:space="0"/>
              <w:bottom w:val="single" w:color="auto" w:sz="4" w:space="0"/>
              <w:right w:val="single" w:color="auto" w:sz="4" w:space="0"/>
            </w:tcBorders>
            <w:shd w:val="clear" w:color="auto" w:fill="FBD4B4" w:themeFill="accent6" w:themeFillTint="66"/>
            <w:vAlign w:val="center"/>
          </w:tcPr>
          <w:p>
            <w:pPr>
              <w:widowControl/>
              <w:jc w:val="left"/>
              <w:rPr>
                <w:rFonts w:ascii="华文中宋" w:hAnsi="华文中宋" w:eastAsia="华文中宋" w:cs="华文中宋"/>
                <w:b/>
                <w:bCs/>
                <w:kern w:val="0"/>
                <w:szCs w:val="21"/>
              </w:rPr>
            </w:pPr>
          </w:p>
        </w:tc>
      </w:tr>
      <w:tr>
        <w:tblPrEx>
          <w:tblCellMar>
            <w:top w:w="0" w:type="dxa"/>
            <w:left w:w="108" w:type="dxa"/>
            <w:bottom w:w="0" w:type="dxa"/>
            <w:right w:w="108" w:type="dxa"/>
          </w:tblCellMar>
        </w:tblPrEx>
        <w:trPr>
          <w:trHeight w:val="527" w:hRule="atLeast"/>
          <w:jc w:val="center"/>
        </w:trPr>
        <w:tc>
          <w:tcPr>
            <w:tcW w:w="792" w:type="dxa"/>
            <w:vMerge w:val="restart"/>
            <w:tcBorders>
              <w:top w:val="nil"/>
              <w:left w:val="single" w:color="auto" w:sz="4" w:space="0"/>
              <w:right w:val="single" w:color="auto" w:sz="4" w:space="0"/>
            </w:tcBorders>
            <w:shd w:val="clear" w:color="auto" w:fill="auto"/>
            <w:vAlign w:val="center"/>
          </w:tcPr>
          <w:p>
            <w:pPr>
              <w:widowControl/>
              <w:jc w:val="center"/>
              <w:rPr>
                <w:rFonts w:ascii="华文中宋" w:hAnsi="华文中宋" w:eastAsia="华文中宋" w:cs="华文中宋"/>
                <w:b/>
                <w:bCs/>
                <w:kern w:val="0"/>
                <w:szCs w:val="21"/>
              </w:rPr>
            </w:pPr>
            <w:r>
              <w:rPr>
                <w:rFonts w:hint="eastAsia" w:ascii="华文中宋" w:hAnsi="华文中宋" w:eastAsia="华文中宋" w:cs="华文中宋"/>
                <w:b/>
                <w:bCs/>
                <w:kern w:val="0"/>
                <w:szCs w:val="21"/>
              </w:rPr>
              <w:t>A</w:t>
            </w:r>
          </w:p>
        </w:tc>
        <w:tc>
          <w:tcPr>
            <w:tcW w:w="1056" w:type="dxa"/>
            <w:tcBorders>
              <w:top w:val="nil"/>
              <w:left w:val="nil"/>
              <w:bottom w:val="single" w:color="auto" w:sz="4" w:space="0"/>
              <w:right w:val="single" w:color="auto" w:sz="4" w:space="0"/>
            </w:tcBorders>
            <w:shd w:val="clear" w:color="auto" w:fill="auto"/>
            <w:vAlign w:val="center"/>
          </w:tcPr>
          <w:p>
            <w:pPr>
              <w:widowControl/>
              <w:jc w:val="center"/>
              <w:rPr>
                <w:rFonts w:ascii="华文中宋" w:hAnsi="华文中宋" w:eastAsia="华文中宋" w:cs="华文中宋"/>
                <w:b/>
                <w:bCs/>
                <w:kern w:val="0"/>
                <w:szCs w:val="21"/>
              </w:rPr>
            </w:pPr>
          </w:p>
        </w:tc>
        <w:tc>
          <w:tcPr>
            <w:tcW w:w="3105" w:type="dxa"/>
            <w:tcBorders>
              <w:top w:val="nil"/>
              <w:left w:val="nil"/>
              <w:bottom w:val="single" w:color="auto" w:sz="4" w:space="0"/>
              <w:right w:val="single" w:color="auto" w:sz="4" w:space="0"/>
            </w:tcBorders>
            <w:shd w:val="clear" w:color="auto" w:fill="auto"/>
            <w:vAlign w:val="center"/>
          </w:tcPr>
          <w:p>
            <w:pPr>
              <w:widowControl/>
              <w:jc w:val="center"/>
              <w:rPr>
                <w:rFonts w:ascii="华文中宋" w:hAnsi="华文中宋" w:eastAsia="华文中宋" w:cs="华文中宋"/>
                <w:b/>
                <w:bCs/>
                <w:kern w:val="0"/>
                <w:szCs w:val="21"/>
              </w:rPr>
            </w:pPr>
            <w:r>
              <w:rPr>
                <w:rFonts w:hint="eastAsia" w:ascii="华文中宋" w:hAnsi="华文中宋" w:eastAsia="华文中宋" w:cs="华文中宋"/>
                <w:b/>
                <w:bCs/>
                <w:kern w:val="0"/>
                <w:szCs w:val="21"/>
              </w:rPr>
              <w:t>公共管理与公共服务设施用地</w:t>
            </w:r>
          </w:p>
        </w:tc>
        <w:tc>
          <w:tcPr>
            <w:tcW w:w="1907" w:type="dxa"/>
            <w:tcBorders>
              <w:top w:val="nil"/>
              <w:left w:val="nil"/>
              <w:bottom w:val="single" w:color="auto" w:sz="4" w:space="0"/>
              <w:right w:val="single" w:color="auto" w:sz="4" w:space="0"/>
            </w:tcBorders>
            <w:shd w:val="clear" w:color="auto" w:fill="auto"/>
            <w:vAlign w:val="center"/>
          </w:tcPr>
          <w:p>
            <w:pPr>
              <w:widowControl/>
              <w:jc w:val="center"/>
              <w:rPr>
                <w:rFonts w:ascii="华文中宋" w:hAnsi="华文中宋" w:eastAsia="华文中宋" w:cs="华文中宋"/>
                <w:b/>
                <w:bCs/>
                <w:kern w:val="0"/>
                <w:szCs w:val="21"/>
              </w:rPr>
            </w:pPr>
            <w:r>
              <w:rPr>
                <w:rFonts w:hint="eastAsia" w:ascii="华文中宋" w:hAnsi="华文中宋" w:eastAsia="华文中宋" w:cs="华文中宋"/>
                <w:b/>
                <w:bCs/>
                <w:szCs w:val="21"/>
              </w:rPr>
              <w:t>6.81</w:t>
            </w:r>
          </w:p>
        </w:tc>
        <w:tc>
          <w:tcPr>
            <w:tcW w:w="1896" w:type="dxa"/>
            <w:tcBorders>
              <w:top w:val="nil"/>
              <w:left w:val="nil"/>
              <w:bottom w:val="single" w:color="auto" w:sz="4" w:space="0"/>
              <w:right w:val="single" w:color="auto" w:sz="4" w:space="0"/>
            </w:tcBorders>
            <w:shd w:val="clear" w:color="auto" w:fill="FBD4B4" w:themeFill="accent6" w:themeFillTint="66"/>
            <w:vAlign w:val="center"/>
          </w:tcPr>
          <w:p>
            <w:pPr>
              <w:widowControl/>
              <w:jc w:val="center"/>
              <w:rPr>
                <w:rFonts w:ascii="华文中宋" w:hAnsi="华文中宋" w:eastAsia="华文中宋" w:cs="华文中宋"/>
                <w:b/>
                <w:bCs/>
                <w:kern w:val="0"/>
                <w:szCs w:val="21"/>
              </w:rPr>
            </w:pPr>
            <w:r>
              <w:rPr>
                <w:rFonts w:hint="eastAsia" w:ascii="华文中宋" w:hAnsi="华文中宋" w:eastAsia="华文中宋" w:cs="华文中宋"/>
                <w:b/>
                <w:bCs/>
                <w:szCs w:val="21"/>
              </w:rPr>
              <w:t>3.31</w:t>
            </w:r>
          </w:p>
        </w:tc>
      </w:tr>
      <w:tr>
        <w:tblPrEx>
          <w:tblCellMar>
            <w:top w:w="0" w:type="dxa"/>
            <w:left w:w="108" w:type="dxa"/>
            <w:bottom w:w="0" w:type="dxa"/>
            <w:right w:w="108" w:type="dxa"/>
          </w:tblCellMar>
        </w:tblPrEx>
        <w:trPr>
          <w:trHeight w:val="513" w:hRule="atLeast"/>
          <w:jc w:val="center"/>
        </w:trPr>
        <w:tc>
          <w:tcPr>
            <w:tcW w:w="792" w:type="dxa"/>
            <w:vMerge w:val="continue"/>
            <w:tcBorders>
              <w:left w:val="single" w:color="auto" w:sz="4" w:space="0"/>
              <w:right w:val="single" w:color="auto" w:sz="4" w:space="0"/>
            </w:tcBorders>
            <w:shd w:val="clear" w:color="auto" w:fill="auto"/>
            <w:vAlign w:val="center"/>
          </w:tcPr>
          <w:p>
            <w:pPr>
              <w:widowControl/>
              <w:jc w:val="left"/>
              <w:rPr>
                <w:rFonts w:ascii="华文中宋" w:hAnsi="华文中宋" w:eastAsia="华文中宋" w:cs="华文中宋"/>
                <w:b/>
                <w:bCs/>
                <w:kern w:val="0"/>
                <w:szCs w:val="21"/>
              </w:rPr>
            </w:pPr>
          </w:p>
        </w:tc>
        <w:tc>
          <w:tcPr>
            <w:tcW w:w="1056" w:type="dxa"/>
            <w:tcBorders>
              <w:top w:val="nil"/>
              <w:left w:val="nil"/>
              <w:bottom w:val="single" w:color="auto" w:sz="4" w:space="0"/>
              <w:right w:val="single" w:color="auto" w:sz="4" w:space="0"/>
            </w:tcBorders>
            <w:shd w:val="clear" w:color="auto" w:fill="auto"/>
            <w:vAlign w:val="center"/>
          </w:tcPr>
          <w:p>
            <w:pPr>
              <w:widowControl/>
              <w:jc w:val="center"/>
              <w:rPr>
                <w:rFonts w:ascii="华文中宋" w:hAnsi="华文中宋" w:eastAsia="华文中宋" w:cs="华文中宋"/>
                <w:b/>
                <w:bCs/>
                <w:kern w:val="0"/>
                <w:szCs w:val="21"/>
              </w:rPr>
            </w:pPr>
            <w:r>
              <w:rPr>
                <w:rFonts w:hint="eastAsia" w:ascii="华文中宋" w:hAnsi="华文中宋" w:eastAsia="华文中宋" w:cs="华文中宋"/>
                <w:b/>
                <w:bCs/>
                <w:kern w:val="0"/>
                <w:szCs w:val="21"/>
              </w:rPr>
              <w:t>A1</w:t>
            </w:r>
          </w:p>
        </w:tc>
        <w:tc>
          <w:tcPr>
            <w:tcW w:w="3105" w:type="dxa"/>
            <w:tcBorders>
              <w:top w:val="nil"/>
              <w:left w:val="nil"/>
              <w:bottom w:val="single" w:color="auto" w:sz="4" w:space="0"/>
              <w:right w:val="single" w:color="auto" w:sz="4" w:space="0"/>
            </w:tcBorders>
            <w:shd w:val="clear" w:color="auto" w:fill="auto"/>
            <w:vAlign w:val="center"/>
          </w:tcPr>
          <w:p>
            <w:pPr>
              <w:widowControl/>
              <w:jc w:val="center"/>
              <w:rPr>
                <w:rFonts w:ascii="华文中宋" w:hAnsi="华文中宋" w:eastAsia="华文中宋" w:cs="华文中宋"/>
                <w:b/>
                <w:bCs/>
                <w:kern w:val="0"/>
                <w:szCs w:val="21"/>
              </w:rPr>
            </w:pPr>
            <w:r>
              <w:rPr>
                <w:rFonts w:hint="eastAsia" w:ascii="华文中宋" w:hAnsi="华文中宋" w:eastAsia="华文中宋" w:cs="华文中宋"/>
                <w:b/>
                <w:bCs/>
                <w:kern w:val="0"/>
                <w:szCs w:val="21"/>
              </w:rPr>
              <w:t>行政办公用地</w:t>
            </w:r>
          </w:p>
        </w:tc>
        <w:tc>
          <w:tcPr>
            <w:tcW w:w="1907" w:type="dxa"/>
            <w:tcBorders>
              <w:top w:val="nil"/>
              <w:left w:val="nil"/>
              <w:bottom w:val="single" w:color="auto" w:sz="4" w:space="0"/>
              <w:right w:val="single" w:color="auto" w:sz="4" w:space="0"/>
            </w:tcBorders>
            <w:shd w:val="clear" w:color="auto" w:fill="auto"/>
            <w:vAlign w:val="center"/>
          </w:tcPr>
          <w:p>
            <w:pPr>
              <w:widowControl/>
              <w:jc w:val="center"/>
              <w:rPr>
                <w:rFonts w:ascii="华文中宋" w:hAnsi="华文中宋" w:eastAsia="华文中宋" w:cs="华文中宋"/>
                <w:b/>
                <w:bCs/>
                <w:kern w:val="0"/>
                <w:szCs w:val="21"/>
              </w:rPr>
            </w:pPr>
            <w:r>
              <w:rPr>
                <w:rFonts w:hint="eastAsia" w:ascii="华文中宋" w:hAnsi="华文中宋" w:eastAsia="华文中宋" w:cs="华文中宋"/>
                <w:b/>
                <w:bCs/>
                <w:szCs w:val="21"/>
              </w:rPr>
              <w:t xml:space="preserve">3.69 </w:t>
            </w:r>
          </w:p>
        </w:tc>
        <w:tc>
          <w:tcPr>
            <w:tcW w:w="1896" w:type="dxa"/>
            <w:tcBorders>
              <w:top w:val="nil"/>
              <w:left w:val="nil"/>
              <w:bottom w:val="single" w:color="auto" w:sz="4" w:space="0"/>
              <w:right w:val="single" w:color="auto" w:sz="4" w:space="0"/>
            </w:tcBorders>
            <w:shd w:val="clear" w:color="auto" w:fill="FBD4B4" w:themeFill="accent6" w:themeFillTint="66"/>
            <w:vAlign w:val="center"/>
          </w:tcPr>
          <w:p>
            <w:pPr>
              <w:widowControl/>
              <w:jc w:val="center"/>
              <w:rPr>
                <w:rFonts w:ascii="华文中宋" w:hAnsi="华文中宋" w:eastAsia="华文中宋" w:cs="华文中宋"/>
                <w:b/>
                <w:bCs/>
                <w:kern w:val="0"/>
                <w:szCs w:val="21"/>
              </w:rPr>
            </w:pPr>
            <w:r>
              <w:rPr>
                <w:rFonts w:hint="eastAsia" w:ascii="华文中宋" w:hAnsi="华文中宋" w:eastAsia="华文中宋" w:cs="华文中宋"/>
                <w:b/>
                <w:bCs/>
                <w:szCs w:val="21"/>
              </w:rPr>
              <w:t>2.82</w:t>
            </w:r>
          </w:p>
        </w:tc>
      </w:tr>
      <w:tr>
        <w:tblPrEx>
          <w:tblCellMar>
            <w:top w:w="0" w:type="dxa"/>
            <w:left w:w="108" w:type="dxa"/>
            <w:bottom w:w="0" w:type="dxa"/>
            <w:right w:w="108" w:type="dxa"/>
          </w:tblCellMar>
        </w:tblPrEx>
        <w:trPr>
          <w:trHeight w:val="513" w:hRule="atLeast"/>
          <w:jc w:val="center"/>
        </w:trPr>
        <w:tc>
          <w:tcPr>
            <w:tcW w:w="792" w:type="dxa"/>
            <w:vMerge w:val="continue"/>
            <w:tcBorders>
              <w:left w:val="single" w:color="auto" w:sz="4" w:space="0"/>
              <w:right w:val="single" w:color="auto" w:sz="4" w:space="0"/>
            </w:tcBorders>
            <w:shd w:val="clear" w:color="auto" w:fill="auto"/>
            <w:vAlign w:val="center"/>
          </w:tcPr>
          <w:p>
            <w:pPr>
              <w:widowControl/>
              <w:jc w:val="left"/>
              <w:rPr>
                <w:rFonts w:ascii="华文中宋" w:hAnsi="华文中宋" w:eastAsia="华文中宋" w:cs="华文中宋"/>
                <w:b/>
                <w:bCs/>
                <w:kern w:val="0"/>
                <w:szCs w:val="21"/>
              </w:rPr>
            </w:pPr>
          </w:p>
        </w:tc>
        <w:tc>
          <w:tcPr>
            <w:tcW w:w="1056" w:type="dxa"/>
            <w:tcBorders>
              <w:top w:val="nil"/>
              <w:left w:val="nil"/>
              <w:bottom w:val="single" w:color="auto" w:sz="4" w:space="0"/>
              <w:right w:val="single" w:color="auto" w:sz="4" w:space="0"/>
            </w:tcBorders>
            <w:shd w:val="clear" w:color="auto" w:fill="auto"/>
            <w:vAlign w:val="center"/>
          </w:tcPr>
          <w:p>
            <w:pPr>
              <w:widowControl/>
              <w:jc w:val="center"/>
              <w:rPr>
                <w:rFonts w:ascii="华文中宋" w:hAnsi="华文中宋" w:eastAsia="华文中宋" w:cs="华文中宋"/>
                <w:b/>
                <w:bCs/>
                <w:kern w:val="0"/>
                <w:szCs w:val="21"/>
              </w:rPr>
            </w:pPr>
            <w:r>
              <w:rPr>
                <w:rFonts w:hint="eastAsia" w:ascii="华文中宋" w:hAnsi="华文中宋" w:eastAsia="华文中宋" w:cs="华文中宋"/>
                <w:b/>
                <w:bCs/>
                <w:kern w:val="0"/>
                <w:szCs w:val="21"/>
              </w:rPr>
              <w:t>A22</w:t>
            </w:r>
          </w:p>
        </w:tc>
        <w:tc>
          <w:tcPr>
            <w:tcW w:w="3105" w:type="dxa"/>
            <w:tcBorders>
              <w:top w:val="nil"/>
              <w:left w:val="nil"/>
              <w:bottom w:val="single" w:color="auto" w:sz="4" w:space="0"/>
              <w:right w:val="single" w:color="auto" w:sz="4" w:space="0"/>
            </w:tcBorders>
            <w:shd w:val="clear" w:color="auto" w:fill="auto"/>
            <w:vAlign w:val="center"/>
          </w:tcPr>
          <w:p>
            <w:pPr>
              <w:widowControl/>
              <w:jc w:val="center"/>
              <w:rPr>
                <w:rFonts w:ascii="华文中宋" w:hAnsi="华文中宋" w:eastAsia="华文中宋" w:cs="华文中宋"/>
                <w:b/>
                <w:bCs/>
                <w:kern w:val="0"/>
                <w:szCs w:val="21"/>
              </w:rPr>
            </w:pPr>
            <w:r>
              <w:rPr>
                <w:rFonts w:hint="eastAsia" w:ascii="华文中宋" w:hAnsi="华文中宋" w:eastAsia="华文中宋" w:cs="华文中宋"/>
                <w:b/>
                <w:bCs/>
                <w:kern w:val="0"/>
                <w:szCs w:val="21"/>
              </w:rPr>
              <w:t>文化活动用地</w:t>
            </w:r>
          </w:p>
        </w:tc>
        <w:tc>
          <w:tcPr>
            <w:tcW w:w="1907" w:type="dxa"/>
            <w:tcBorders>
              <w:top w:val="nil"/>
              <w:left w:val="nil"/>
              <w:bottom w:val="single" w:color="auto" w:sz="4" w:space="0"/>
              <w:right w:val="single" w:color="auto" w:sz="4" w:space="0"/>
            </w:tcBorders>
            <w:shd w:val="clear" w:color="auto" w:fill="auto"/>
            <w:vAlign w:val="center"/>
          </w:tcPr>
          <w:p>
            <w:pPr>
              <w:widowControl/>
              <w:jc w:val="center"/>
              <w:rPr>
                <w:rFonts w:ascii="华文中宋" w:hAnsi="华文中宋" w:eastAsia="华文中宋" w:cs="华文中宋"/>
                <w:b/>
                <w:bCs/>
                <w:kern w:val="0"/>
                <w:szCs w:val="21"/>
              </w:rPr>
            </w:pPr>
            <w:r>
              <w:rPr>
                <w:rFonts w:hint="eastAsia" w:ascii="华文中宋" w:hAnsi="华文中宋" w:eastAsia="华文中宋" w:cs="华文中宋"/>
                <w:b/>
                <w:bCs/>
                <w:kern w:val="0"/>
                <w:szCs w:val="21"/>
              </w:rPr>
              <w:t>0.00</w:t>
            </w:r>
          </w:p>
        </w:tc>
        <w:tc>
          <w:tcPr>
            <w:tcW w:w="1896" w:type="dxa"/>
            <w:tcBorders>
              <w:top w:val="nil"/>
              <w:left w:val="nil"/>
              <w:bottom w:val="single" w:color="auto" w:sz="4" w:space="0"/>
              <w:right w:val="single" w:color="auto" w:sz="4" w:space="0"/>
            </w:tcBorders>
            <w:shd w:val="clear" w:color="auto" w:fill="FBD4B4" w:themeFill="accent6" w:themeFillTint="66"/>
            <w:vAlign w:val="center"/>
          </w:tcPr>
          <w:p>
            <w:pPr>
              <w:widowControl/>
              <w:jc w:val="center"/>
              <w:rPr>
                <w:rFonts w:ascii="华文中宋" w:hAnsi="华文中宋" w:eastAsia="华文中宋" w:cs="华文中宋"/>
                <w:b/>
                <w:bCs/>
                <w:kern w:val="0"/>
                <w:szCs w:val="21"/>
              </w:rPr>
            </w:pPr>
            <w:r>
              <w:rPr>
                <w:rFonts w:hint="eastAsia" w:ascii="华文中宋" w:hAnsi="华文中宋" w:eastAsia="华文中宋" w:cs="华文中宋"/>
                <w:b/>
                <w:bCs/>
                <w:kern w:val="0"/>
                <w:szCs w:val="21"/>
              </w:rPr>
              <w:t>0.49</w:t>
            </w:r>
          </w:p>
        </w:tc>
      </w:tr>
      <w:tr>
        <w:tblPrEx>
          <w:tblCellMar>
            <w:top w:w="0" w:type="dxa"/>
            <w:left w:w="108" w:type="dxa"/>
            <w:bottom w:w="0" w:type="dxa"/>
            <w:right w:w="108" w:type="dxa"/>
          </w:tblCellMar>
        </w:tblPrEx>
        <w:trPr>
          <w:trHeight w:val="513" w:hRule="atLeast"/>
          <w:jc w:val="center"/>
        </w:trPr>
        <w:tc>
          <w:tcPr>
            <w:tcW w:w="792" w:type="dxa"/>
            <w:vMerge w:val="continue"/>
            <w:tcBorders>
              <w:left w:val="single" w:color="auto" w:sz="4" w:space="0"/>
              <w:bottom w:val="single" w:color="auto" w:sz="4" w:space="0"/>
              <w:right w:val="single" w:color="auto" w:sz="4" w:space="0"/>
            </w:tcBorders>
            <w:shd w:val="clear" w:color="auto" w:fill="auto"/>
            <w:vAlign w:val="center"/>
          </w:tcPr>
          <w:p>
            <w:pPr>
              <w:widowControl/>
              <w:jc w:val="left"/>
              <w:rPr>
                <w:rFonts w:ascii="华文中宋" w:hAnsi="华文中宋" w:eastAsia="华文中宋" w:cs="华文中宋"/>
                <w:b/>
                <w:bCs/>
                <w:kern w:val="0"/>
                <w:szCs w:val="21"/>
              </w:rPr>
            </w:pPr>
          </w:p>
        </w:tc>
        <w:tc>
          <w:tcPr>
            <w:tcW w:w="1056" w:type="dxa"/>
            <w:tcBorders>
              <w:top w:val="nil"/>
              <w:left w:val="nil"/>
              <w:bottom w:val="single" w:color="auto" w:sz="4" w:space="0"/>
              <w:right w:val="single" w:color="auto" w:sz="4" w:space="0"/>
            </w:tcBorders>
            <w:shd w:val="clear" w:color="auto" w:fill="auto"/>
            <w:vAlign w:val="center"/>
          </w:tcPr>
          <w:p>
            <w:pPr>
              <w:widowControl/>
              <w:jc w:val="center"/>
              <w:rPr>
                <w:rFonts w:ascii="华文中宋" w:hAnsi="华文中宋" w:eastAsia="华文中宋" w:cs="华文中宋"/>
                <w:b/>
                <w:bCs/>
                <w:kern w:val="0"/>
                <w:szCs w:val="21"/>
              </w:rPr>
            </w:pPr>
            <w:r>
              <w:rPr>
                <w:rFonts w:hint="eastAsia" w:ascii="华文中宋" w:hAnsi="华文中宋" w:eastAsia="华文中宋" w:cs="华文中宋"/>
                <w:b/>
                <w:bCs/>
                <w:kern w:val="0"/>
                <w:szCs w:val="21"/>
              </w:rPr>
              <w:t>A5</w:t>
            </w:r>
          </w:p>
        </w:tc>
        <w:tc>
          <w:tcPr>
            <w:tcW w:w="3105" w:type="dxa"/>
            <w:tcBorders>
              <w:top w:val="nil"/>
              <w:left w:val="nil"/>
              <w:bottom w:val="single" w:color="auto" w:sz="4" w:space="0"/>
              <w:right w:val="single" w:color="auto" w:sz="4" w:space="0"/>
            </w:tcBorders>
            <w:shd w:val="clear" w:color="auto" w:fill="auto"/>
            <w:vAlign w:val="center"/>
          </w:tcPr>
          <w:p>
            <w:pPr>
              <w:widowControl/>
              <w:jc w:val="center"/>
              <w:rPr>
                <w:rFonts w:ascii="华文中宋" w:hAnsi="华文中宋" w:eastAsia="华文中宋" w:cs="华文中宋"/>
                <w:b/>
                <w:bCs/>
                <w:kern w:val="0"/>
                <w:szCs w:val="21"/>
              </w:rPr>
            </w:pPr>
            <w:r>
              <w:rPr>
                <w:rFonts w:hint="eastAsia" w:ascii="华文中宋" w:hAnsi="华文中宋" w:eastAsia="华文中宋" w:cs="华文中宋"/>
                <w:b/>
                <w:bCs/>
                <w:kern w:val="0"/>
                <w:szCs w:val="21"/>
              </w:rPr>
              <w:t>医疗卫生用地</w:t>
            </w:r>
          </w:p>
        </w:tc>
        <w:tc>
          <w:tcPr>
            <w:tcW w:w="1907" w:type="dxa"/>
            <w:tcBorders>
              <w:top w:val="nil"/>
              <w:left w:val="nil"/>
              <w:bottom w:val="single" w:color="auto" w:sz="4" w:space="0"/>
              <w:right w:val="single" w:color="auto" w:sz="4" w:space="0"/>
            </w:tcBorders>
            <w:shd w:val="clear" w:color="auto" w:fill="auto"/>
            <w:vAlign w:val="center"/>
          </w:tcPr>
          <w:p>
            <w:pPr>
              <w:widowControl/>
              <w:jc w:val="center"/>
              <w:rPr>
                <w:rFonts w:ascii="华文中宋" w:hAnsi="华文中宋" w:eastAsia="华文中宋" w:cs="华文中宋"/>
                <w:b/>
                <w:bCs/>
                <w:kern w:val="0"/>
                <w:szCs w:val="21"/>
              </w:rPr>
            </w:pPr>
            <w:r>
              <w:rPr>
                <w:rFonts w:hint="eastAsia" w:ascii="华文中宋" w:hAnsi="华文中宋" w:eastAsia="华文中宋" w:cs="华文中宋"/>
                <w:b/>
                <w:bCs/>
                <w:szCs w:val="21"/>
              </w:rPr>
              <w:t>3.12</w:t>
            </w:r>
          </w:p>
        </w:tc>
        <w:tc>
          <w:tcPr>
            <w:tcW w:w="1896" w:type="dxa"/>
            <w:tcBorders>
              <w:top w:val="nil"/>
              <w:left w:val="nil"/>
              <w:bottom w:val="single" w:color="auto" w:sz="4" w:space="0"/>
              <w:right w:val="single" w:color="auto" w:sz="4" w:space="0"/>
            </w:tcBorders>
            <w:shd w:val="clear" w:color="auto" w:fill="FBD4B4" w:themeFill="accent6" w:themeFillTint="66"/>
            <w:vAlign w:val="center"/>
          </w:tcPr>
          <w:p>
            <w:pPr>
              <w:widowControl/>
              <w:jc w:val="center"/>
              <w:rPr>
                <w:rFonts w:ascii="华文中宋" w:hAnsi="华文中宋" w:eastAsia="华文中宋" w:cs="华文中宋"/>
                <w:b/>
                <w:bCs/>
                <w:kern w:val="0"/>
                <w:szCs w:val="21"/>
              </w:rPr>
            </w:pPr>
            <w:r>
              <w:rPr>
                <w:rFonts w:hint="eastAsia" w:ascii="华文中宋" w:hAnsi="华文中宋" w:eastAsia="华文中宋" w:cs="华文中宋"/>
                <w:b/>
                <w:bCs/>
                <w:szCs w:val="21"/>
              </w:rPr>
              <w:t>0.00</w:t>
            </w:r>
          </w:p>
        </w:tc>
      </w:tr>
      <w:tr>
        <w:tblPrEx>
          <w:tblCellMar>
            <w:top w:w="0" w:type="dxa"/>
            <w:left w:w="108" w:type="dxa"/>
            <w:bottom w:w="0" w:type="dxa"/>
            <w:right w:w="108" w:type="dxa"/>
          </w:tblCellMar>
        </w:tblPrEx>
        <w:trPr>
          <w:trHeight w:val="513" w:hRule="atLeast"/>
          <w:jc w:val="center"/>
        </w:trPr>
        <w:tc>
          <w:tcPr>
            <w:tcW w:w="792" w:type="dxa"/>
            <w:vMerge w:val="restar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华文中宋" w:hAnsi="华文中宋" w:eastAsia="华文中宋" w:cs="华文中宋"/>
                <w:b/>
                <w:bCs/>
                <w:kern w:val="0"/>
                <w:szCs w:val="21"/>
              </w:rPr>
            </w:pPr>
            <w:r>
              <w:rPr>
                <w:rFonts w:hint="eastAsia" w:ascii="华文中宋" w:hAnsi="华文中宋" w:eastAsia="华文中宋" w:cs="华文中宋"/>
                <w:b/>
                <w:bCs/>
                <w:kern w:val="0"/>
                <w:szCs w:val="21"/>
              </w:rPr>
              <w:t>B</w:t>
            </w:r>
          </w:p>
        </w:tc>
        <w:tc>
          <w:tcPr>
            <w:tcW w:w="1056" w:type="dxa"/>
            <w:tcBorders>
              <w:top w:val="nil"/>
              <w:left w:val="nil"/>
              <w:bottom w:val="single" w:color="auto" w:sz="4" w:space="0"/>
              <w:right w:val="single" w:color="auto" w:sz="4" w:space="0"/>
            </w:tcBorders>
            <w:shd w:val="clear" w:color="auto" w:fill="auto"/>
            <w:vAlign w:val="center"/>
          </w:tcPr>
          <w:p>
            <w:pPr>
              <w:widowControl/>
              <w:jc w:val="center"/>
              <w:rPr>
                <w:rFonts w:ascii="华文中宋" w:hAnsi="华文中宋" w:eastAsia="华文中宋" w:cs="华文中宋"/>
                <w:b/>
                <w:bCs/>
                <w:kern w:val="0"/>
                <w:szCs w:val="21"/>
              </w:rPr>
            </w:pPr>
          </w:p>
        </w:tc>
        <w:tc>
          <w:tcPr>
            <w:tcW w:w="3105" w:type="dxa"/>
            <w:tcBorders>
              <w:top w:val="nil"/>
              <w:left w:val="nil"/>
              <w:bottom w:val="single" w:color="auto" w:sz="4" w:space="0"/>
              <w:right w:val="single" w:color="auto" w:sz="4" w:space="0"/>
            </w:tcBorders>
            <w:shd w:val="clear" w:color="auto" w:fill="auto"/>
            <w:vAlign w:val="center"/>
          </w:tcPr>
          <w:p>
            <w:pPr>
              <w:widowControl/>
              <w:jc w:val="center"/>
              <w:rPr>
                <w:rFonts w:ascii="华文中宋" w:hAnsi="华文中宋" w:eastAsia="华文中宋" w:cs="华文中宋"/>
                <w:b/>
                <w:bCs/>
                <w:kern w:val="0"/>
                <w:szCs w:val="21"/>
              </w:rPr>
            </w:pPr>
            <w:r>
              <w:rPr>
                <w:rFonts w:hint="eastAsia" w:ascii="华文中宋" w:hAnsi="华文中宋" w:eastAsia="华文中宋" w:cs="华文中宋"/>
                <w:b/>
                <w:bCs/>
                <w:kern w:val="0"/>
                <w:szCs w:val="21"/>
              </w:rPr>
              <w:t>商业服务业设施用地</w:t>
            </w:r>
          </w:p>
        </w:tc>
        <w:tc>
          <w:tcPr>
            <w:tcW w:w="1907" w:type="dxa"/>
            <w:tcBorders>
              <w:top w:val="nil"/>
              <w:left w:val="nil"/>
              <w:bottom w:val="single" w:color="auto" w:sz="4" w:space="0"/>
              <w:right w:val="single" w:color="auto" w:sz="4" w:space="0"/>
            </w:tcBorders>
            <w:shd w:val="clear" w:color="auto" w:fill="auto"/>
            <w:vAlign w:val="center"/>
          </w:tcPr>
          <w:p>
            <w:pPr>
              <w:widowControl/>
              <w:jc w:val="center"/>
              <w:rPr>
                <w:rFonts w:ascii="华文中宋" w:hAnsi="华文中宋" w:eastAsia="华文中宋" w:cs="华文中宋"/>
                <w:b/>
                <w:bCs/>
                <w:kern w:val="0"/>
                <w:szCs w:val="21"/>
              </w:rPr>
            </w:pPr>
            <w:r>
              <w:rPr>
                <w:rFonts w:hint="eastAsia" w:ascii="华文中宋" w:hAnsi="华文中宋" w:eastAsia="华文中宋" w:cs="华文中宋"/>
                <w:b/>
                <w:bCs/>
                <w:szCs w:val="21"/>
              </w:rPr>
              <w:t>22.00</w:t>
            </w:r>
          </w:p>
        </w:tc>
        <w:tc>
          <w:tcPr>
            <w:tcW w:w="1896" w:type="dxa"/>
            <w:tcBorders>
              <w:top w:val="nil"/>
              <w:left w:val="nil"/>
              <w:bottom w:val="single" w:color="auto" w:sz="4" w:space="0"/>
              <w:right w:val="single" w:color="auto" w:sz="4" w:space="0"/>
            </w:tcBorders>
            <w:shd w:val="clear" w:color="auto" w:fill="FBD4B4" w:themeFill="accent6" w:themeFillTint="66"/>
            <w:vAlign w:val="center"/>
          </w:tcPr>
          <w:p>
            <w:pPr>
              <w:widowControl/>
              <w:jc w:val="center"/>
              <w:rPr>
                <w:rFonts w:ascii="华文中宋" w:hAnsi="华文中宋" w:eastAsia="华文中宋" w:cs="华文中宋"/>
                <w:b/>
                <w:bCs/>
                <w:kern w:val="0"/>
                <w:szCs w:val="21"/>
              </w:rPr>
            </w:pPr>
            <w:r>
              <w:rPr>
                <w:rFonts w:hint="eastAsia" w:ascii="华文中宋" w:hAnsi="华文中宋" w:eastAsia="华文中宋" w:cs="华文中宋"/>
                <w:b/>
                <w:bCs/>
                <w:szCs w:val="21"/>
              </w:rPr>
              <w:t>14.22</w:t>
            </w:r>
          </w:p>
        </w:tc>
      </w:tr>
      <w:tr>
        <w:tblPrEx>
          <w:tblCellMar>
            <w:top w:w="0" w:type="dxa"/>
            <w:left w:w="108" w:type="dxa"/>
            <w:bottom w:w="0" w:type="dxa"/>
            <w:right w:w="108" w:type="dxa"/>
          </w:tblCellMar>
        </w:tblPrEx>
        <w:trPr>
          <w:trHeight w:val="513" w:hRule="atLeast"/>
          <w:jc w:val="center"/>
        </w:trPr>
        <w:tc>
          <w:tcPr>
            <w:tcW w:w="792" w:type="dxa"/>
            <w:vMerge w:val="continue"/>
            <w:tcBorders>
              <w:top w:val="nil"/>
              <w:left w:val="single" w:color="auto" w:sz="4" w:space="0"/>
              <w:bottom w:val="single" w:color="auto" w:sz="4" w:space="0"/>
              <w:right w:val="single" w:color="auto" w:sz="4" w:space="0"/>
            </w:tcBorders>
            <w:shd w:val="clear" w:color="auto" w:fill="auto"/>
            <w:vAlign w:val="center"/>
          </w:tcPr>
          <w:p>
            <w:pPr>
              <w:widowControl/>
              <w:jc w:val="left"/>
              <w:rPr>
                <w:rFonts w:ascii="华文中宋" w:hAnsi="华文中宋" w:eastAsia="华文中宋" w:cs="华文中宋"/>
                <w:b/>
                <w:bCs/>
                <w:kern w:val="0"/>
                <w:szCs w:val="21"/>
              </w:rPr>
            </w:pPr>
          </w:p>
        </w:tc>
        <w:tc>
          <w:tcPr>
            <w:tcW w:w="1056" w:type="dxa"/>
            <w:tcBorders>
              <w:top w:val="nil"/>
              <w:left w:val="nil"/>
              <w:bottom w:val="single" w:color="auto" w:sz="4" w:space="0"/>
              <w:right w:val="single" w:color="auto" w:sz="4" w:space="0"/>
            </w:tcBorders>
            <w:shd w:val="clear" w:color="auto" w:fill="auto"/>
            <w:vAlign w:val="center"/>
          </w:tcPr>
          <w:p>
            <w:pPr>
              <w:widowControl/>
              <w:jc w:val="center"/>
              <w:rPr>
                <w:rFonts w:ascii="华文中宋" w:hAnsi="华文中宋" w:eastAsia="华文中宋" w:cs="华文中宋"/>
                <w:b/>
                <w:bCs/>
                <w:kern w:val="0"/>
                <w:szCs w:val="21"/>
              </w:rPr>
            </w:pPr>
            <w:r>
              <w:rPr>
                <w:rFonts w:hint="eastAsia" w:ascii="华文中宋" w:hAnsi="华文中宋" w:eastAsia="华文中宋" w:cs="华文中宋"/>
                <w:b/>
                <w:bCs/>
                <w:kern w:val="0"/>
                <w:szCs w:val="21"/>
              </w:rPr>
              <w:t>B1</w:t>
            </w:r>
          </w:p>
        </w:tc>
        <w:tc>
          <w:tcPr>
            <w:tcW w:w="3105" w:type="dxa"/>
            <w:tcBorders>
              <w:top w:val="nil"/>
              <w:left w:val="nil"/>
              <w:bottom w:val="single" w:color="auto" w:sz="4" w:space="0"/>
              <w:right w:val="single" w:color="auto" w:sz="4" w:space="0"/>
            </w:tcBorders>
            <w:shd w:val="clear" w:color="auto" w:fill="auto"/>
            <w:vAlign w:val="center"/>
          </w:tcPr>
          <w:p>
            <w:pPr>
              <w:widowControl/>
              <w:jc w:val="center"/>
              <w:rPr>
                <w:rFonts w:ascii="华文中宋" w:hAnsi="华文中宋" w:eastAsia="华文中宋" w:cs="华文中宋"/>
                <w:b/>
                <w:bCs/>
                <w:kern w:val="0"/>
                <w:szCs w:val="21"/>
              </w:rPr>
            </w:pPr>
            <w:r>
              <w:rPr>
                <w:rFonts w:hint="eastAsia" w:ascii="华文中宋" w:hAnsi="华文中宋" w:eastAsia="华文中宋" w:cs="华文中宋"/>
                <w:b/>
                <w:bCs/>
                <w:kern w:val="0"/>
                <w:szCs w:val="21"/>
              </w:rPr>
              <w:t>商业用地</w:t>
            </w:r>
          </w:p>
        </w:tc>
        <w:tc>
          <w:tcPr>
            <w:tcW w:w="1907" w:type="dxa"/>
            <w:tcBorders>
              <w:top w:val="nil"/>
              <w:left w:val="nil"/>
              <w:bottom w:val="single" w:color="auto" w:sz="4" w:space="0"/>
              <w:right w:val="single" w:color="auto" w:sz="4" w:space="0"/>
            </w:tcBorders>
            <w:shd w:val="clear" w:color="auto" w:fill="auto"/>
            <w:vAlign w:val="center"/>
          </w:tcPr>
          <w:p>
            <w:pPr>
              <w:widowControl/>
              <w:jc w:val="center"/>
              <w:rPr>
                <w:rFonts w:ascii="华文中宋" w:hAnsi="华文中宋" w:eastAsia="华文中宋" w:cs="华文中宋"/>
                <w:b/>
                <w:bCs/>
                <w:kern w:val="0"/>
                <w:szCs w:val="21"/>
              </w:rPr>
            </w:pPr>
            <w:r>
              <w:rPr>
                <w:rFonts w:hint="eastAsia" w:ascii="华文中宋" w:hAnsi="华文中宋" w:eastAsia="华文中宋" w:cs="华文中宋"/>
                <w:b/>
                <w:bCs/>
                <w:szCs w:val="21"/>
              </w:rPr>
              <w:t>13.49</w:t>
            </w:r>
          </w:p>
        </w:tc>
        <w:tc>
          <w:tcPr>
            <w:tcW w:w="1896" w:type="dxa"/>
            <w:tcBorders>
              <w:top w:val="nil"/>
              <w:left w:val="nil"/>
              <w:bottom w:val="single" w:color="auto" w:sz="4" w:space="0"/>
              <w:right w:val="single" w:color="auto" w:sz="4" w:space="0"/>
            </w:tcBorders>
            <w:shd w:val="clear" w:color="auto" w:fill="FBD4B4" w:themeFill="accent6" w:themeFillTint="66"/>
            <w:vAlign w:val="center"/>
          </w:tcPr>
          <w:p>
            <w:pPr>
              <w:widowControl/>
              <w:jc w:val="center"/>
              <w:rPr>
                <w:rFonts w:ascii="华文中宋" w:hAnsi="华文中宋" w:eastAsia="华文中宋" w:cs="华文中宋"/>
                <w:b/>
                <w:bCs/>
                <w:kern w:val="0"/>
                <w:szCs w:val="21"/>
              </w:rPr>
            </w:pPr>
            <w:r>
              <w:rPr>
                <w:rFonts w:hint="eastAsia" w:ascii="华文中宋" w:hAnsi="华文中宋" w:eastAsia="华文中宋" w:cs="华文中宋"/>
                <w:b/>
                <w:bCs/>
                <w:kern w:val="0"/>
                <w:szCs w:val="21"/>
              </w:rPr>
              <w:t>6.16</w:t>
            </w:r>
          </w:p>
        </w:tc>
      </w:tr>
      <w:tr>
        <w:tblPrEx>
          <w:tblCellMar>
            <w:top w:w="0" w:type="dxa"/>
            <w:left w:w="108" w:type="dxa"/>
            <w:bottom w:w="0" w:type="dxa"/>
            <w:right w:w="108" w:type="dxa"/>
          </w:tblCellMar>
        </w:tblPrEx>
        <w:trPr>
          <w:trHeight w:val="513" w:hRule="atLeast"/>
          <w:jc w:val="center"/>
        </w:trPr>
        <w:tc>
          <w:tcPr>
            <w:tcW w:w="792" w:type="dxa"/>
            <w:vMerge w:val="continue"/>
            <w:tcBorders>
              <w:top w:val="nil"/>
              <w:left w:val="single" w:color="auto" w:sz="4" w:space="0"/>
              <w:bottom w:val="single" w:color="auto" w:sz="4" w:space="0"/>
              <w:right w:val="single" w:color="auto" w:sz="4" w:space="0"/>
            </w:tcBorders>
            <w:shd w:val="clear" w:color="auto" w:fill="auto"/>
            <w:vAlign w:val="center"/>
          </w:tcPr>
          <w:p>
            <w:pPr>
              <w:widowControl/>
              <w:jc w:val="left"/>
              <w:rPr>
                <w:rFonts w:ascii="华文中宋" w:hAnsi="华文中宋" w:eastAsia="华文中宋" w:cs="华文中宋"/>
                <w:b/>
                <w:bCs/>
                <w:kern w:val="0"/>
                <w:szCs w:val="21"/>
              </w:rPr>
            </w:pPr>
          </w:p>
        </w:tc>
        <w:tc>
          <w:tcPr>
            <w:tcW w:w="1056" w:type="dxa"/>
            <w:tcBorders>
              <w:top w:val="nil"/>
              <w:left w:val="nil"/>
              <w:bottom w:val="single" w:color="auto" w:sz="4" w:space="0"/>
              <w:right w:val="single" w:color="auto" w:sz="4" w:space="0"/>
            </w:tcBorders>
            <w:shd w:val="clear" w:color="auto" w:fill="auto"/>
            <w:vAlign w:val="center"/>
          </w:tcPr>
          <w:p>
            <w:pPr>
              <w:widowControl/>
              <w:jc w:val="center"/>
              <w:rPr>
                <w:rFonts w:ascii="华文中宋" w:hAnsi="华文中宋" w:eastAsia="华文中宋" w:cs="华文中宋"/>
                <w:b/>
                <w:bCs/>
                <w:kern w:val="0"/>
                <w:szCs w:val="21"/>
              </w:rPr>
            </w:pPr>
            <w:r>
              <w:rPr>
                <w:rFonts w:hint="eastAsia" w:ascii="华文中宋" w:hAnsi="华文中宋" w:eastAsia="华文中宋" w:cs="华文中宋"/>
                <w:b/>
                <w:bCs/>
                <w:kern w:val="0"/>
                <w:szCs w:val="21"/>
              </w:rPr>
              <w:t>B4</w:t>
            </w:r>
          </w:p>
        </w:tc>
        <w:tc>
          <w:tcPr>
            <w:tcW w:w="3105" w:type="dxa"/>
            <w:tcBorders>
              <w:top w:val="nil"/>
              <w:left w:val="nil"/>
              <w:bottom w:val="single" w:color="auto" w:sz="4" w:space="0"/>
              <w:right w:val="single" w:color="auto" w:sz="4" w:space="0"/>
            </w:tcBorders>
            <w:shd w:val="clear" w:color="auto" w:fill="auto"/>
            <w:vAlign w:val="center"/>
          </w:tcPr>
          <w:p>
            <w:pPr>
              <w:widowControl/>
              <w:jc w:val="center"/>
              <w:rPr>
                <w:rFonts w:ascii="华文中宋" w:hAnsi="华文中宋" w:eastAsia="华文中宋" w:cs="华文中宋"/>
                <w:b/>
                <w:bCs/>
                <w:kern w:val="0"/>
                <w:szCs w:val="21"/>
              </w:rPr>
            </w:pPr>
            <w:r>
              <w:rPr>
                <w:rFonts w:hint="eastAsia" w:ascii="华文中宋" w:hAnsi="华文中宋" w:eastAsia="华文中宋" w:cs="华文中宋"/>
                <w:b/>
                <w:bCs/>
                <w:kern w:val="0"/>
                <w:szCs w:val="21"/>
              </w:rPr>
              <w:t>公用设施营业网点用地</w:t>
            </w:r>
          </w:p>
        </w:tc>
        <w:tc>
          <w:tcPr>
            <w:tcW w:w="1907" w:type="dxa"/>
            <w:tcBorders>
              <w:top w:val="nil"/>
              <w:left w:val="nil"/>
              <w:bottom w:val="single" w:color="auto" w:sz="4" w:space="0"/>
              <w:right w:val="single" w:color="auto" w:sz="4" w:space="0"/>
            </w:tcBorders>
            <w:shd w:val="clear" w:color="auto" w:fill="auto"/>
            <w:vAlign w:val="center"/>
          </w:tcPr>
          <w:p>
            <w:pPr>
              <w:widowControl/>
              <w:jc w:val="center"/>
              <w:rPr>
                <w:rFonts w:ascii="华文中宋" w:hAnsi="华文中宋" w:eastAsia="华文中宋" w:cs="华文中宋"/>
                <w:b/>
                <w:bCs/>
                <w:kern w:val="0"/>
                <w:szCs w:val="21"/>
              </w:rPr>
            </w:pPr>
            <w:r>
              <w:rPr>
                <w:rFonts w:hint="eastAsia" w:ascii="华文中宋" w:hAnsi="华文中宋" w:eastAsia="华文中宋" w:cs="华文中宋"/>
                <w:b/>
                <w:bCs/>
                <w:szCs w:val="21"/>
              </w:rPr>
              <w:t>8.51</w:t>
            </w:r>
          </w:p>
        </w:tc>
        <w:tc>
          <w:tcPr>
            <w:tcW w:w="1896" w:type="dxa"/>
            <w:tcBorders>
              <w:top w:val="nil"/>
              <w:left w:val="nil"/>
              <w:bottom w:val="single" w:color="auto" w:sz="4" w:space="0"/>
              <w:right w:val="single" w:color="auto" w:sz="4" w:space="0"/>
            </w:tcBorders>
            <w:shd w:val="clear" w:color="auto" w:fill="FBD4B4" w:themeFill="accent6" w:themeFillTint="66"/>
            <w:vAlign w:val="center"/>
          </w:tcPr>
          <w:p>
            <w:pPr>
              <w:widowControl/>
              <w:jc w:val="center"/>
              <w:rPr>
                <w:rFonts w:ascii="华文中宋" w:hAnsi="华文中宋" w:eastAsia="华文中宋" w:cs="华文中宋"/>
                <w:b/>
                <w:bCs/>
                <w:kern w:val="0"/>
                <w:szCs w:val="21"/>
              </w:rPr>
            </w:pPr>
            <w:r>
              <w:rPr>
                <w:rFonts w:hint="eastAsia" w:ascii="华文中宋" w:hAnsi="华文中宋" w:eastAsia="华文中宋" w:cs="华文中宋"/>
                <w:b/>
                <w:bCs/>
                <w:szCs w:val="21"/>
              </w:rPr>
              <w:t>8.06</w:t>
            </w:r>
          </w:p>
        </w:tc>
      </w:tr>
      <w:tr>
        <w:tblPrEx>
          <w:tblCellMar>
            <w:top w:w="0" w:type="dxa"/>
            <w:left w:w="108" w:type="dxa"/>
            <w:bottom w:w="0" w:type="dxa"/>
            <w:right w:w="108" w:type="dxa"/>
          </w:tblCellMar>
        </w:tblPrEx>
        <w:trPr>
          <w:trHeight w:val="513" w:hRule="atLeast"/>
          <w:jc w:val="center"/>
        </w:trPr>
        <w:tc>
          <w:tcPr>
            <w:tcW w:w="792"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华文中宋" w:hAnsi="华文中宋" w:eastAsia="华文中宋" w:cs="华文中宋"/>
                <w:b/>
                <w:bCs/>
                <w:kern w:val="0"/>
                <w:szCs w:val="21"/>
              </w:rPr>
            </w:pPr>
            <w:r>
              <w:rPr>
                <w:rFonts w:hint="eastAsia" w:ascii="华文中宋" w:hAnsi="华文中宋" w:eastAsia="华文中宋" w:cs="华文中宋"/>
                <w:b/>
                <w:bCs/>
                <w:kern w:val="0"/>
                <w:szCs w:val="21"/>
              </w:rPr>
              <w:t>M</w:t>
            </w:r>
          </w:p>
        </w:tc>
        <w:tc>
          <w:tcPr>
            <w:tcW w:w="1056" w:type="dxa"/>
            <w:tcBorders>
              <w:top w:val="nil"/>
              <w:left w:val="nil"/>
              <w:bottom w:val="single" w:color="auto" w:sz="4" w:space="0"/>
              <w:right w:val="single" w:color="auto" w:sz="4" w:space="0"/>
            </w:tcBorders>
            <w:shd w:val="clear" w:color="auto" w:fill="auto"/>
            <w:vAlign w:val="center"/>
          </w:tcPr>
          <w:p>
            <w:pPr>
              <w:widowControl/>
              <w:jc w:val="center"/>
              <w:rPr>
                <w:rFonts w:ascii="华文中宋" w:hAnsi="华文中宋" w:eastAsia="华文中宋" w:cs="华文中宋"/>
                <w:b/>
                <w:bCs/>
                <w:kern w:val="0"/>
                <w:szCs w:val="21"/>
              </w:rPr>
            </w:pPr>
          </w:p>
        </w:tc>
        <w:tc>
          <w:tcPr>
            <w:tcW w:w="3105" w:type="dxa"/>
            <w:tcBorders>
              <w:top w:val="nil"/>
              <w:left w:val="nil"/>
              <w:bottom w:val="single" w:color="auto" w:sz="4" w:space="0"/>
              <w:right w:val="single" w:color="auto" w:sz="4" w:space="0"/>
            </w:tcBorders>
            <w:shd w:val="clear" w:color="auto" w:fill="auto"/>
            <w:vAlign w:val="center"/>
          </w:tcPr>
          <w:p>
            <w:pPr>
              <w:widowControl/>
              <w:jc w:val="center"/>
              <w:rPr>
                <w:rFonts w:ascii="华文中宋" w:hAnsi="华文中宋" w:eastAsia="华文中宋" w:cs="华文中宋"/>
                <w:b/>
                <w:bCs/>
                <w:kern w:val="0"/>
                <w:szCs w:val="21"/>
              </w:rPr>
            </w:pPr>
            <w:r>
              <w:rPr>
                <w:rFonts w:hint="eastAsia" w:ascii="华文中宋" w:hAnsi="华文中宋" w:eastAsia="华文中宋" w:cs="华文中宋"/>
                <w:b/>
                <w:bCs/>
                <w:kern w:val="0"/>
                <w:szCs w:val="21"/>
              </w:rPr>
              <w:t>工业用地</w:t>
            </w:r>
          </w:p>
        </w:tc>
        <w:tc>
          <w:tcPr>
            <w:tcW w:w="1907" w:type="dxa"/>
            <w:tcBorders>
              <w:top w:val="nil"/>
              <w:left w:val="nil"/>
              <w:bottom w:val="single" w:color="auto" w:sz="4" w:space="0"/>
              <w:right w:val="single" w:color="auto" w:sz="4" w:space="0"/>
            </w:tcBorders>
            <w:shd w:val="clear" w:color="auto" w:fill="auto"/>
            <w:vAlign w:val="center"/>
          </w:tcPr>
          <w:p>
            <w:pPr>
              <w:widowControl/>
              <w:jc w:val="center"/>
              <w:rPr>
                <w:rFonts w:ascii="华文中宋" w:hAnsi="华文中宋" w:eastAsia="华文中宋" w:cs="华文中宋"/>
                <w:b/>
                <w:bCs/>
                <w:kern w:val="0"/>
                <w:szCs w:val="21"/>
              </w:rPr>
            </w:pPr>
            <w:r>
              <w:rPr>
                <w:rFonts w:hint="eastAsia" w:ascii="华文中宋" w:hAnsi="华文中宋" w:eastAsia="华文中宋" w:cs="华文中宋"/>
                <w:b/>
                <w:bCs/>
                <w:szCs w:val="21"/>
              </w:rPr>
              <w:t>2093.12</w:t>
            </w:r>
          </w:p>
        </w:tc>
        <w:tc>
          <w:tcPr>
            <w:tcW w:w="1896" w:type="dxa"/>
            <w:tcBorders>
              <w:top w:val="nil"/>
              <w:left w:val="nil"/>
              <w:bottom w:val="single" w:color="auto" w:sz="4" w:space="0"/>
              <w:right w:val="single" w:color="auto" w:sz="4" w:space="0"/>
            </w:tcBorders>
            <w:shd w:val="clear" w:color="auto" w:fill="FBD4B4" w:themeFill="accent6" w:themeFillTint="66"/>
            <w:vAlign w:val="center"/>
          </w:tcPr>
          <w:p>
            <w:pPr>
              <w:widowControl/>
              <w:jc w:val="center"/>
              <w:rPr>
                <w:rFonts w:hint="default" w:ascii="华文中宋" w:hAnsi="华文中宋" w:eastAsia="华文中宋" w:cs="华文中宋"/>
                <w:b/>
                <w:bCs/>
                <w:kern w:val="0"/>
                <w:szCs w:val="21"/>
                <w:lang w:val="en-US" w:eastAsia="zh-CN"/>
              </w:rPr>
            </w:pPr>
            <w:r>
              <w:rPr>
                <w:rFonts w:hint="eastAsia" w:ascii="华文中宋" w:hAnsi="华文中宋" w:eastAsia="华文中宋" w:cs="华文中宋"/>
                <w:b/>
                <w:bCs/>
                <w:szCs w:val="21"/>
              </w:rPr>
              <w:t>219</w:t>
            </w:r>
            <w:r>
              <w:rPr>
                <w:rFonts w:hint="eastAsia" w:ascii="华文中宋" w:hAnsi="华文中宋" w:eastAsia="华文中宋" w:cs="华文中宋"/>
                <w:b/>
                <w:bCs/>
                <w:szCs w:val="21"/>
                <w:lang w:val="en-US" w:eastAsia="zh-CN"/>
              </w:rPr>
              <w:t>1.46</w:t>
            </w:r>
          </w:p>
        </w:tc>
      </w:tr>
      <w:tr>
        <w:tblPrEx>
          <w:tblCellMar>
            <w:top w:w="0" w:type="dxa"/>
            <w:left w:w="108" w:type="dxa"/>
            <w:bottom w:w="0" w:type="dxa"/>
            <w:right w:w="108" w:type="dxa"/>
          </w:tblCellMar>
        </w:tblPrEx>
        <w:trPr>
          <w:trHeight w:val="513" w:hRule="atLeast"/>
          <w:jc w:val="center"/>
        </w:trPr>
        <w:tc>
          <w:tcPr>
            <w:tcW w:w="792"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华文中宋" w:hAnsi="华文中宋" w:eastAsia="华文中宋" w:cs="华文中宋"/>
                <w:b/>
                <w:bCs/>
                <w:kern w:val="0"/>
                <w:szCs w:val="21"/>
              </w:rPr>
            </w:pPr>
            <w:r>
              <w:rPr>
                <w:rFonts w:hint="eastAsia" w:ascii="华文中宋" w:hAnsi="华文中宋" w:eastAsia="华文中宋" w:cs="华文中宋"/>
                <w:b/>
                <w:bCs/>
                <w:kern w:val="0"/>
                <w:szCs w:val="21"/>
              </w:rPr>
              <w:t>W</w:t>
            </w:r>
          </w:p>
        </w:tc>
        <w:tc>
          <w:tcPr>
            <w:tcW w:w="1056" w:type="dxa"/>
            <w:tcBorders>
              <w:top w:val="nil"/>
              <w:left w:val="nil"/>
              <w:bottom w:val="single" w:color="auto" w:sz="4" w:space="0"/>
              <w:right w:val="single" w:color="auto" w:sz="4" w:space="0"/>
            </w:tcBorders>
            <w:shd w:val="clear" w:color="auto" w:fill="auto"/>
            <w:vAlign w:val="center"/>
          </w:tcPr>
          <w:p>
            <w:pPr>
              <w:widowControl/>
              <w:jc w:val="center"/>
              <w:rPr>
                <w:rFonts w:ascii="华文中宋" w:hAnsi="华文中宋" w:eastAsia="华文中宋" w:cs="华文中宋"/>
                <w:b/>
                <w:bCs/>
                <w:kern w:val="0"/>
                <w:szCs w:val="21"/>
              </w:rPr>
            </w:pPr>
          </w:p>
        </w:tc>
        <w:tc>
          <w:tcPr>
            <w:tcW w:w="3105" w:type="dxa"/>
            <w:tcBorders>
              <w:top w:val="nil"/>
              <w:left w:val="nil"/>
              <w:bottom w:val="single" w:color="auto" w:sz="4" w:space="0"/>
              <w:right w:val="single" w:color="auto" w:sz="4" w:space="0"/>
            </w:tcBorders>
            <w:shd w:val="clear" w:color="auto" w:fill="auto"/>
            <w:vAlign w:val="center"/>
          </w:tcPr>
          <w:p>
            <w:pPr>
              <w:widowControl/>
              <w:jc w:val="center"/>
              <w:rPr>
                <w:rFonts w:ascii="华文中宋" w:hAnsi="华文中宋" w:eastAsia="华文中宋" w:cs="华文中宋"/>
                <w:b/>
                <w:bCs/>
                <w:kern w:val="0"/>
                <w:szCs w:val="21"/>
              </w:rPr>
            </w:pPr>
            <w:r>
              <w:rPr>
                <w:rFonts w:hint="eastAsia" w:ascii="华文中宋" w:hAnsi="华文中宋" w:eastAsia="华文中宋" w:cs="华文中宋"/>
                <w:b/>
                <w:bCs/>
                <w:kern w:val="0"/>
                <w:szCs w:val="21"/>
              </w:rPr>
              <w:t>物流仓储用地</w:t>
            </w:r>
          </w:p>
        </w:tc>
        <w:tc>
          <w:tcPr>
            <w:tcW w:w="1907" w:type="dxa"/>
            <w:tcBorders>
              <w:top w:val="nil"/>
              <w:left w:val="nil"/>
              <w:bottom w:val="single" w:color="auto" w:sz="4" w:space="0"/>
              <w:right w:val="single" w:color="auto" w:sz="4" w:space="0"/>
            </w:tcBorders>
            <w:shd w:val="clear" w:color="auto" w:fill="auto"/>
            <w:vAlign w:val="center"/>
          </w:tcPr>
          <w:p>
            <w:pPr>
              <w:widowControl/>
              <w:jc w:val="center"/>
              <w:rPr>
                <w:rFonts w:ascii="华文中宋" w:hAnsi="华文中宋" w:eastAsia="华文中宋" w:cs="华文中宋"/>
                <w:b/>
                <w:bCs/>
                <w:kern w:val="0"/>
                <w:szCs w:val="21"/>
              </w:rPr>
            </w:pPr>
            <w:r>
              <w:rPr>
                <w:rFonts w:hint="eastAsia" w:ascii="华文中宋" w:hAnsi="华文中宋" w:eastAsia="华文中宋" w:cs="华文中宋"/>
                <w:b/>
                <w:bCs/>
                <w:szCs w:val="21"/>
              </w:rPr>
              <w:t>312.41</w:t>
            </w:r>
          </w:p>
        </w:tc>
        <w:tc>
          <w:tcPr>
            <w:tcW w:w="1896" w:type="dxa"/>
            <w:tcBorders>
              <w:top w:val="nil"/>
              <w:left w:val="nil"/>
              <w:bottom w:val="single" w:color="auto" w:sz="4" w:space="0"/>
              <w:right w:val="single" w:color="auto" w:sz="4" w:space="0"/>
            </w:tcBorders>
            <w:shd w:val="clear" w:color="auto" w:fill="FBD4B4" w:themeFill="accent6" w:themeFillTint="66"/>
            <w:vAlign w:val="center"/>
          </w:tcPr>
          <w:p>
            <w:pPr>
              <w:widowControl/>
              <w:jc w:val="center"/>
              <w:rPr>
                <w:rFonts w:ascii="华文中宋" w:hAnsi="华文中宋" w:eastAsia="华文中宋" w:cs="华文中宋"/>
                <w:b/>
                <w:bCs/>
                <w:kern w:val="0"/>
                <w:szCs w:val="21"/>
              </w:rPr>
            </w:pPr>
            <w:r>
              <w:rPr>
                <w:rFonts w:hint="eastAsia" w:ascii="华文中宋" w:hAnsi="华文中宋" w:eastAsia="华文中宋" w:cs="华文中宋"/>
                <w:b/>
                <w:bCs/>
                <w:szCs w:val="21"/>
              </w:rPr>
              <w:t>282.85</w:t>
            </w:r>
          </w:p>
        </w:tc>
      </w:tr>
      <w:tr>
        <w:tblPrEx>
          <w:tblCellMar>
            <w:top w:w="0" w:type="dxa"/>
            <w:left w:w="108" w:type="dxa"/>
            <w:bottom w:w="0" w:type="dxa"/>
            <w:right w:w="108" w:type="dxa"/>
          </w:tblCellMar>
        </w:tblPrEx>
        <w:trPr>
          <w:trHeight w:val="513" w:hRule="atLeast"/>
          <w:jc w:val="center"/>
        </w:trPr>
        <w:tc>
          <w:tcPr>
            <w:tcW w:w="792" w:type="dxa"/>
            <w:vMerge w:val="restart"/>
            <w:tcBorders>
              <w:top w:val="nil"/>
              <w:left w:val="single" w:color="auto" w:sz="4" w:space="0"/>
              <w:right w:val="single" w:color="auto" w:sz="4" w:space="0"/>
            </w:tcBorders>
            <w:shd w:val="clear" w:color="auto" w:fill="auto"/>
            <w:vAlign w:val="center"/>
          </w:tcPr>
          <w:p>
            <w:pPr>
              <w:widowControl/>
              <w:jc w:val="center"/>
              <w:rPr>
                <w:rFonts w:ascii="华文中宋" w:hAnsi="华文中宋" w:eastAsia="华文中宋" w:cs="华文中宋"/>
                <w:b/>
                <w:bCs/>
                <w:kern w:val="0"/>
                <w:szCs w:val="21"/>
              </w:rPr>
            </w:pPr>
            <w:r>
              <w:rPr>
                <w:rFonts w:hint="eastAsia" w:ascii="华文中宋" w:hAnsi="华文中宋" w:eastAsia="华文中宋" w:cs="华文中宋"/>
                <w:b/>
                <w:bCs/>
                <w:kern w:val="0"/>
                <w:szCs w:val="21"/>
              </w:rPr>
              <w:t>S</w:t>
            </w:r>
          </w:p>
        </w:tc>
        <w:tc>
          <w:tcPr>
            <w:tcW w:w="1056" w:type="dxa"/>
            <w:tcBorders>
              <w:top w:val="nil"/>
              <w:left w:val="nil"/>
              <w:bottom w:val="single" w:color="auto" w:sz="4" w:space="0"/>
              <w:right w:val="single" w:color="auto" w:sz="4" w:space="0"/>
            </w:tcBorders>
            <w:shd w:val="clear" w:color="auto" w:fill="auto"/>
            <w:vAlign w:val="center"/>
          </w:tcPr>
          <w:p>
            <w:pPr>
              <w:widowControl/>
              <w:jc w:val="center"/>
              <w:rPr>
                <w:rFonts w:ascii="华文中宋" w:hAnsi="华文中宋" w:eastAsia="华文中宋" w:cs="华文中宋"/>
                <w:b/>
                <w:bCs/>
                <w:kern w:val="0"/>
                <w:szCs w:val="21"/>
              </w:rPr>
            </w:pPr>
          </w:p>
        </w:tc>
        <w:tc>
          <w:tcPr>
            <w:tcW w:w="3105" w:type="dxa"/>
            <w:tcBorders>
              <w:top w:val="nil"/>
              <w:left w:val="nil"/>
              <w:bottom w:val="single" w:color="auto" w:sz="4" w:space="0"/>
              <w:right w:val="single" w:color="auto" w:sz="4" w:space="0"/>
            </w:tcBorders>
            <w:shd w:val="clear" w:color="auto" w:fill="auto"/>
            <w:vAlign w:val="center"/>
          </w:tcPr>
          <w:p>
            <w:pPr>
              <w:widowControl/>
              <w:jc w:val="center"/>
              <w:rPr>
                <w:rFonts w:ascii="华文中宋" w:hAnsi="华文中宋" w:eastAsia="华文中宋" w:cs="华文中宋"/>
                <w:b/>
                <w:bCs/>
                <w:kern w:val="0"/>
                <w:szCs w:val="21"/>
              </w:rPr>
            </w:pPr>
            <w:r>
              <w:rPr>
                <w:rFonts w:hint="eastAsia" w:ascii="华文中宋" w:hAnsi="华文中宋" w:eastAsia="华文中宋" w:cs="华文中宋"/>
                <w:b/>
                <w:bCs/>
                <w:kern w:val="0"/>
                <w:szCs w:val="21"/>
              </w:rPr>
              <w:t>道路与交通设施用地</w:t>
            </w:r>
          </w:p>
        </w:tc>
        <w:tc>
          <w:tcPr>
            <w:tcW w:w="1907" w:type="dxa"/>
            <w:tcBorders>
              <w:top w:val="nil"/>
              <w:left w:val="nil"/>
              <w:bottom w:val="single" w:color="auto" w:sz="4" w:space="0"/>
              <w:right w:val="single" w:color="auto" w:sz="4" w:space="0"/>
            </w:tcBorders>
            <w:shd w:val="clear" w:color="auto" w:fill="auto"/>
            <w:vAlign w:val="center"/>
          </w:tcPr>
          <w:p>
            <w:pPr>
              <w:widowControl/>
              <w:jc w:val="center"/>
              <w:rPr>
                <w:rFonts w:ascii="华文中宋" w:hAnsi="华文中宋" w:eastAsia="华文中宋" w:cs="华文中宋"/>
                <w:b/>
                <w:bCs/>
                <w:kern w:val="0"/>
                <w:szCs w:val="21"/>
              </w:rPr>
            </w:pPr>
            <w:r>
              <w:rPr>
                <w:rFonts w:hint="eastAsia" w:ascii="华文中宋" w:hAnsi="华文中宋" w:eastAsia="华文中宋" w:cs="华文中宋"/>
                <w:b/>
                <w:bCs/>
                <w:szCs w:val="21"/>
              </w:rPr>
              <w:t>214.08</w:t>
            </w:r>
          </w:p>
        </w:tc>
        <w:tc>
          <w:tcPr>
            <w:tcW w:w="1896" w:type="dxa"/>
            <w:tcBorders>
              <w:top w:val="nil"/>
              <w:left w:val="nil"/>
              <w:bottom w:val="single" w:color="auto" w:sz="4" w:space="0"/>
              <w:right w:val="single" w:color="auto" w:sz="4" w:space="0"/>
            </w:tcBorders>
            <w:shd w:val="clear" w:color="auto" w:fill="FBD4B4" w:themeFill="accent6" w:themeFillTint="66"/>
            <w:vAlign w:val="center"/>
          </w:tcPr>
          <w:p>
            <w:pPr>
              <w:widowControl/>
              <w:jc w:val="center"/>
              <w:rPr>
                <w:rFonts w:hint="default" w:ascii="华文中宋" w:hAnsi="华文中宋" w:eastAsia="华文中宋" w:cs="华文中宋"/>
                <w:b/>
                <w:bCs/>
                <w:kern w:val="0"/>
                <w:szCs w:val="21"/>
                <w:lang w:val="en-US" w:eastAsia="zh-CN"/>
              </w:rPr>
            </w:pPr>
            <w:r>
              <w:rPr>
                <w:rFonts w:hint="eastAsia" w:ascii="华文中宋" w:hAnsi="华文中宋" w:eastAsia="华文中宋" w:cs="华文中宋"/>
                <w:b/>
                <w:bCs/>
                <w:szCs w:val="21"/>
                <w:lang w:val="en-US" w:eastAsia="zh-CN"/>
              </w:rPr>
              <w:t>141.98</w:t>
            </w:r>
          </w:p>
        </w:tc>
      </w:tr>
      <w:tr>
        <w:tblPrEx>
          <w:tblCellMar>
            <w:top w:w="0" w:type="dxa"/>
            <w:left w:w="108" w:type="dxa"/>
            <w:bottom w:w="0" w:type="dxa"/>
            <w:right w:w="108" w:type="dxa"/>
          </w:tblCellMar>
        </w:tblPrEx>
        <w:trPr>
          <w:trHeight w:val="513" w:hRule="atLeast"/>
          <w:jc w:val="center"/>
        </w:trPr>
        <w:tc>
          <w:tcPr>
            <w:tcW w:w="792" w:type="dxa"/>
            <w:vMerge w:val="continue"/>
            <w:tcBorders>
              <w:left w:val="single" w:color="auto" w:sz="4" w:space="0"/>
              <w:right w:val="single" w:color="auto" w:sz="4" w:space="0"/>
            </w:tcBorders>
            <w:shd w:val="clear" w:color="auto" w:fill="auto"/>
            <w:vAlign w:val="center"/>
          </w:tcPr>
          <w:p>
            <w:pPr>
              <w:widowControl/>
              <w:jc w:val="center"/>
              <w:rPr>
                <w:rFonts w:ascii="华文中宋" w:hAnsi="华文中宋" w:eastAsia="华文中宋" w:cs="华文中宋"/>
                <w:b/>
                <w:bCs/>
                <w:kern w:val="0"/>
                <w:szCs w:val="21"/>
              </w:rPr>
            </w:pPr>
          </w:p>
        </w:tc>
        <w:tc>
          <w:tcPr>
            <w:tcW w:w="1056" w:type="dxa"/>
            <w:tcBorders>
              <w:top w:val="nil"/>
              <w:left w:val="nil"/>
              <w:bottom w:val="single" w:color="auto" w:sz="4" w:space="0"/>
              <w:right w:val="single" w:color="auto" w:sz="4" w:space="0"/>
            </w:tcBorders>
            <w:shd w:val="clear" w:color="auto" w:fill="auto"/>
            <w:vAlign w:val="center"/>
          </w:tcPr>
          <w:p>
            <w:pPr>
              <w:widowControl/>
              <w:jc w:val="center"/>
              <w:rPr>
                <w:rFonts w:ascii="华文中宋" w:hAnsi="华文中宋" w:eastAsia="华文中宋" w:cs="华文中宋"/>
                <w:b/>
                <w:bCs/>
                <w:kern w:val="0"/>
                <w:szCs w:val="21"/>
              </w:rPr>
            </w:pPr>
            <w:r>
              <w:rPr>
                <w:rFonts w:hint="eastAsia" w:ascii="华文中宋" w:hAnsi="华文中宋" w:eastAsia="华文中宋" w:cs="华文中宋"/>
                <w:b/>
                <w:bCs/>
                <w:kern w:val="0"/>
                <w:szCs w:val="21"/>
              </w:rPr>
              <w:t>S1</w:t>
            </w:r>
          </w:p>
        </w:tc>
        <w:tc>
          <w:tcPr>
            <w:tcW w:w="3105" w:type="dxa"/>
            <w:tcBorders>
              <w:top w:val="nil"/>
              <w:left w:val="nil"/>
              <w:bottom w:val="single" w:color="auto" w:sz="4" w:space="0"/>
              <w:right w:val="single" w:color="auto" w:sz="4" w:space="0"/>
            </w:tcBorders>
            <w:shd w:val="clear" w:color="auto" w:fill="auto"/>
            <w:vAlign w:val="center"/>
          </w:tcPr>
          <w:p>
            <w:pPr>
              <w:widowControl/>
              <w:jc w:val="center"/>
              <w:rPr>
                <w:rFonts w:ascii="华文中宋" w:hAnsi="华文中宋" w:eastAsia="华文中宋" w:cs="华文中宋"/>
                <w:b/>
                <w:bCs/>
                <w:kern w:val="0"/>
                <w:szCs w:val="21"/>
              </w:rPr>
            </w:pPr>
            <w:r>
              <w:rPr>
                <w:rFonts w:hint="eastAsia" w:ascii="华文中宋" w:hAnsi="华文中宋" w:eastAsia="华文中宋" w:cs="华文中宋"/>
                <w:b/>
                <w:bCs/>
                <w:kern w:val="0"/>
                <w:szCs w:val="21"/>
              </w:rPr>
              <w:t>城市道路用地</w:t>
            </w:r>
          </w:p>
        </w:tc>
        <w:tc>
          <w:tcPr>
            <w:tcW w:w="1907" w:type="dxa"/>
            <w:tcBorders>
              <w:top w:val="nil"/>
              <w:left w:val="nil"/>
              <w:bottom w:val="single" w:color="auto" w:sz="4" w:space="0"/>
              <w:right w:val="single" w:color="auto" w:sz="4" w:space="0"/>
            </w:tcBorders>
            <w:shd w:val="clear" w:color="auto" w:fill="auto"/>
            <w:vAlign w:val="center"/>
          </w:tcPr>
          <w:p>
            <w:pPr>
              <w:widowControl/>
              <w:jc w:val="center"/>
              <w:rPr>
                <w:rFonts w:ascii="华文中宋" w:hAnsi="华文中宋" w:eastAsia="华文中宋" w:cs="华文中宋"/>
                <w:b/>
                <w:bCs/>
                <w:kern w:val="0"/>
                <w:szCs w:val="21"/>
              </w:rPr>
            </w:pPr>
            <w:r>
              <w:rPr>
                <w:rFonts w:hint="eastAsia" w:ascii="华文中宋" w:hAnsi="华文中宋" w:eastAsia="华文中宋" w:cs="华文中宋"/>
                <w:b/>
                <w:bCs/>
                <w:szCs w:val="21"/>
              </w:rPr>
              <w:t>198.24</w:t>
            </w:r>
          </w:p>
        </w:tc>
        <w:tc>
          <w:tcPr>
            <w:tcW w:w="1896" w:type="dxa"/>
            <w:tcBorders>
              <w:top w:val="nil"/>
              <w:left w:val="nil"/>
              <w:bottom w:val="single" w:color="auto" w:sz="4" w:space="0"/>
              <w:right w:val="single" w:color="auto" w:sz="4" w:space="0"/>
            </w:tcBorders>
            <w:shd w:val="clear" w:color="auto" w:fill="FBD4B4" w:themeFill="accent6" w:themeFillTint="66"/>
            <w:vAlign w:val="center"/>
          </w:tcPr>
          <w:p>
            <w:pPr>
              <w:widowControl/>
              <w:jc w:val="center"/>
              <w:rPr>
                <w:rFonts w:hint="default" w:ascii="华文中宋" w:hAnsi="华文中宋" w:eastAsia="华文中宋" w:cs="华文中宋"/>
                <w:b/>
                <w:bCs/>
                <w:kern w:val="0"/>
                <w:szCs w:val="21"/>
                <w:lang w:val="en-US" w:eastAsia="zh-CN"/>
              </w:rPr>
            </w:pPr>
            <w:r>
              <w:rPr>
                <w:rFonts w:hint="eastAsia" w:ascii="华文中宋" w:hAnsi="华文中宋" w:eastAsia="华文中宋" w:cs="华文中宋"/>
                <w:b/>
                <w:bCs/>
                <w:szCs w:val="21"/>
                <w:lang w:val="en-US" w:eastAsia="zh-CN"/>
              </w:rPr>
              <w:t>126.18</w:t>
            </w:r>
          </w:p>
        </w:tc>
      </w:tr>
      <w:tr>
        <w:tblPrEx>
          <w:tblCellMar>
            <w:top w:w="0" w:type="dxa"/>
            <w:left w:w="108" w:type="dxa"/>
            <w:bottom w:w="0" w:type="dxa"/>
            <w:right w:w="108" w:type="dxa"/>
          </w:tblCellMar>
        </w:tblPrEx>
        <w:trPr>
          <w:trHeight w:val="513" w:hRule="atLeast"/>
          <w:jc w:val="center"/>
        </w:trPr>
        <w:tc>
          <w:tcPr>
            <w:tcW w:w="792" w:type="dxa"/>
            <w:vMerge w:val="continue"/>
            <w:tcBorders>
              <w:left w:val="single" w:color="auto" w:sz="4" w:space="0"/>
              <w:bottom w:val="single" w:color="auto" w:sz="4" w:space="0"/>
              <w:right w:val="single" w:color="auto" w:sz="4" w:space="0"/>
            </w:tcBorders>
            <w:shd w:val="clear" w:color="auto" w:fill="auto"/>
            <w:vAlign w:val="center"/>
          </w:tcPr>
          <w:p>
            <w:pPr>
              <w:widowControl/>
              <w:jc w:val="center"/>
              <w:rPr>
                <w:rFonts w:ascii="华文中宋" w:hAnsi="华文中宋" w:eastAsia="华文中宋" w:cs="华文中宋"/>
                <w:b/>
                <w:bCs/>
                <w:kern w:val="0"/>
                <w:szCs w:val="21"/>
              </w:rPr>
            </w:pPr>
          </w:p>
        </w:tc>
        <w:tc>
          <w:tcPr>
            <w:tcW w:w="1056" w:type="dxa"/>
            <w:tcBorders>
              <w:top w:val="nil"/>
              <w:left w:val="nil"/>
              <w:bottom w:val="single" w:color="auto" w:sz="4" w:space="0"/>
              <w:right w:val="single" w:color="auto" w:sz="4" w:space="0"/>
            </w:tcBorders>
            <w:shd w:val="clear" w:color="auto" w:fill="auto"/>
            <w:vAlign w:val="center"/>
          </w:tcPr>
          <w:p>
            <w:pPr>
              <w:widowControl/>
              <w:jc w:val="center"/>
              <w:rPr>
                <w:rFonts w:ascii="华文中宋" w:hAnsi="华文中宋" w:eastAsia="华文中宋" w:cs="华文中宋"/>
                <w:b/>
                <w:bCs/>
                <w:kern w:val="0"/>
                <w:szCs w:val="21"/>
              </w:rPr>
            </w:pPr>
            <w:r>
              <w:rPr>
                <w:rFonts w:hint="eastAsia" w:ascii="华文中宋" w:hAnsi="华文中宋" w:eastAsia="华文中宋" w:cs="华文中宋"/>
                <w:b/>
                <w:bCs/>
                <w:kern w:val="0"/>
                <w:szCs w:val="21"/>
              </w:rPr>
              <w:t>S42</w:t>
            </w:r>
          </w:p>
        </w:tc>
        <w:tc>
          <w:tcPr>
            <w:tcW w:w="3105" w:type="dxa"/>
            <w:tcBorders>
              <w:top w:val="nil"/>
              <w:left w:val="nil"/>
              <w:bottom w:val="single" w:color="auto" w:sz="4" w:space="0"/>
              <w:right w:val="single" w:color="auto" w:sz="4" w:space="0"/>
            </w:tcBorders>
            <w:shd w:val="clear" w:color="auto" w:fill="auto"/>
            <w:vAlign w:val="center"/>
          </w:tcPr>
          <w:p>
            <w:pPr>
              <w:widowControl/>
              <w:jc w:val="center"/>
              <w:rPr>
                <w:rFonts w:ascii="华文中宋" w:hAnsi="华文中宋" w:eastAsia="华文中宋" w:cs="华文中宋"/>
                <w:b/>
                <w:bCs/>
                <w:kern w:val="0"/>
                <w:szCs w:val="21"/>
              </w:rPr>
            </w:pPr>
            <w:r>
              <w:rPr>
                <w:rFonts w:hint="eastAsia" w:ascii="华文中宋" w:hAnsi="华文中宋" w:eastAsia="华文中宋" w:cs="华文中宋"/>
                <w:b/>
                <w:bCs/>
                <w:kern w:val="0"/>
                <w:szCs w:val="21"/>
              </w:rPr>
              <w:t>社会停车场用地</w:t>
            </w:r>
          </w:p>
        </w:tc>
        <w:tc>
          <w:tcPr>
            <w:tcW w:w="1907" w:type="dxa"/>
            <w:tcBorders>
              <w:top w:val="nil"/>
              <w:left w:val="nil"/>
              <w:bottom w:val="single" w:color="auto" w:sz="4" w:space="0"/>
              <w:right w:val="single" w:color="auto" w:sz="4" w:space="0"/>
            </w:tcBorders>
            <w:shd w:val="clear" w:color="auto" w:fill="auto"/>
            <w:vAlign w:val="center"/>
          </w:tcPr>
          <w:p>
            <w:pPr>
              <w:widowControl/>
              <w:jc w:val="center"/>
              <w:rPr>
                <w:rFonts w:ascii="华文中宋" w:hAnsi="华文中宋" w:eastAsia="华文中宋" w:cs="华文中宋"/>
                <w:b/>
                <w:bCs/>
                <w:szCs w:val="21"/>
              </w:rPr>
            </w:pPr>
            <w:r>
              <w:rPr>
                <w:rFonts w:hint="eastAsia" w:ascii="华文中宋" w:hAnsi="华文中宋" w:eastAsia="华文中宋" w:cs="华文中宋"/>
                <w:b/>
                <w:bCs/>
                <w:szCs w:val="21"/>
              </w:rPr>
              <w:t>15.84</w:t>
            </w:r>
          </w:p>
        </w:tc>
        <w:tc>
          <w:tcPr>
            <w:tcW w:w="1896" w:type="dxa"/>
            <w:tcBorders>
              <w:top w:val="nil"/>
              <w:left w:val="nil"/>
              <w:bottom w:val="single" w:color="auto" w:sz="4" w:space="0"/>
              <w:right w:val="single" w:color="auto" w:sz="4" w:space="0"/>
            </w:tcBorders>
            <w:shd w:val="clear" w:color="auto" w:fill="FBD4B4" w:themeFill="accent6" w:themeFillTint="66"/>
            <w:vAlign w:val="center"/>
          </w:tcPr>
          <w:p>
            <w:pPr>
              <w:widowControl/>
              <w:jc w:val="center"/>
              <w:rPr>
                <w:rFonts w:ascii="华文中宋" w:hAnsi="华文中宋" w:eastAsia="华文中宋" w:cs="华文中宋"/>
                <w:b/>
                <w:bCs/>
                <w:szCs w:val="21"/>
              </w:rPr>
            </w:pPr>
            <w:r>
              <w:rPr>
                <w:rFonts w:hint="eastAsia" w:ascii="华文中宋" w:hAnsi="华文中宋" w:eastAsia="华文中宋" w:cs="华文中宋"/>
                <w:b/>
                <w:bCs/>
                <w:szCs w:val="21"/>
              </w:rPr>
              <w:t>15.80</w:t>
            </w:r>
          </w:p>
        </w:tc>
      </w:tr>
      <w:tr>
        <w:tblPrEx>
          <w:tblCellMar>
            <w:top w:w="0" w:type="dxa"/>
            <w:left w:w="108" w:type="dxa"/>
            <w:bottom w:w="0" w:type="dxa"/>
            <w:right w:w="108" w:type="dxa"/>
          </w:tblCellMar>
        </w:tblPrEx>
        <w:trPr>
          <w:trHeight w:val="513" w:hRule="atLeast"/>
          <w:jc w:val="center"/>
        </w:trPr>
        <w:tc>
          <w:tcPr>
            <w:tcW w:w="792" w:type="dxa"/>
            <w:vMerge w:val="restart"/>
            <w:tcBorders>
              <w:top w:val="nil"/>
              <w:left w:val="single" w:color="auto" w:sz="4" w:space="0"/>
              <w:right w:val="single" w:color="auto" w:sz="4" w:space="0"/>
            </w:tcBorders>
            <w:shd w:val="clear" w:color="auto" w:fill="auto"/>
            <w:vAlign w:val="center"/>
          </w:tcPr>
          <w:p>
            <w:pPr>
              <w:widowControl/>
              <w:jc w:val="center"/>
              <w:rPr>
                <w:rFonts w:ascii="华文中宋" w:hAnsi="华文中宋" w:eastAsia="华文中宋" w:cs="华文中宋"/>
                <w:b/>
                <w:bCs/>
                <w:kern w:val="0"/>
                <w:szCs w:val="21"/>
              </w:rPr>
            </w:pPr>
            <w:r>
              <w:rPr>
                <w:rFonts w:hint="eastAsia" w:ascii="华文中宋" w:hAnsi="华文中宋" w:eastAsia="华文中宋" w:cs="华文中宋"/>
                <w:b/>
                <w:bCs/>
                <w:kern w:val="0"/>
                <w:szCs w:val="21"/>
              </w:rPr>
              <w:t>U</w:t>
            </w:r>
          </w:p>
        </w:tc>
        <w:tc>
          <w:tcPr>
            <w:tcW w:w="1056" w:type="dxa"/>
            <w:tcBorders>
              <w:top w:val="nil"/>
              <w:left w:val="nil"/>
              <w:bottom w:val="single" w:color="auto" w:sz="4" w:space="0"/>
              <w:right w:val="single" w:color="auto" w:sz="4" w:space="0"/>
            </w:tcBorders>
            <w:shd w:val="clear" w:color="auto" w:fill="auto"/>
            <w:vAlign w:val="center"/>
          </w:tcPr>
          <w:p>
            <w:pPr>
              <w:widowControl/>
              <w:jc w:val="center"/>
              <w:rPr>
                <w:rFonts w:ascii="华文中宋" w:hAnsi="华文中宋" w:eastAsia="华文中宋" w:cs="华文中宋"/>
                <w:b/>
                <w:bCs/>
                <w:kern w:val="0"/>
                <w:szCs w:val="21"/>
              </w:rPr>
            </w:pPr>
          </w:p>
        </w:tc>
        <w:tc>
          <w:tcPr>
            <w:tcW w:w="3105" w:type="dxa"/>
            <w:tcBorders>
              <w:top w:val="nil"/>
              <w:left w:val="nil"/>
              <w:bottom w:val="single" w:color="auto" w:sz="4" w:space="0"/>
              <w:right w:val="single" w:color="auto" w:sz="4" w:space="0"/>
            </w:tcBorders>
            <w:shd w:val="clear" w:color="auto" w:fill="auto"/>
            <w:vAlign w:val="center"/>
          </w:tcPr>
          <w:p>
            <w:pPr>
              <w:widowControl/>
              <w:jc w:val="center"/>
              <w:rPr>
                <w:rFonts w:ascii="华文中宋" w:hAnsi="华文中宋" w:eastAsia="华文中宋" w:cs="华文中宋"/>
                <w:b/>
                <w:bCs/>
                <w:kern w:val="0"/>
                <w:szCs w:val="21"/>
              </w:rPr>
            </w:pPr>
            <w:r>
              <w:rPr>
                <w:rFonts w:hint="eastAsia" w:ascii="华文中宋" w:hAnsi="华文中宋" w:eastAsia="华文中宋" w:cs="华文中宋"/>
                <w:b/>
                <w:bCs/>
                <w:kern w:val="0"/>
                <w:szCs w:val="21"/>
              </w:rPr>
              <w:t>公用设施用地</w:t>
            </w:r>
          </w:p>
        </w:tc>
        <w:tc>
          <w:tcPr>
            <w:tcW w:w="1907" w:type="dxa"/>
            <w:tcBorders>
              <w:top w:val="nil"/>
              <w:left w:val="nil"/>
              <w:bottom w:val="single" w:color="auto" w:sz="4" w:space="0"/>
              <w:right w:val="single" w:color="auto" w:sz="4" w:space="0"/>
            </w:tcBorders>
            <w:shd w:val="clear" w:color="auto" w:fill="auto"/>
            <w:vAlign w:val="center"/>
          </w:tcPr>
          <w:p>
            <w:pPr>
              <w:widowControl/>
              <w:jc w:val="center"/>
              <w:textAlignment w:val="center"/>
              <w:rPr>
                <w:rFonts w:ascii="宋体" w:hAnsi="宋体" w:cs="宋体"/>
                <w:color w:val="000000"/>
                <w:sz w:val="24"/>
                <w:szCs w:val="24"/>
              </w:rPr>
            </w:pPr>
            <w:r>
              <w:rPr>
                <w:rFonts w:hint="eastAsia" w:ascii="华文中宋" w:hAnsi="华文中宋" w:eastAsia="华文中宋" w:cs="华文中宋"/>
                <w:b/>
                <w:bCs/>
                <w:szCs w:val="21"/>
              </w:rPr>
              <w:t>29.41</w:t>
            </w:r>
          </w:p>
        </w:tc>
        <w:tc>
          <w:tcPr>
            <w:tcW w:w="1896" w:type="dxa"/>
            <w:tcBorders>
              <w:top w:val="nil"/>
              <w:left w:val="nil"/>
              <w:bottom w:val="single" w:color="auto" w:sz="4" w:space="0"/>
              <w:right w:val="single" w:color="auto" w:sz="4" w:space="0"/>
            </w:tcBorders>
            <w:shd w:val="clear" w:color="auto" w:fill="FBD4B4" w:themeFill="accent6" w:themeFillTint="66"/>
            <w:vAlign w:val="center"/>
          </w:tcPr>
          <w:p>
            <w:pPr>
              <w:widowControl/>
              <w:jc w:val="center"/>
              <w:rPr>
                <w:rFonts w:ascii="华文中宋" w:hAnsi="华文中宋" w:eastAsia="华文中宋" w:cs="华文中宋"/>
                <w:b/>
                <w:bCs/>
                <w:kern w:val="0"/>
                <w:szCs w:val="21"/>
              </w:rPr>
            </w:pPr>
            <w:r>
              <w:rPr>
                <w:rFonts w:hint="eastAsia" w:ascii="华文中宋" w:hAnsi="华文中宋" w:eastAsia="华文中宋" w:cs="华文中宋"/>
                <w:b/>
                <w:bCs/>
                <w:szCs w:val="21"/>
              </w:rPr>
              <w:t>32.62</w:t>
            </w:r>
          </w:p>
        </w:tc>
      </w:tr>
      <w:tr>
        <w:tblPrEx>
          <w:tblCellMar>
            <w:top w:w="0" w:type="dxa"/>
            <w:left w:w="108" w:type="dxa"/>
            <w:bottom w:w="0" w:type="dxa"/>
            <w:right w:w="108" w:type="dxa"/>
          </w:tblCellMar>
        </w:tblPrEx>
        <w:trPr>
          <w:trHeight w:val="513" w:hRule="atLeast"/>
          <w:jc w:val="center"/>
        </w:trPr>
        <w:tc>
          <w:tcPr>
            <w:tcW w:w="792" w:type="dxa"/>
            <w:vMerge w:val="continue"/>
            <w:tcBorders>
              <w:left w:val="single" w:color="auto" w:sz="4" w:space="0"/>
              <w:right w:val="single" w:color="auto" w:sz="4" w:space="0"/>
            </w:tcBorders>
            <w:shd w:val="clear" w:color="auto" w:fill="auto"/>
            <w:vAlign w:val="center"/>
          </w:tcPr>
          <w:p>
            <w:pPr>
              <w:widowControl/>
              <w:jc w:val="center"/>
              <w:rPr>
                <w:rFonts w:ascii="华文中宋" w:hAnsi="华文中宋" w:eastAsia="华文中宋" w:cs="华文中宋"/>
                <w:b/>
                <w:bCs/>
                <w:kern w:val="0"/>
                <w:szCs w:val="21"/>
              </w:rPr>
            </w:pPr>
          </w:p>
        </w:tc>
        <w:tc>
          <w:tcPr>
            <w:tcW w:w="1056" w:type="dxa"/>
            <w:tcBorders>
              <w:top w:val="nil"/>
              <w:left w:val="nil"/>
              <w:bottom w:val="single" w:color="auto" w:sz="4" w:space="0"/>
              <w:right w:val="single" w:color="auto" w:sz="4" w:space="0"/>
            </w:tcBorders>
            <w:shd w:val="clear" w:color="auto" w:fill="auto"/>
            <w:vAlign w:val="center"/>
          </w:tcPr>
          <w:p>
            <w:pPr>
              <w:widowControl/>
              <w:jc w:val="center"/>
              <w:rPr>
                <w:rFonts w:ascii="华文中宋" w:hAnsi="华文中宋" w:eastAsia="华文中宋" w:cs="华文中宋"/>
                <w:b/>
                <w:bCs/>
                <w:kern w:val="0"/>
                <w:szCs w:val="21"/>
              </w:rPr>
            </w:pPr>
            <w:r>
              <w:rPr>
                <w:rFonts w:hint="eastAsia" w:ascii="华文中宋" w:hAnsi="华文中宋" w:eastAsia="华文中宋" w:cs="华文中宋"/>
                <w:b/>
                <w:bCs/>
                <w:kern w:val="0"/>
                <w:szCs w:val="21"/>
              </w:rPr>
              <w:t>U1</w:t>
            </w:r>
          </w:p>
        </w:tc>
        <w:tc>
          <w:tcPr>
            <w:tcW w:w="3105" w:type="dxa"/>
            <w:tcBorders>
              <w:top w:val="nil"/>
              <w:left w:val="nil"/>
              <w:bottom w:val="single" w:color="auto" w:sz="4" w:space="0"/>
              <w:right w:val="single" w:color="auto" w:sz="4" w:space="0"/>
            </w:tcBorders>
            <w:shd w:val="clear" w:color="auto" w:fill="auto"/>
            <w:vAlign w:val="center"/>
          </w:tcPr>
          <w:p>
            <w:pPr>
              <w:widowControl/>
              <w:jc w:val="center"/>
              <w:rPr>
                <w:rFonts w:ascii="华文中宋" w:hAnsi="华文中宋" w:eastAsia="华文中宋" w:cs="华文中宋"/>
                <w:b/>
                <w:bCs/>
                <w:kern w:val="0"/>
                <w:szCs w:val="21"/>
              </w:rPr>
            </w:pPr>
            <w:r>
              <w:rPr>
                <w:rFonts w:hint="eastAsia" w:ascii="华文中宋" w:hAnsi="华文中宋" w:eastAsia="华文中宋" w:cs="华文中宋"/>
                <w:b/>
                <w:bCs/>
                <w:kern w:val="0"/>
                <w:szCs w:val="21"/>
              </w:rPr>
              <w:t>供应设施用地</w:t>
            </w:r>
          </w:p>
        </w:tc>
        <w:tc>
          <w:tcPr>
            <w:tcW w:w="1907" w:type="dxa"/>
            <w:tcBorders>
              <w:top w:val="nil"/>
              <w:left w:val="nil"/>
              <w:bottom w:val="single" w:color="auto" w:sz="4" w:space="0"/>
              <w:right w:val="single" w:color="auto" w:sz="4" w:space="0"/>
            </w:tcBorders>
            <w:shd w:val="clear" w:color="auto" w:fill="auto"/>
            <w:vAlign w:val="center"/>
          </w:tcPr>
          <w:p>
            <w:pPr>
              <w:widowControl/>
              <w:jc w:val="center"/>
              <w:rPr>
                <w:rFonts w:ascii="华文中宋" w:hAnsi="华文中宋" w:eastAsia="华文中宋" w:cs="华文中宋"/>
                <w:b/>
                <w:bCs/>
                <w:kern w:val="0"/>
                <w:szCs w:val="21"/>
              </w:rPr>
            </w:pPr>
            <w:r>
              <w:rPr>
                <w:rFonts w:hint="eastAsia" w:ascii="华文中宋" w:hAnsi="华文中宋" w:eastAsia="华文中宋" w:cs="华文中宋"/>
                <w:b/>
                <w:bCs/>
                <w:szCs w:val="21"/>
              </w:rPr>
              <w:t>17.05</w:t>
            </w:r>
          </w:p>
        </w:tc>
        <w:tc>
          <w:tcPr>
            <w:tcW w:w="1896" w:type="dxa"/>
            <w:tcBorders>
              <w:top w:val="nil"/>
              <w:left w:val="nil"/>
              <w:bottom w:val="single" w:color="auto" w:sz="4" w:space="0"/>
              <w:right w:val="single" w:color="auto" w:sz="4" w:space="0"/>
            </w:tcBorders>
            <w:shd w:val="clear" w:color="auto" w:fill="FBD4B4" w:themeFill="accent6" w:themeFillTint="66"/>
            <w:vAlign w:val="center"/>
          </w:tcPr>
          <w:p>
            <w:pPr>
              <w:widowControl/>
              <w:jc w:val="center"/>
              <w:rPr>
                <w:rFonts w:ascii="华文中宋" w:hAnsi="华文中宋" w:eastAsia="华文中宋" w:cs="华文中宋"/>
                <w:b/>
                <w:bCs/>
                <w:kern w:val="0"/>
                <w:szCs w:val="21"/>
              </w:rPr>
            </w:pPr>
            <w:r>
              <w:rPr>
                <w:rFonts w:hint="eastAsia" w:ascii="华文中宋" w:hAnsi="华文中宋" w:eastAsia="华文中宋" w:cs="华文中宋"/>
                <w:b/>
                <w:bCs/>
                <w:kern w:val="0"/>
                <w:szCs w:val="21"/>
              </w:rPr>
              <w:t>16.93</w:t>
            </w:r>
          </w:p>
        </w:tc>
      </w:tr>
      <w:tr>
        <w:tblPrEx>
          <w:tblCellMar>
            <w:top w:w="0" w:type="dxa"/>
            <w:left w:w="108" w:type="dxa"/>
            <w:bottom w:w="0" w:type="dxa"/>
            <w:right w:w="108" w:type="dxa"/>
          </w:tblCellMar>
        </w:tblPrEx>
        <w:trPr>
          <w:trHeight w:val="513" w:hRule="atLeast"/>
          <w:jc w:val="center"/>
        </w:trPr>
        <w:tc>
          <w:tcPr>
            <w:tcW w:w="792" w:type="dxa"/>
            <w:vMerge w:val="continue"/>
            <w:tcBorders>
              <w:left w:val="single" w:color="auto" w:sz="4" w:space="0"/>
              <w:right w:val="single" w:color="auto" w:sz="4" w:space="0"/>
            </w:tcBorders>
            <w:shd w:val="clear" w:color="auto" w:fill="auto"/>
            <w:vAlign w:val="center"/>
          </w:tcPr>
          <w:p>
            <w:pPr>
              <w:widowControl/>
              <w:jc w:val="center"/>
              <w:rPr>
                <w:rFonts w:ascii="华文中宋" w:hAnsi="华文中宋" w:eastAsia="华文中宋" w:cs="华文中宋"/>
                <w:b/>
                <w:bCs/>
                <w:kern w:val="0"/>
                <w:szCs w:val="21"/>
              </w:rPr>
            </w:pPr>
          </w:p>
        </w:tc>
        <w:tc>
          <w:tcPr>
            <w:tcW w:w="1056" w:type="dxa"/>
            <w:tcBorders>
              <w:top w:val="nil"/>
              <w:left w:val="nil"/>
              <w:bottom w:val="single" w:color="auto" w:sz="4" w:space="0"/>
              <w:right w:val="single" w:color="auto" w:sz="4" w:space="0"/>
            </w:tcBorders>
            <w:shd w:val="clear" w:color="auto" w:fill="auto"/>
            <w:vAlign w:val="center"/>
          </w:tcPr>
          <w:p>
            <w:pPr>
              <w:widowControl/>
              <w:jc w:val="center"/>
              <w:rPr>
                <w:rFonts w:ascii="华文中宋" w:hAnsi="华文中宋" w:eastAsia="华文中宋" w:cs="华文中宋"/>
                <w:b/>
                <w:bCs/>
                <w:kern w:val="0"/>
                <w:szCs w:val="21"/>
              </w:rPr>
            </w:pPr>
            <w:r>
              <w:rPr>
                <w:rFonts w:hint="eastAsia" w:ascii="华文中宋" w:hAnsi="华文中宋" w:eastAsia="华文中宋" w:cs="华文中宋"/>
                <w:b/>
                <w:bCs/>
                <w:kern w:val="0"/>
                <w:szCs w:val="21"/>
              </w:rPr>
              <w:t>U2</w:t>
            </w:r>
          </w:p>
        </w:tc>
        <w:tc>
          <w:tcPr>
            <w:tcW w:w="3105" w:type="dxa"/>
            <w:tcBorders>
              <w:top w:val="nil"/>
              <w:left w:val="nil"/>
              <w:bottom w:val="single" w:color="auto" w:sz="4" w:space="0"/>
              <w:right w:val="single" w:color="auto" w:sz="4" w:space="0"/>
            </w:tcBorders>
            <w:shd w:val="clear" w:color="auto" w:fill="auto"/>
            <w:vAlign w:val="center"/>
          </w:tcPr>
          <w:p>
            <w:pPr>
              <w:widowControl/>
              <w:jc w:val="center"/>
              <w:rPr>
                <w:rFonts w:ascii="华文中宋" w:hAnsi="华文中宋" w:eastAsia="华文中宋" w:cs="华文中宋"/>
                <w:b/>
                <w:bCs/>
                <w:kern w:val="0"/>
                <w:szCs w:val="21"/>
              </w:rPr>
            </w:pPr>
            <w:r>
              <w:rPr>
                <w:rFonts w:hint="eastAsia" w:ascii="华文中宋" w:hAnsi="华文中宋" w:eastAsia="华文中宋" w:cs="华文中宋"/>
                <w:b/>
                <w:bCs/>
                <w:kern w:val="0"/>
                <w:szCs w:val="21"/>
              </w:rPr>
              <w:t>环境设施用地</w:t>
            </w:r>
          </w:p>
        </w:tc>
        <w:tc>
          <w:tcPr>
            <w:tcW w:w="1907" w:type="dxa"/>
            <w:tcBorders>
              <w:top w:val="nil"/>
              <w:left w:val="nil"/>
              <w:bottom w:val="single" w:color="auto" w:sz="4" w:space="0"/>
              <w:right w:val="single" w:color="auto" w:sz="4" w:space="0"/>
            </w:tcBorders>
            <w:shd w:val="clear" w:color="auto" w:fill="auto"/>
            <w:vAlign w:val="center"/>
          </w:tcPr>
          <w:p>
            <w:pPr>
              <w:widowControl/>
              <w:jc w:val="center"/>
              <w:rPr>
                <w:rFonts w:ascii="华文中宋" w:hAnsi="华文中宋" w:eastAsia="华文中宋" w:cs="华文中宋"/>
                <w:b/>
                <w:bCs/>
                <w:kern w:val="0"/>
                <w:szCs w:val="21"/>
              </w:rPr>
            </w:pPr>
            <w:r>
              <w:rPr>
                <w:rFonts w:hint="eastAsia" w:ascii="华文中宋" w:hAnsi="华文中宋" w:eastAsia="华文中宋" w:cs="华文中宋"/>
                <w:b/>
                <w:bCs/>
                <w:szCs w:val="21"/>
              </w:rPr>
              <w:t>8.81</w:t>
            </w:r>
          </w:p>
        </w:tc>
        <w:tc>
          <w:tcPr>
            <w:tcW w:w="1896" w:type="dxa"/>
            <w:tcBorders>
              <w:top w:val="nil"/>
              <w:left w:val="nil"/>
              <w:bottom w:val="single" w:color="auto" w:sz="4" w:space="0"/>
              <w:right w:val="single" w:color="auto" w:sz="4" w:space="0"/>
            </w:tcBorders>
            <w:shd w:val="clear" w:color="auto" w:fill="FBD4B4" w:themeFill="accent6" w:themeFillTint="66"/>
            <w:vAlign w:val="center"/>
          </w:tcPr>
          <w:p>
            <w:pPr>
              <w:widowControl/>
              <w:jc w:val="center"/>
              <w:rPr>
                <w:rFonts w:ascii="华文中宋" w:hAnsi="华文中宋" w:eastAsia="华文中宋" w:cs="华文中宋"/>
                <w:b/>
                <w:bCs/>
                <w:kern w:val="0"/>
                <w:szCs w:val="21"/>
              </w:rPr>
            </w:pPr>
            <w:r>
              <w:rPr>
                <w:rFonts w:hint="eastAsia" w:ascii="华文中宋" w:hAnsi="华文中宋" w:eastAsia="华文中宋" w:cs="华文中宋"/>
                <w:b/>
                <w:bCs/>
                <w:kern w:val="0"/>
                <w:szCs w:val="21"/>
              </w:rPr>
              <w:t>11.35</w:t>
            </w:r>
          </w:p>
        </w:tc>
      </w:tr>
      <w:tr>
        <w:tblPrEx>
          <w:tblCellMar>
            <w:top w:w="0" w:type="dxa"/>
            <w:left w:w="108" w:type="dxa"/>
            <w:bottom w:w="0" w:type="dxa"/>
            <w:right w:w="108" w:type="dxa"/>
          </w:tblCellMar>
        </w:tblPrEx>
        <w:trPr>
          <w:trHeight w:val="513" w:hRule="atLeast"/>
          <w:jc w:val="center"/>
        </w:trPr>
        <w:tc>
          <w:tcPr>
            <w:tcW w:w="792" w:type="dxa"/>
            <w:vMerge w:val="continue"/>
            <w:tcBorders>
              <w:left w:val="single" w:color="auto" w:sz="4" w:space="0"/>
              <w:bottom w:val="single" w:color="auto" w:sz="4" w:space="0"/>
              <w:right w:val="single" w:color="auto" w:sz="4" w:space="0"/>
            </w:tcBorders>
            <w:shd w:val="clear" w:color="auto" w:fill="auto"/>
            <w:vAlign w:val="center"/>
          </w:tcPr>
          <w:p>
            <w:pPr>
              <w:widowControl/>
              <w:jc w:val="center"/>
              <w:rPr>
                <w:rFonts w:ascii="华文中宋" w:hAnsi="华文中宋" w:eastAsia="华文中宋" w:cs="华文中宋"/>
                <w:b/>
                <w:bCs/>
                <w:kern w:val="0"/>
                <w:szCs w:val="21"/>
              </w:rPr>
            </w:pPr>
          </w:p>
        </w:tc>
        <w:tc>
          <w:tcPr>
            <w:tcW w:w="1056" w:type="dxa"/>
            <w:tcBorders>
              <w:top w:val="nil"/>
              <w:left w:val="nil"/>
              <w:bottom w:val="single" w:color="auto" w:sz="4" w:space="0"/>
              <w:right w:val="single" w:color="auto" w:sz="4" w:space="0"/>
            </w:tcBorders>
            <w:shd w:val="clear" w:color="auto" w:fill="auto"/>
            <w:vAlign w:val="center"/>
          </w:tcPr>
          <w:p>
            <w:pPr>
              <w:widowControl/>
              <w:jc w:val="center"/>
              <w:rPr>
                <w:rFonts w:ascii="华文中宋" w:hAnsi="华文中宋" w:eastAsia="华文中宋" w:cs="华文中宋"/>
                <w:b/>
                <w:bCs/>
                <w:kern w:val="0"/>
                <w:szCs w:val="21"/>
              </w:rPr>
            </w:pPr>
            <w:r>
              <w:rPr>
                <w:rFonts w:hint="eastAsia" w:ascii="华文中宋" w:hAnsi="华文中宋" w:eastAsia="华文中宋" w:cs="华文中宋"/>
                <w:b/>
                <w:bCs/>
                <w:kern w:val="0"/>
                <w:szCs w:val="21"/>
              </w:rPr>
              <w:t>U3</w:t>
            </w:r>
          </w:p>
        </w:tc>
        <w:tc>
          <w:tcPr>
            <w:tcW w:w="3105" w:type="dxa"/>
            <w:tcBorders>
              <w:top w:val="nil"/>
              <w:left w:val="nil"/>
              <w:bottom w:val="single" w:color="auto" w:sz="4" w:space="0"/>
              <w:right w:val="single" w:color="auto" w:sz="4" w:space="0"/>
            </w:tcBorders>
            <w:shd w:val="clear" w:color="auto" w:fill="auto"/>
            <w:vAlign w:val="center"/>
          </w:tcPr>
          <w:p>
            <w:pPr>
              <w:widowControl/>
              <w:jc w:val="center"/>
              <w:rPr>
                <w:rFonts w:ascii="华文中宋" w:hAnsi="华文中宋" w:eastAsia="华文中宋" w:cs="华文中宋"/>
                <w:b/>
                <w:bCs/>
                <w:kern w:val="0"/>
                <w:szCs w:val="21"/>
              </w:rPr>
            </w:pPr>
            <w:r>
              <w:rPr>
                <w:rFonts w:hint="eastAsia" w:ascii="华文中宋" w:hAnsi="华文中宋" w:eastAsia="华文中宋" w:cs="华文中宋"/>
                <w:b/>
                <w:bCs/>
                <w:kern w:val="0"/>
                <w:szCs w:val="21"/>
              </w:rPr>
              <w:t>安全设施用地</w:t>
            </w:r>
          </w:p>
        </w:tc>
        <w:tc>
          <w:tcPr>
            <w:tcW w:w="1907" w:type="dxa"/>
            <w:tcBorders>
              <w:top w:val="nil"/>
              <w:left w:val="nil"/>
              <w:bottom w:val="single" w:color="auto" w:sz="4" w:space="0"/>
              <w:right w:val="single" w:color="auto" w:sz="4" w:space="0"/>
            </w:tcBorders>
            <w:shd w:val="clear" w:color="auto" w:fill="auto"/>
            <w:vAlign w:val="center"/>
          </w:tcPr>
          <w:p>
            <w:pPr>
              <w:widowControl/>
              <w:jc w:val="center"/>
              <w:rPr>
                <w:rFonts w:ascii="华文中宋" w:hAnsi="华文中宋" w:eastAsia="华文中宋" w:cs="华文中宋"/>
                <w:b/>
                <w:bCs/>
                <w:kern w:val="0"/>
                <w:szCs w:val="21"/>
              </w:rPr>
            </w:pPr>
            <w:r>
              <w:rPr>
                <w:rFonts w:hint="eastAsia" w:ascii="华文中宋" w:hAnsi="华文中宋" w:eastAsia="华文中宋" w:cs="华文中宋"/>
                <w:b/>
                <w:bCs/>
                <w:szCs w:val="21"/>
              </w:rPr>
              <w:t>3.56</w:t>
            </w:r>
          </w:p>
        </w:tc>
        <w:tc>
          <w:tcPr>
            <w:tcW w:w="1896" w:type="dxa"/>
            <w:tcBorders>
              <w:top w:val="nil"/>
              <w:left w:val="nil"/>
              <w:bottom w:val="single" w:color="auto" w:sz="4" w:space="0"/>
              <w:right w:val="single" w:color="auto" w:sz="4" w:space="0"/>
            </w:tcBorders>
            <w:shd w:val="clear" w:color="auto" w:fill="FBD4B4" w:themeFill="accent6" w:themeFillTint="66"/>
            <w:vAlign w:val="center"/>
          </w:tcPr>
          <w:p>
            <w:pPr>
              <w:widowControl/>
              <w:jc w:val="center"/>
              <w:rPr>
                <w:rFonts w:ascii="华文中宋" w:hAnsi="华文中宋" w:eastAsia="华文中宋" w:cs="华文中宋"/>
                <w:b/>
                <w:bCs/>
                <w:kern w:val="0"/>
                <w:szCs w:val="21"/>
              </w:rPr>
            </w:pPr>
            <w:r>
              <w:rPr>
                <w:rFonts w:hint="eastAsia" w:ascii="华文中宋" w:hAnsi="华文中宋" w:eastAsia="华文中宋" w:cs="华文中宋"/>
                <w:b/>
                <w:bCs/>
                <w:kern w:val="0"/>
                <w:szCs w:val="21"/>
              </w:rPr>
              <w:t>4.34</w:t>
            </w:r>
          </w:p>
        </w:tc>
      </w:tr>
      <w:tr>
        <w:tblPrEx>
          <w:tblCellMar>
            <w:top w:w="0" w:type="dxa"/>
            <w:left w:w="108" w:type="dxa"/>
            <w:bottom w:w="0" w:type="dxa"/>
            <w:right w:w="108" w:type="dxa"/>
          </w:tblCellMar>
        </w:tblPrEx>
        <w:trPr>
          <w:trHeight w:val="513" w:hRule="atLeast"/>
          <w:jc w:val="center"/>
        </w:trPr>
        <w:tc>
          <w:tcPr>
            <w:tcW w:w="792" w:type="dxa"/>
            <w:vMerge w:val="restart"/>
            <w:tcBorders>
              <w:top w:val="nil"/>
              <w:left w:val="single" w:color="auto" w:sz="4" w:space="0"/>
              <w:right w:val="single" w:color="auto" w:sz="4" w:space="0"/>
            </w:tcBorders>
            <w:shd w:val="clear" w:color="auto" w:fill="auto"/>
            <w:vAlign w:val="center"/>
          </w:tcPr>
          <w:p>
            <w:pPr>
              <w:widowControl/>
              <w:jc w:val="center"/>
              <w:rPr>
                <w:rFonts w:ascii="华文中宋" w:hAnsi="华文中宋" w:eastAsia="华文中宋" w:cs="华文中宋"/>
                <w:b/>
                <w:bCs/>
                <w:kern w:val="0"/>
                <w:szCs w:val="21"/>
              </w:rPr>
            </w:pPr>
            <w:r>
              <w:rPr>
                <w:rFonts w:hint="eastAsia" w:ascii="华文中宋" w:hAnsi="华文中宋" w:eastAsia="华文中宋" w:cs="华文中宋"/>
                <w:b/>
                <w:bCs/>
                <w:kern w:val="0"/>
                <w:szCs w:val="21"/>
              </w:rPr>
              <w:t>G</w:t>
            </w:r>
          </w:p>
        </w:tc>
        <w:tc>
          <w:tcPr>
            <w:tcW w:w="1056" w:type="dxa"/>
            <w:tcBorders>
              <w:top w:val="nil"/>
              <w:left w:val="nil"/>
              <w:bottom w:val="single" w:color="auto" w:sz="4" w:space="0"/>
              <w:right w:val="single" w:color="auto" w:sz="4" w:space="0"/>
            </w:tcBorders>
            <w:shd w:val="clear" w:color="auto" w:fill="auto"/>
            <w:vAlign w:val="center"/>
          </w:tcPr>
          <w:p>
            <w:pPr>
              <w:widowControl/>
              <w:jc w:val="center"/>
              <w:rPr>
                <w:rFonts w:ascii="华文中宋" w:hAnsi="华文中宋" w:eastAsia="华文中宋" w:cs="华文中宋"/>
                <w:b/>
                <w:bCs/>
                <w:kern w:val="0"/>
                <w:szCs w:val="21"/>
              </w:rPr>
            </w:pPr>
          </w:p>
        </w:tc>
        <w:tc>
          <w:tcPr>
            <w:tcW w:w="3105" w:type="dxa"/>
            <w:tcBorders>
              <w:top w:val="nil"/>
              <w:left w:val="nil"/>
              <w:bottom w:val="single" w:color="auto" w:sz="4" w:space="0"/>
              <w:right w:val="single" w:color="auto" w:sz="4" w:space="0"/>
            </w:tcBorders>
            <w:shd w:val="clear" w:color="auto" w:fill="auto"/>
            <w:vAlign w:val="center"/>
          </w:tcPr>
          <w:p>
            <w:pPr>
              <w:widowControl/>
              <w:jc w:val="center"/>
              <w:rPr>
                <w:rFonts w:ascii="华文中宋" w:hAnsi="华文中宋" w:eastAsia="华文中宋" w:cs="华文中宋"/>
                <w:b/>
                <w:bCs/>
                <w:kern w:val="0"/>
                <w:szCs w:val="21"/>
              </w:rPr>
            </w:pPr>
            <w:r>
              <w:rPr>
                <w:rFonts w:hint="eastAsia" w:ascii="华文中宋" w:hAnsi="华文中宋" w:eastAsia="华文中宋" w:cs="华文中宋"/>
                <w:b/>
                <w:bCs/>
                <w:kern w:val="0"/>
                <w:szCs w:val="21"/>
              </w:rPr>
              <w:t>绿地与广场用地</w:t>
            </w:r>
          </w:p>
        </w:tc>
        <w:tc>
          <w:tcPr>
            <w:tcW w:w="1907" w:type="dxa"/>
            <w:tcBorders>
              <w:top w:val="nil"/>
              <w:left w:val="nil"/>
              <w:bottom w:val="single" w:color="auto" w:sz="4" w:space="0"/>
              <w:right w:val="single" w:color="auto" w:sz="4" w:space="0"/>
            </w:tcBorders>
            <w:shd w:val="clear" w:color="auto" w:fill="auto"/>
            <w:vAlign w:val="center"/>
          </w:tcPr>
          <w:p>
            <w:pPr>
              <w:widowControl/>
              <w:jc w:val="center"/>
              <w:rPr>
                <w:rFonts w:ascii="华文中宋" w:hAnsi="华文中宋" w:eastAsia="华文中宋" w:cs="华文中宋"/>
                <w:b/>
                <w:bCs/>
                <w:kern w:val="0"/>
                <w:szCs w:val="21"/>
              </w:rPr>
            </w:pPr>
            <w:r>
              <w:rPr>
                <w:rFonts w:hint="eastAsia" w:ascii="华文中宋" w:hAnsi="华文中宋" w:eastAsia="华文中宋" w:cs="华文中宋"/>
                <w:b/>
                <w:bCs/>
                <w:szCs w:val="21"/>
              </w:rPr>
              <w:t>497.60</w:t>
            </w:r>
          </w:p>
        </w:tc>
        <w:tc>
          <w:tcPr>
            <w:tcW w:w="1896" w:type="dxa"/>
            <w:tcBorders>
              <w:top w:val="nil"/>
              <w:left w:val="nil"/>
              <w:bottom w:val="single" w:color="auto" w:sz="4" w:space="0"/>
              <w:right w:val="single" w:color="auto" w:sz="4" w:space="0"/>
            </w:tcBorders>
            <w:shd w:val="clear" w:color="auto" w:fill="FBD4B4" w:themeFill="accent6" w:themeFillTint="66"/>
            <w:vAlign w:val="center"/>
          </w:tcPr>
          <w:p>
            <w:pPr>
              <w:widowControl/>
              <w:jc w:val="center"/>
              <w:rPr>
                <w:rFonts w:hint="default" w:ascii="华文中宋" w:hAnsi="华文中宋" w:eastAsia="华文中宋" w:cs="华文中宋"/>
                <w:b/>
                <w:bCs/>
                <w:kern w:val="0"/>
                <w:szCs w:val="21"/>
                <w:lang w:val="en-US" w:eastAsia="zh-CN"/>
              </w:rPr>
            </w:pPr>
            <w:r>
              <w:rPr>
                <w:rFonts w:hint="eastAsia" w:ascii="华文中宋" w:hAnsi="华文中宋" w:eastAsia="华文中宋" w:cs="华文中宋"/>
                <w:b/>
                <w:bCs/>
                <w:szCs w:val="21"/>
              </w:rPr>
              <w:t>19</w:t>
            </w:r>
            <w:r>
              <w:rPr>
                <w:rFonts w:hint="eastAsia" w:ascii="华文中宋" w:hAnsi="华文中宋" w:eastAsia="华文中宋" w:cs="华文中宋"/>
                <w:b/>
                <w:bCs/>
                <w:szCs w:val="21"/>
                <w:lang w:val="en-US" w:eastAsia="zh-CN"/>
              </w:rPr>
              <w:t>5.21</w:t>
            </w:r>
          </w:p>
        </w:tc>
      </w:tr>
      <w:tr>
        <w:tblPrEx>
          <w:tblCellMar>
            <w:top w:w="0" w:type="dxa"/>
            <w:left w:w="108" w:type="dxa"/>
            <w:bottom w:w="0" w:type="dxa"/>
            <w:right w:w="108" w:type="dxa"/>
          </w:tblCellMar>
        </w:tblPrEx>
        <w:trPr>
          <w:trHeight w:val="513" w:hRule="atLeast"/>
          <w:jc w:val="center"/>
        </w:trPr>
        <w:tc>
          <w:tcPr>
            <w:tcW w:w="792" w:type="dxa"/>
            <w:vMerge w:val="continue"/>
            <w:tcBorders>
              <w:left w:val="single" w:color="auto" w:sz="4" w:space="0"/>
              <w:right w:val="single" w:color="auto" w:sz="4" w:space="0"/>
            </w:tcBorders>
            <w:shd w:val="clear" w:color="auto" w:fill="auto"/>
            <w:vAlign w:val="center"/>
          </w:tcPr>
          <w:p>
            <w:pPr>
              <w:jc w:val="center"/>
              <w:rPr>
                <w:rFonts w:ascii="华文中宋" w:hAnsi="华文中宋" w:eastAsia="华文中宋" w:cs="华文中宋"/>
                <w:b/>
                <w:bCs/>
                <w:kern w:val="0"/>
                <w:szCs w:val="21"/>
              </w:rPr>
            </w:pPr>
          </w:p>
        </w:tc>
        <w:tc>
          <w:tcPr>
            <w:tcW w:w="1056" w:type="dxa"/>
            <w:tcBorders>
              <w:top w:val="nil"/>
              <w:left w:val="nil"/>
              <w:bottom w:val="single" w:color="auto" w:sz="4" w:space="0"/>
              <w:right w:val="single" w:color="auto" w:sz="4" w:space="0"/>
            </w:tcBorders>
            <w:shd w:val="clear" w:color="auto" w:fill="auto"/>
            <w:vAlign w:val="center"/>
          </w:tcPr>
          <w:p>
            <w:pPr>
              <w:widowControl/>
              <w:jc w:val="center"/>
              <w:rPr>
                <w:rFonts w:ascii="华文中宋" w:hAnsi="华文中宋" w:eastAsia="华文中宋" w:cs="华文中宋"/>
                <w:b/>
                <w:bCs/>
                <w:kern w:val="0"/>
                <w:szCs w:val="21"/>
              </w:rPr>
            </w:pPr>
            <w:r>
              <w:rPr>
                <w:rFonts w:hint="eastAsia" w:ascii="华文中宋" w:hAnsi="华文中宋" w:eastAsia="华文中宋" w:cs="华文中宋"/>
                <w:b/>
                <w:bCs/>
                <w:kern w:val="0"/>
                <w:szCs w:val="21"/>
              </w:rPr>
              <w:t>G1</w:t>
            </w:r>
          </w:p>
        </w:tc>
        <w:tc>
          <w:tcPr>
            <w:tcW w:w="3105" w:type="dxa"/>
            <w:tcBorders>
              <w:top w:val="nil"/>
              <w:left w:val="nil"/>
              <w:bottom w:val="single" w:color="auto" w:sz="4" w:space="0"/>
              <w:right w:val="single" w:color="auto" w:sz="4" w:space="0"/>
            </w:tcBorders>
            <w:shd w:val="clear" w:color="auto" w:fill="auto"/>
            <w:vAlign w:val="center"/>
          </w:tcPr>
          <w:p>
            <w:pPr>
              <w:widowControl/>
              <w:jc w:val="center"/>
              <w:rPr>
                <w:rFonts w:ascii="华文中宋" w:hAnsi="华文中宋" w:eastAsia="华文中宋" w:cs="华文中宋"/>
                <w:b/>
                <w:bCs/>
                <w:kern w:val="0"/>
                <w:szCs w:val="21"/>
              </w:rPr>
            </w:pPr>
            <w:r>
              <w:rPr>
                <w:rFonts w:hint="eastAsia" w:ascii="华文中宋" w:hAnsi="华文中宋" w:eastAsia="华文中宋" w:cs="华文中宋"/>
                <w:b/>
                <w:bCs/>
                <w:kern w:val="0"/>
                <w:szCs w:val="21"/>
              </w:rPr>
              <w:t>公园绿地</w:t>
            </w:r>
          </w:p>
        </w:tc>
        <w:tc>
          <w:tcPr>
            <w:tcW w:w="1907" w:type="dxa"/>
            <w:tcBorders>
              <w:top w:val="nil"/>
              <w:left w:val="nil"/>
              <w:bottom w:val="single" w:color="auto" w:sz="4" w:space="0"/>
              <w:right w:val="single" w:color="auto" w:sz="4" w:space="0"/>
            </w:tcBorders>
            <w:shd w:val="clear" w:color="auto" w:fill="auto"/>
            <w:vAlign w:val="center"/>
          </w:tcPr>
          <w:p>
            <w:pPr>
              <w:widowControl/>
              <w:jc w:val="center"/>
              <w:rPr>
                <w:rFonts w:ascii="华文中宋" w:hAnsi="华文中宋" w:eastAsia="华文中宋" w:cs="华文中宋"/>
                <w:b/>
                <w:bCs/>
                <w:kern w:val="0"/>
                <w:szCs w:val="21"/>
              </w:rPr>
            </w:pPr>
            <w:r>
              <w:rPr>
                <w:rFonts w:hint="eastAsia" w:ascii="华文中宋" w:hAnsi="华文中宋" w:eastAsia="华文中宋" w:cs="华文中宋"/>
                <w:b/>
                <w:bCs/>
                <w:szCs w:val="21"/>
              </w:rPr>
              <w:t>140.01</w:t>
            </w:r>
          </w:p>
        </w:tc>
        <w:tc>
          <w:tcPr>
            <w:tcW w:w="1896" w:type="dxa"/>
            <w:tcBorders>
              <w:top w:val="nil"/>
              <w:left w:val="nil"/>
              <w:bottom w:val="single" w:color="auto" w:sz="4" w:space="0"/>
              <w:right w:val="single" w:color="auto" w:sz="4" w:space="0"/>
            </w:tcBorders>
            <w:shd w:val="clear" w:color="auto" w:fill="FBD4B4" w:themeFill="accent6" w:themeFillTint="66"/>
            <w:vAlign w:val="center"/>
          </w:tcPr>
          <w:p>
            <w:pPr>
              <w:widowControl/>
              <w:jc w:val="center"/>
              <w:rPr>
                <w:rFonts w:hint="default" w:ascii="华文中宋" w:hAnsi="华文中宋" w:eastAsia="华文中宋" w:cs="华文中宋"/>
                <w:b/>
                <w:bCs/>
                <w:kern w:val="0"/>
                <w:szCs w:val="21"/>
                <w:lang w:val="en-US" w:eastAsia="zh-CN"/>
              </w:rPr>
            </w:pPr>
            <w:r>
              <w:rPr>
                <w:rFonts w:hint="eastAsia" w:ascii="华文中宋" w:hAnsi="华文中宋" w:eastAsia="华文中宋" w:cs="华文中宋"/>
                <w:b/>
                <w:bCs/>
                <w:szCs w:val="21"/>
                <w:lang w:val="en-US" w:eastAsia="zh-CN"/>
              </w:rPr>
              <w:t>0.00</w:t>
            </w:r>
          </w:p>
        </w:tc>
      </w:tr>
      <w:tr>
        <w:tblPrEx>
          <w:tblCellMar>
            <w:top w:w="0" w:type="dxa"/>
            <w:left w:w="108" w:type="dxa"/>
            <w:bottom w:w="0" w:type="dxa"/>
            <w:right w:w="108" w:type="dxa"/>
          </w:tblCellMar>
        </w:tblPrEx>
        <w:trPr>
          <w:trHeight w:val="513" w:hRule="atLeast"/>
          <w:jc w:val="center"/>
        </w:trPr>
        <w:tc>
          <w:tcPr>
            <w:tcW w:w="792" w:type="dxa"/>
            <w:vMerge w:val="continue"/>
            <w:tcBorders>
              <w:left w:val="single" w:color="auto" w:sz="4" w:space="0"/>
              <w:right w:val="single" w:color="auto" w:sz="4" w:space="0"/>
            </w:tcBorders>
            <w:shd w:val="clear" w:color="auto" w:fill="auto"/>
            <w:vAlign w:val="center"/>
          </w:tcPr>
          <w:p>
            <w:pPr>
              <w:jc w:val="center"/>
              <w:rPr>
                <w:rFonts w:ascii="华文中宋" w:hAnsi="华文中宋" w:eastAsia="华文中宋" w:cs="华文中宋"/>
                <w:b/>
                <w:bCs/>
                <w:kern w:val="0"/>
                <w:szCs w:val="21"/>
              </w:rPr>
            </w:pPr>
          </w:p>
        </w:tc>
        <w:tc>
          <w:tcPr>
            <w:tcW w:w="1056" w:type="dxa"/>
            <w:tcBorders>
              <w:top w:val="nil"/>
              <w:left w:val="nil"/>
              <w:bottom w:val="single" w:color="auto" w:sz="4" w:space="0"/>
              <w:right w:val="single" w:color="auto" w:sz="4" w:space="0"/>
            </w:tcBorders>
            <w:shd w:val="clear" w:color="auto" w:fill="auto"/>
            <w:vAlign w:val="center"/>
          </w:tcPr>
          <w:p>
            <w:pPr>
              <w:widowControl/>
              <w:jc w:val="center"/>
              <w:rPr>
                <w:rFonts w:ascii="华文中宋" w:hAnsi="华文中宋" w:eastAsia="华文中宋" w:cs="华文中宋"/>
                <w:b/>
                <w:bCs/>
                <w:kern w:val="0"/>
                <w:szCs w:val="21"/>
              </w:rPr>
            </w:pPr>
            <w:r>
              <w:rPr>
                <w:rFonts w:hint="eastAsia" w:ascii="华文中宋" w:hAnsi="华文中宋" w:eastAsia="华文中宋" w:cs="华文中宋"/>
                <w:b/>
                <w:bCs/>
                <w:kern w:val="0"/>
                <w:szCs w:val="21"/>
              </w:rPr>
              <w:t>G2</w:t>
            </w:r>
          </w:p>
        </w:tc>
        <w:tc>
          <w:tcPr>
            <w:tcW w:w="3105" w:type="dxa"/>
            <w:tcBorders>
              <w:top w:val="nil"/>
              <w:left w:val="nil"/>
              <w:bottom w:val="single" w:color="auto" w:sz="4" w:space="0"/>
              <w:right w:val="single" w:color="auto" w:sz="4" w:space="0"/>
            </w:tcBorders>
            <w:shd w:val="clear" w:color="auto" w:fill="auto"/>
            <w:vAlign w:val="center"/>
          </w:tcPr>
          <w:p>
            <w:pPr>
              <w:widowControl/>
              <w:jc w:val="center"/>
              <w:rPr>
                <w:rFonts w:ascii="华文中宋" w:hAnsi="华文中宋" w:eastAsia="华文中宋" w:cs="华文中宋"/>
                <w:b/>
                <w:bCs/>
                <w:kern w:val="0"/>
                <w:szCs w:val="21"/>
              </w:rPr>
            </w:pPr>
            <w:r>
              <w:rPr>
                <w:rFonts w:hint="eastAsia" w:ascii="华文中宋" w:hAnsi="华文中宋" w:eastAsia="华文中宋" w:cs="华文中宋"/>
                <w:b/>
                <w:bCs/>
                <w:kern w:val="0"/>
                <w:szCs w:val="21"/>
              </w:rPr>
              <w:t>防护绿地</w:t>
            </w:r>
          </w:p>
        </w:tc>
        <w:tc>
          <w:tcPr>
            <w:tcW w:w="1907" w:type="dxa"/>
            <w:tcBorders>
              <w:top w:val="nil"/>
              <w:left w:val="nil"/>
              <w:bottom w:val="single" w:color="auto" w:sz="4" w:space="0"/>
              <w:right w:val="single" w:color="auto" w:sz="4" w:space="0"/>
            </w:tcBorders>
            <w:shd w:val="clear" w:color="auto" w:fill="auto"/>
            <w:vAlign w:val="center"/>
          </w:tcPr>
          <w:p>
            <w:pPr>
              <w:widowControl/>
              <w:jc w:val="center"/>
              <w:rPr>
                <w:rFonts w:ascii="华文中宋" w:hAnsi="华文中宋" w:eastAsia="华文中宋" w:cs="华文中宋"/>
                <w:b/>
                <w:bCs/>
                <w:kern w:val="0"/>
                <w:szCs w:val="21"/>
              </w:rPr>
            </w:pPr>
            <w:r>
              <w:rPr>
                <w:rFonts w:hint="eastAsia" w:ascii="华文中宋" w:hAnsi="华文中宋" w:eastAsia="华文中宋" w:cs="华文中宋"/>
                <w:b/>
                <w:bCs/>
                <w:szCs w:val="21"/>
              </w:rPr>
              <w:t>351.42</w:t>
            </w:r>
          </w:p>
        </w:tc>
        <w:tc>
          <w:tcPr>
            <w:tcW w:w="1896" w:type="dxa"/>
            <w:tcBorders>
              <w:top w:val="nil"/>
              <w:left w:val="nil"/>
              <w:bottom w:val="single" w:color="auto" w:sz="4" w:space="0"/>
              <w:right w:val="single" w:color="auto" w:sz="4" w:space="0"/>
            </w:tcBorders>
            <w:shd w:val="clear" w:color="auto" w:fill="FBD4B4" w:themeFill="accent6" w:themeFillTint="66"/>
            <w:vAlign w:val="center"/>
          </w:tcPr>
          <w:p>
            <w:pPr>
              <w:widowControl/>
              <w:jc w:val="center"/>
              <w:rPr>
                <w:rFonts w:hint="default" w:ascii="华文中宋" w:hAnsi="华文中宋" w:eastAsia="华文中宋" w:cs="华文中宋"/>
                <w:b/>
                <w:bCs/>
                <w:kern w:val="0"/>
                <w:szCs w:val="21"/>
                <w:lang w:val="en-US" w:eastAsia="zh-CN"/>
              </w:rPr>
            </w:pPr>
            <w:r>
              <w:rPr>
                <w:rFonts w:hint="eastAsia" w:ascii="华文中宋" w:hAnsi="华文中宋" w:eastAsia="华文中宋" w:cs="华文中宋"/>
                <w:b/>
                <w:bCs/>
                <w:szCs w:val="21"/>
              </w:rPr>
              <w:t>1</w:t>
            </w:r>
            <w:r>
              <w:rPr>
                <w:rFonts w:hint="eastAsia" w:ascii="华文中宋" w:hAnsi="华文中宋" w:eastAsia="华文中宋" w:cs="华文中宋"/>
                <w:b/>
                <w:bCs/>
                <w:szCs w:val="21"/>
                <w:lang w:val="en-US" w:eastAsia="zh-CN"/>
              </w:rPr>
              <w:t>87.46</w:t>
            </w:r>
          </w:p>
        </w:tc>
      </w:tr>
      <w:tr>
        <w:tblPrEx>
          <w:tblCellMar>
            <w:top w:w="0" w:type="dxa"/>
            <w:left w:w="108" w:type="dxa"/>
            <w:bottom w:w="0" w:type="dxa"/>
            <w:right w:w="108" w:type="dxa"/>
          </w:tblCellMar>
        </w:tblPrEx>
        <w:trPr>
          <w:trHeight w:val="513" w:hRule="atLeast"/>
          <w:jc w:val="center"/>
        </w:trPr>
        <w:tc>
          <w:tcPr>
            <w:tcW w:w="792" w:type="dxa"/>
            <w:vMerge w:val="continue"/>
            <w:tcBorders>
              <w:left w:val="single" w:color="auto" w:sz="4" w:space="0"/>
              <w:bottom w:val="single" w:color="auto" w:sz="4" w:space="0"/>
              <w:right w:val="single" w:color="auto" w:sz="4" w:space="0"/>
            </w:tcBorders>
            <w:shd w:val="clear" w:color="auto" w:fill="auto"/>
            <w:vAlign w:val="center"/>
          </w:tcPr>
          <w:p>
            <w:pPr>
              <w:widowControl/>
              <w:jc w:val="center"/>
              <w:rPr>
                <w:rFonts w:ascii="华文中宋" w:hAnsi="华文中宋" w:eastAsia="华文中宋" w:cs="华文中宋"/>
                <w:b/>
                <w:bCs/>
                <w:kern w:val="0"/>
                <w:szCs w:val="21"/>
              </w:rPr>
            </w:pPr>
          </w:p>
        </w:tc>
        <w:tc>
          <w:tcPr>
            <w:tcW w:w="1056" w:type="dxa"/>
            <w:tcBorders>
              <w:top w:val="nil"/>
              <w:left w:val="nil"/>
              <w:bottom w:val="single" w:color="auto" w:sz="4" w:space="0"/>
              <w:right w:val="single" w:color="auto" w:sz="4" w:space="0"/>
            </w:tcBorders>
            <w:shd w:val="clear" w:color="auto" w:fill="auto"/>
            <w:vAlign w:val="center"/>
          </w:tcPr>
          <w:p>
            <w:pPr>
              <w:widowControl/>
              <w:jc w:val="center"/>
              <w:rPr>
                <w:rFonts w:ascii="华文中宋" w:hAnsi="华文中宋" w:eastAsia="华文中宋" w:cs="华文中宋"/>
                <w:b/>
                <w:bCs/>
                <w:kern w:val="0"/>
                <w:szCs w:val="21"/>
              </w:rPr>
            </w:pPr>
            <w:r>
              <w:rPr>
                <w:rFonts w:hint="eastAsia" w:ascii="华文中宋" w:hAnsi="华文中宋" w:eastAsia="华文中宋" w:cs="华文中宋"/>
                <w:b/>
                <w:bCs/>
                <w:kern w:val="0"/>
                <w:szCs w:val="21"/>
              </w:rPr>
              <w:t>G3</w:t>
            </w:r>
          </w:p>
        </w:tc>
        <w:tc>
          <w:tcPr>
            <w:tcW w:w="3105" w:type="dxa"/>
            <w:tcBorders>
              <w:top w:val="nil"/>
              <w:left w:val="nil"/>
              <w:bottom w:val="single" w:color="auto" w:sz="4" w:space="0"/>
              <w:right w:val="single" w:color="auto" w:sz="4" w:space="0"/>
            </w:tcBorders>
            <w:shd w:val="clear" w:color="auto" w:fill="auto"/>
            <w:vAlign w:val="center"/>
          </w:tcPr>
          <w:p>
            <w:pPr>
              <w:widowControl/>
              <w:jc w:val="center"/>
              <w:rPr>
                <w:rFonts w:ascii="华文中宋" w:hAnsi="华文中宋" w:eastAsia="华文中宋" w:cs="华文中宋"/>
                <w:b/>
                <w:bCs/>
                <w:kern w:val="0"/>
                <w:szCs w:val="21"/>
              </w:rPr>
            </w:pPr>
            <w:r>
              <w:rPr>
                <w:rFonts w:hint="eastAsia" w:ascii="华文中宋" w:hAnsi="华文中宋" w:eastAsia="华文中宋" w:cs="华文中宋"/>
                <w:b/>
                <w:bCs/>
                <w:kern w:val="0"/>
                <w:szCs w:val="21"/>
              </w:rPr>
              <w:t>广场用地</w:t>
            </w:r>
          </w:p>
        </w:tc>
        <w:tc>
          <w:tcPr>
            <w:tcW w:w="1907" w:type="dxa"/>
            <w:tcBorders>
              <w:top w:val="nil"/>
              <w:left w:val="nil"/>
              <w:bottom w:val="single" w:color="auto" w:sz="4" w:space="0"/>
              <w:right w:val="single" w:color="auto" w:sz="4" w:space="0"/>
            </w:tcBorders>
            <w:shd w:val="clear" w:color="auto" w:fill="auto"/>
            <w:vAlign w:val="center"/>
          </w:tcPr>
          <w:p>
            <w:pPr>
              <w:widowControl/>
              <w:jc w:val="center"/>
              <w:rPr>
                <w:rFonts w:ascii="华文中宋" w:hAnsi="华文中宋" w:eastAsia="华文中宋" w:cs="华文中宋"/>
                <w:b/>
                <w:bCs/>
                <w:kern w:val="0"/>
                <w:szCs w:val="21"/>
              </w:rPr>
            </w:pPr>
            <w:r>
              <w:rPr>
                <w:rFonts w:hint="eastAsia" w:ascii="华文中宋" w:hAnsi="华文中宋" w:eastAsia="华文中宋" w:cs="华文中宋"/>
                <w:b/>
                <w:bCs/>
                <w:szCs w:val="21"/>
              </w:rPr>
              <w:t>6.17</w:t>
            </w:r>
          </w:p>
        </w:tc>
        <w:tc>
          <w:tcPr>
            <w:tcW w:w="1896" w:type="dxa"/>
            <w:tcBorders>
              <w:top w:val="nil"/>
              <w:left w:val="nil"/>
              <w:bottom w:val="single" w:color="auto" w:sz="4" w:space="0"/>
              <w:right w:val="single" w:color="auto" w:sz="4" w:space="0"/>
            </w:tcBorders>
            <w:shd w:val="clear" w:color="auto" w:fill="FBD4B4" w:themeFill="accent6" w:themeFillTint="66"/>
            <w:vAlign w:val="center"/>
          </w:tcPr>
          <w:p>
            <w:pPr>
              <w:widowControl/>
              <w:jc w:val="center"/>
              <w:rPr>
                <w:rFonts w:ascii="华文中宋" w:hAnsi="华文中宋" w:eastAsia="华文中宋" w:cs="华文中宋"/>
                <w:b/>
                <w:bCs/>
                <w:kern w:val="0"/>
                <w:szCs w:val="21"/>
              </w:rPr>
            </w:pPr>
            <w:r>
              <w:rPr>
                <w:rFonts w:hint="eastAsia" w:ascii="华文中宋" w:hAnsi="华文中宋" w:eastAsia="华文中宋" w:cs="华文中宋"/>
                <w:b/>
                <w:bCs/>
                <w:szCs w:val="21"/>
              </w:rPr>
              <w:t>7.75</w:t>
            </w:r>
          </w:p>
        </w:tc>
      </w:tr>
      <w:tr>
        <w:tblPrEx>
          <w:tblCellMar>
            <w:top w:w="0" w:type="dxa"/>
            <w:left w:w="108" w:type="dxa"/>
            <w:bottom w:w="0" w:type="dxa"/>
            <w:right w:w="108" w:type="dxa"/>
          </w:tblCellMar>
        </w:tblPrEx>
        <w:trPr>
          <w:trHeight w:val="563" w:hRule="atLeast"/>
          <w:jc w:val="center"/>
        </w:trPr>
        <w:tc>
          <w:tcPr>
            <w:tcW w:w="1848"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华文中宋" w:hAnsi="华文中宋" w:eastAsia="华文中宋" w:cs="华文中宋"/>
                <w:b/>
                <w:bCs/>
                <w:kern w:val="0"/>
                <w:szCs w:val="21"/>
              </w:rPr>
            </w:pPr>
            <w:r>
              <w:rPr>
                <w:rFonts w:hint="eastAsia" w:ascii="华文中宋" w:hAnsi="华文中宋" w:eastAsia="华文中宋" w:cs="华文中宋"/>
                <w:b/>
                <w:bCs/>
                <w:kern w:val="0"/>
                <w:szCs w:val="21"/>
              </w:rPr>
              <w:t>合计</w:t>
            </w:r>
          </w:p>
        </w:tc>
        <w:tc>
          <w:tcPr>
            <w:tcW w:w="3105" w:type="dxa"/>
            <w:tcBorders>
              <w:top w:val="nil"/>
              <w:left w:val="nil"/>
              <w:bottom w:val="single" w:color="auto" w:sz="4" w:space="0"/>
              <w:right w:val="single" w:color="auto" w:sz="4" w:space="0"/>
            </w:tcBorders>
            <w:shd w:val="clear" w:color="auto" w:fill="auto"/>
            <w:vAlign w:val="center"/>
          </w:tcPr>
          <w:p>
            <w:pPr>
              <w:widowControl/>
              <w:jc w:val="center"/>
              <w:rPr>
                <w:rFonts w:ascii="华文中宋" w:hAnsi="华文中宋" w:eastAsia="华文中宋" w:cs="华文中宋"/>
                <w:b/>
                <w:bCs/>
                <w:kern w:val="0"/>
                <w:szCs w:val="21"/>
              </w:rPr>
            </w:pPr>
            <w:r>
              <w:rPr>
                <w:rFonts w:hint="eastAsia" w:ascii="华文中宋" w:hAnsi="华文中宋" w:eastAsia="华文中宋" w:cs="华文中宋"/>
                <w:b/>
                <w:bCs/>
                <w:kern w:val="0"/>
                <w:szCs w:val="21"/>
              </w:rPr>
              <w:t>城市（园区）建设用地</w:t>
            </w:r>
          </w:p>
        </w:tc>
        <w:tc>
          <w:tcPr>
            <w:tcW w:w="1907" w:type="dxa"/>
            <w:tcBorders>
              <w:top w:val="nil"/>
              <w:left w:val="nil"/>
              <w:bottom w:val="single" w:color="auto" w:sz="4" w:space="0"/>
              <w:right w:val="single" w:color="auto" w:sz="4" w:space="0"/>
            </w:tcBorders>
            <w:shd w:val="clear" w:color="auto" w:fill="auto"/>
            <w:vAlign w:val="center"/>
          </w:tcPr>
          <w:p>
            <w:pPr>
              <w:widowControl/>
              <w:jc w:val="center"/>
              <w:rPr>
                <w:rFonts w:ascii="华文中宋" w:hAnsi="华文中宋" w:eastAsia="华文中宋" w:cs="华文中宋"/>
                <w:b/>
                <w:bCs/>
                <w:kern w:val="0"/>
                <w:szCs w:val="21"/>
              </w:rPr>
            </w:pPr>
            <w:r>
              <w:rPr>
                <w:rFonts w:hint="eastAsia" w:ascii="华文中宋" w:hAnsi="华文中宋" w:eastAsia="华文中宋" w:cs="华文中宋"/>
                <w:b/>
                <w:bCs/>
                <w:kern w:val="0"/>
                <w:szCs w:val="21"/>
              </w:rPr>
              <w:t>3175.43</w:t>
            </w:r>
          </w:p>
        </w:tc>
        <w:tc>
          <w:tcPr>
            <w:tcW w:w="1896" w:type="dxa"/>
            <w:tcBorders>
              <w:top w:val="nil"/>
              <w:left w:val="nil"/>
              <w:bottom w:val="single" w:color="auto" w:sz="4" w:space="0"/>
              <w:right w:val="single" w:color="auto" w:sz="4" w:space="0"/>
            </w:tcBorders>
            <w:shd w:val="clear" w:color="auto" w:fill="FBD4B4" w:themeFill="accent6" w:themeFillTint="66"/>
            <w:vAlign w:val="center"/>
          </w:tcPr>
          <w:p>
            <w:pPr>
              <w:widowControl/>
              <w:jc w:val="center"/>
              <w:rPr>
                <w:rFonts w:hint="default" w:ascii="华文中宋" w:hAnsi="华文中宋" w:eastAsia="华文中宋" w:cs="华文中宋"/>
                <w:b/>
                <w:bCs/>
                <w:kern w:val="0"/>
                <w:szCs w:val="21"/>
                <w:lang w:val="en-US" w:eastAsia="zh-CN"/>
              </w:rPr>
            </w:pPr>
            <w:r>
              <w:rPr>
                <w:rFonts w:hint="eastAsia" w:ascii="华文中宋" w:hAnsi="华文中宋" w:eastAsia="华文中宋" w:cs="华文中宋"/>
                <w:b/>
                <w:bCs/>
                <w:szCs w:val="21"/>
              </w:rPr>
              <w:t>28</w:t>
            </w:r>
            <w:r>
              <w:rPr>
                <w:rFonts w:hint="eastAsia" w:ascii="华文中宋" w:hAnsi="华文中宋" w:eastAsia="华文中宋" w:cs="华文中宋"/>
                <w:b/>
                <w:bCs/>
                <w:szCs w:val="21"/>
                <w:lang w:val="en-US" w:eastAsia="zh-CN"/>
              </w:rPr>
              <w:t>61.65</w:t>
            </w:r>
          </w:p>
        </w:tc>
      </w:tr>
      <w:bookmarkEnd w:id="52"/>
      <w:bookmarkEnd w:id="53"/>
    </w:tbl>
    <w:p>
      <w:pPr>
        <w:pStyle w:val="2"/>
        <w:ind w:firstLine="480"/>
        <w:rPr>
          <w:rFonts w:ascii="华文中宋" w:hAnsi="华文中宋" w:eastAsia="华文中宋" w:cs="华文中宋"/>
          <w:sz w:val="24"/>
          <w:szCs w:val="24"/>
        </w:rPr>
      </w:pPr>
    </w:p>
    <w:bookmarkEnd w:id="36"/>
    <w:bookmarkEnd w:id="37"/>
    <w:bookmarkEnd w:id="38"/>
    <w:bookmarkEnd w:id="39"/>
    <w:bookmarkEnd w:id="40"/>
    <w:bookmarkEnd w:id="41"/>
    <w:p>
      <w:pPr>
        <w:pStyle w:val="2"/>
        <w:ind w:firstLine="480"/>
        <w:rPr>
          <w:rFonts w:ascii="华文中宋" w:hAnsi="华文中宋" w:eastAsia="华文中宋" w:cs="华文中宋"/>
          <w:sz w:val="24"/>
          <w:szCs w:val="24"/>
        </w:rPr>
      </w:pPr>
    </w:p>
    <w:p>
      <w:pPr>
        <w:pStyle w:val="4"/>
        <w:spacing w:before="260" w:after="260" w:line="360" w:lineRule="auto"/>
        <w:rPr>
          <w:rFonts w:ascii="华文中宋" w:hAnsi="华文中宋" w:eastAsia="华文中宋" w:cs="华文中宋"/>
        </w:rPr>
      </w:pPr>
      <w:bookmarkStart w:id="54" w:name="_Toc19020"/>
      <w:r>
        <w:rPr>
          <w:rFonts w:hint="eastAsia" w:ascii="华文中宋" w:hAnsi="华文中宋" w:eastAsia="华文中宋" w:cs="华文中宋"/>
        </w:rPr>
        <w:t>2.6 地块控制性详细规划图则</w:t>
      </w:r>
      <w:bookmarkEnd w:id="54"/>
    </w:p>
    <w:p>
      <w:pPr>
        <w:pStyle w:val="2"/>
        <w:spacing w:line="360" w:lineRule="auto"/>
        <w:ind w:firstLine="560"/>
        <w:rPr>
          <w:rFonts w:ascii="华文中宋" w:hAnsi="华文中宋" w:eastAsia="华文中宋" w:cs="华文中宋"/>
          <w:sz w:val="28"/>
          <w:szCs w:val="28"/>
        </w:rPr>
      </w:pPr>
      <w:r>
        <w:rPr>
          <w:rFonts w:hint="eastAsia" w:ascii="华文中宋" w:hAnsi="华文中宋" w:eastAsia="华文中宋" w:cs="华文中宋"/>
          <w:sz w:val="28"/>
          <w:szCs w:val="28"/>
        </w:rPr>
        <w:t>本次调整共涉及重新绘制A区图则1</w:t>
      </w:r>
      <w:r>
        <w:rPr>
          <w:rFonts w:hint="eastAsia" w:ascii="华文中宋" w:hAnsi="华文中宋" w:eastAsia="华文中宋" w:cs="华文中宋"/>
          <w:sz w:val="28"/>
          <w:szCs w:val="28"/>
          <w:lang w:val="en-US" w:eastAsia="zh-CN"/>
        </w:rPr>
        <w:t>0</w:t>
      </w:r>
      <w:r>
        <w:rPr>
          <w:rFonts w:hint="eastAsia" w:ascii="华文中宋" w:hAnsi="华文中宋" w:eastAsia="华文中宋" w:cs="华文中宋"/>
          <w:sz w:val="28"/>
          <w:szCs w:val="28"/>
        </w:rPr>
        <w:t>个，B区</w:t>
      </w:r>
      <w:r>
        <w:rPr>
          <w:rFonts w:hint="eastAsia" w:ascii="华文中宋" w:hAnsi="华文中宋" w:eastAsia="华文中宋" w:cs="华文中宋"/>
          <w:sz w:val="28"/>
          <w:szCs w:val="28"/>
          <w:lang w:val="en-US" w:eastAsia="zh-CN"/>
        </w:rPr>
        <w:t>3</w:t>
      </w:r>
      <w:r>
        <w:rPr>
          <w:rFonts w:hint="eastAsia" w:ascii="华文中宋" w:hAnsi="华文中宋" w:eastAsia="华文中宋" w:cs="华文中宋"/>
          <w:sz w:val="28"/>
          <w:szCs w:val="28"/>
        </w:rPr>
        <w:t>个，C区3个。</w:t>
      </w:r>
    </w:p>
    <w:p>
      <w:pPr>
        <w:pStyle w:val="2"/>
        <w:spacing w:line="360" w:lineRule="auto"/>
        <w:ind w:firstLine="560"/>
        <w:rPr>
          <w:rFonts w:ascii="华文中宋" w:hAnsi="华文中宋" w:eastAsia="华文中宋" w:cs="华文中宋"/>
          <w:sz w:val="28"/>
          <w:szCs w:val="28"/>
        </w:rPr>
      </w:pPr>
      <w:r>
        <w:rPr>
          <w:rFonts w:hint="eastAsia" w:ascii="华文中宋" w:hAnsi="华文中宋" w:eastAsia="华文中宋" w:cs="华文中宋"/>
          <w:sz w:val="28"/>
          <w:szCs w:val="28"/>
        </w:rPr>
        <w:t>详见图册。</w:t>
      </w:r>
    </w:p>
    <w:p>
      <w:pPr>
        <w:pStyle w:val="2"/>
        <w:spacing w:line="360" w:lineRule="auto"/>
        <w:ind w:firstLine="560"/>
        <w:rPr>
          <w:rFonts w:ascii="华文中宋" w:hAnsi="华文中宋" w:eastAsia="华文中宋" w:cs="华文中宋"/>
          <w:sz w:val="28"/>
          <w:szCs w:val="28"/>
        </w:rPr>
      </w:pPr>
    </w:p>
    <w:p>
      <w:pPr>
        <w:pStyle w:val="2"/>
        <w:spacing w:line="360" w:lineRule="auto"/>
        <w:ind w:firstLine="560"/>
        <w:rPr>
          <w:rFonts w:ascii="华文中宋" w:hAnsi="华文中宋" w:eastAsia="华文中宋" w:cs="华文中宋"/>
          <w:sz w:val="28"/>
          <w:szCs w:val="28"/>
        </w:rPr>
      </w:pPr>
    </w:p>
    <w:p>
      <w:pPr>
        <w:pStyle w:val="2"/>
        <w:spacing w:line="360" w:lineRule="auto"/>
        <w:ind w:firstLine="560"/>
        <w:rPr>
          <w:rFonts w:ascii="华文中宋" w:hAnsi="华文中宋" w:eastAsia="华文中宋" w:cs="华文中宋"/>
          <w:sz w:val="28"/>
          <w:szCs w:val="28"/>
        </w:rPr>
      </w:pPr>
    </w:p>
    <w:p>
      <w:pPr>
        <w:pStyle w:val="2"/>
        <w:ind w:firstLine="560"/>
        <w:rPr>
          <w:rFonts w:ascii="华文中宋" w:hAnsi="华文中宋" w:eastAsia="华文中宋" w:cs="华文中宋"/>
          <w:sz w:val="28"/>
          <w:szCs w:val="28"/>
        </w:rPr>
      </w:pPr>
    </w:p>
    <w:p>
      <w:pPr>
        <w:pStyle w:val="2"/>
        <w:ind w:firstLine="480"/>
        <w:rPr>
          <w:rFonts w:ascii="华文中宋" w:hAnsi="华文中宋" w:eastAsia="华文中宋" w:cs="华文中宋"/>
          <w:sz w:val="24"/>
          <w:szCs w:val="24"/>
        </w:rPr>
      </w:pPr>
    </w:p>
    <w:p>
      <w:pPr>
        <w:pStyle w:val="2"/>
        <w:ind w:firstLine="480"/>
        <w:rPr>
          <w:rFonts w:ascii="华文中宋" w:hAnsi="华文中宋" w:eastAsia="华文中宋" w:cs="华文中宋"/>
          <w:sz w:val="24"/>
          <w:szCs w:val="24"/>
        </w:rPr>
      </w:pPr>
    </w:p>
    <w:p>
      <w:pPr>
        <w:pStyle w:val="2"/>
        <w:ind w:firstLine="480"/>
        <w:rPr>
          <w:rFonts w:ascii="华文中宋" w:hAnsi="华文中宋" w:eastAsia="华文中宋" w:cs="华文中宋"/>
          <w:sz w:val="24"/>
          <w:szCs w:val="24"/>
        </w:rPr>
      </w:pPr>
    </w:p>
    <w:p>
      <w:pPr>
        <w:pStyle w:val="2"/>
        <w:ind w:firstLine="480"/>
        <w:rPr>
          <w:rFonts w:ascii="华文中宋" w:hAnsi="华文中宋" w:eastAsia="华文中宋" w:cs="华文中宋"/>
          <w:sz w:val="24"/>
          <w:szCs w:val="24"/>
        </w:rPr>
      </w:pPr>
    </w:p>
    <w:p>
      <w:pPr>
        <w:pStyle w:val="2"/>
        <w:ind w:firstLine="480"/>
        <w:rPr>
          <w:rFonts w:ascii="华文中宋" w:hAnsi="华文中宋" w:eastAsia="华文中宋" w:cs="华文中宋"/>
          <w:sz w:val="24"/>
          <w:szCs w:val="24"/>
        </w:rPr>
      </w:pPr>
    </w:p>
    <w:p>
      <w:pPr>
        <w:pStyle w:val="2"/>
        <w:ind w:firstLine="480"/>
        <w:rPr>
          <w:rFonts w:ascii="华文中宋" w:hAnsi="华文中宋" w:eastAsia="华文中宋" w:cs="华文中宋"/>
          <w:sz w:val="24"/>
          <w:szCs w:val="24"/>
        </w:rPr>
      </w:pPr>
    </w:p>
    <w:p>
      <w:pPr>
        <w:pStyle w:val="2"/>
        <w:ind w:firstLine="480"/>
        <w:rPr>
          <w:rFonts w:ascii="华文中宋" w:hAnsi="华文中宋" w:eastAsia="华文中宋" w:cs="华文中宋"/>
          <w:sz w:val="24"/>
          <w:szCs w:val="24"/>
        </w:rPr>
      </w:pPr>
    </w:p>
    <w:p>
      <w:pPr>
        <w:pStyle w:val="2"/>
        <w:ind w:firstLine="480"/>
        <w:rPr>
          <w:rFonts w:ascii="华文中宋" w:hAnsi="华文中宋" w:eastAsia="华文中宋" w:cs="华文中宋"/>
          <w:sz w:val="24"/>
          <w:szCs w:val="24"/>
        </w:rPr>
      </w:pPr>
    </w:p>
    <w:p>
      <w:pPr>
        <w:pStyle w:val="2"/>
        <w:ind w:firstLine="480"/>
        <w:rPr>
          <w:rFonts w:ascii="华文中宋" w:hAnsi="华文中宋" w:eastAsia="华文中宋" w:cs="华文中宋"/>
          <w:sz w:val="24"/>
          <w:szCs w:val="24"/>
        </w:rPr>
      </w:pPr>
    </w:p>
    <w:p>
      <w:pPr>
        <w:pStyle w:val="2"/>
        <w:ind w:firstLine="480"/>
        <w:rPr>
          <w:rFonts w:ascii="华文中宋" w:hAnsi="华文中宋" w:eastAsia="华文中宋" w:cs="华文中宋"/>
          <w:sz w:val="24"/>
          <w:szCs w:val="24"/>
        </w:rPr>
      </w:pPr>
    </w:p>
    <w:p>
      <w:pPr>
        <w:pStyle w:val="2"/>
        <w:ind w:firstLine="480"/>
        <w:rPr>
          <w:rFonts w:ascii="华文中宋" w:hAnsi="华文中宋" w:eastAsia="华文中宋" w:cs="华文中宋"/>
          <w:sz w:val="24"/>
          <w:szCs w:val="24"/>
        </w:rPr>
      </w:pPr>
    </w:p>
    <w:p>
      <w:pPr>
        <w:pStyle w:val="2"/>
        <w:ind w:firstLine="480"/>
        <w:rPr>
          <w:rFonts w:ascii="华文中宋" w:hAnsi="华文中宋" w:eastAsia="华文中宋" w:cs="华文中宋"/>
          <w:sz w:val="24"/>
          <w:szCs w:val="24"/>
        </w:rPr>
      </w:pPr>
    </w:p>
    <w:p>
      <w:pPr>
        <w:pStyle w:val="2"/>
        <w:ind w:firstLine="480"/>
        <w:rPr>
          <w:rFonts w:ascii="华文中宋" w:hAnsi="华文中宋" w:eastAsia="华文中宋" w:cs="华文中宋"/>
          <w:sz w:val="24"/>
          <w:szCs w:val="24"/>
        </w:rPr>
      </w:pPr>
    </w:p>
    <w:p>
      <w:pPr>
        <w:pStyle w:val="2"/>
        <w:ind w:firstLine="480"/>
        <w:rPr>
          <w:rFonts w:ascii="华文中宋" w:hAnsi="华文中宋" w:eastAsia="华文中宋" w:cs="华文中宋"/>
          <w:sz w:val="24"/>
          <w:szCs w:val="24"/>
        </w:rPr>
      </w:pPr>
    </w:p>
    <w:p>
      <w:pPr>
        <w:pStyle w:val="2"/>
        <w:ind w:firstLine="480"/>
        <w:rPr>
          <w:rFonts w:ascii="华文中宋" w:hAnsi="华文中宋" w:eastAsia="华文中宋" w:cs="华文中宋"/>
          <w:sz w:val="24"/>
          <w:szCs w:val="24"/>
        </w:rPr>
      </w:pPr>
    </w:p>
    <w:p>
      <w:pPr>
        <w:pStyle w:val="2"/>
        <w:ind w:firstLine="480"/>
        <w:rPr>
          <w:rFonts w:ascii="华文中宋" w:hAnsi="华文中宋" w:eastAsia="华文中宋" w:cs="华文中宋"/>
          <w:sz w:val="24"/>
          <w:szCs w:val="24"/>
        </w:rPr>
      </w:pPr>
    </w:p>
    <w:bookmarkEnd w:id="18"/>
    <w:bookmarkEnd w:id="19"/>
    <w:bookmarkEnd w:id="20"/>
    <w:bookmarkEnd w:id="21"/>
    <w:bookmarkEnd w:id="22"/>
    <w:bookmarkEnd w:id="23"/>
    <w:bookmarkEnd w:id="24"/>
    <w:p>
      <w:pPr>
        <w:pStyle w:val="3"/>
        <w:keepNext/>
        <w:keepLines/>
        <w:spacing w:before="340" w:beforeAutospacing="0" w:after="330" w:afterAutospacing="0" w:line="576" w:lineRule="auto"/>
        <w:ind w:left="601" w:hanging="601"/>
        <w:jc w:val="center"/>
        <w:rPr>
          <w:rFonts w:hint="default" w:ascii="华文中宋" w:hAnsi="华文中宋" w:eastAsia="华文中宋" w:cs="华文中宋"/>
          <w:bCs/>
          <w:sz w:val="44"/>
          <w:szCs w:val="44"/>
        </w:rPr>
      </w:pPr>
      <w:bookmarkStart w:id="55" w:name="_Toc503278592"/>
      <w:bookmarkStart w:id="56" w:name="_Toc495482507"/>
      <w:bookmarkStart w:id="57" w:name="_Toc28264"/>
      <w:r>
        <w:rPr>
          <w:rFonts w:ascii="华文中宋" w:hAnsi="华文中宋" w:eastAsia="华文中宋" w:cs="华文中宋"/>
          <w:bCs/>
          <w:sz w:val="44"/>
          <w:szCs w:val="44"/>
        </w:rPr>
        <w:t xml:space="preserve">第三章 </w:t>
      </w:r>
      <w:bookmarkEnd w:id="55"/>
      <w:bookmarkEnd w:id="56"/>
      <w:r>
        <w:rPr>
          <w:rFonts w:ascii="华文中宋" w:hAnsi="华文中宋" w:eastAsia="华文中宋" w:cs="华文中宋"/>
          <w:bCs/>
          <w:sz w:val="44"/>
          <w:szCs w:val="44"/>
        </w:rPr>
        <w:t>A区调整内容</w:t>
      </w:r>
      <w:bookmarkEnd w:id="57"/>
    </w:p>
    <w:p>
      <w:pPr>
        <w:pStyle w:val="4"/>
        <w:spacing w:before="260" w:after="260"/>
        <w:rPr>
          <w:rFonts w:ascii="华文中宋" w:hAnsi="华文中宋" w:eastAsia="华文中宋" w:cs="华文中宋"/>
        </w:rPr>
      </w:pPr>
      <w:bookmarkStart w:id="58" w:name="_Toc495482508"/>
      <w:bookmarkStart w:id="59" w:name="_Toc16461"/>
      <w:bookmarkStart w:id="60" w:name="_Toc469569979"/>
      <w:bookmarkStart w:id="61" w:name="_Toc469568965"/>
      <w:bookmarkStart w:id="62" w:name="_Toc469569042"/>
      <w:bookmarkStart w:id="63" w:name="_Toc469586231"/>
      <w:bookmarkStart w:id="64" w:name="_Toc503278593"/>
      <w:bookmarkStart w:id="65" w:name="_Toc469559237"/>
      <w:bookmarkStart w:id="66" w:name="_Toc31789"/>
      <w:r>
        <w:rPr>
          <w:rFonts w:hint="eastAsia" w:ascii="华文中宋" w:hAnsi="华文中宋" w:eastAsia="华文中宋" w:cs="华文中宋"/>
        </w:rPr>
        <w:t xml:space="preserve">3.1 </w:t>
      </w:r>
      <w:bookmarkEnd w:id="58"/>
      <w:bookmarkEnd w:id="59"/>
      <w:bookmarkEnd w:id="60"/>
      <w:bookmarkEnd w:id="61"/>
      <w:bookmarkEnd w:id="62"/>
      <w:bookmarkEnd w:id="63"/>
      <w:bookmarkEnd w:id="64"/>
      <w:bookmarkEnd w:id="65"/>
      <w:r>
        <w:rPr>
          <w:rFonts w:hint="eastAsia" w:ascii="华文中宋" w:hAnsi="华文中宋" w:eastAsia="华文中宋" w:cs="华文中宋"/>
        </w:rPr>
        <w:t>空间布局</w:t>
      </w:r>
      <w:bookmarkEnd w:id="66"/>
    </w:p>
    <w:p>
      <w:pPr>
        <w:pStyle w:val="2"/>
        <w:ind w:firstLine="420"/>
        <w:jc w:val="center"/>
      </w:pPr>
      <w:r>
        <mc:AlternateContent>
          <mc:Choice Requires="wps">
            <w:drawing>
              <wp:anchor distT="0" distB="0" distL="114300" distR="114300" simplePos="0" relativeHeight="251665408" behindDoc="0" locked="0" layoutInCell="1" allowOverlap="1">
                <wp:simplePos x="0" y="0"/>
                <wp:positionH relativeFrom="column">
                  <wp:posOffset>1087755</wp:posOffset>
                </wp:positionH>
                <wp:positionV relativeFrom="paragraph">
                  <wp:posOffset>39370</wp:posOffset>
                </wp:positionV>
                <wp:extent cx="902335" cy="478790"/>
                <wp:effectExtent l="0" t="0" r="0" b="0"/>
                <wp:wrapNone/>
                <wp:docPr id="29" name="文本框 29"/>
                <wp:cNvGraphicFramePr/>
                <a:graphic xmlns:a="http://schemas.openxmlformats.org/drawingml/2006/main">
                  <a:graphicData uri="http://schemas.microsoft.com/office/word/2010/wordprocessingShape">
                    <wps:wsp>
                      <wps:cNvSpPr txBox="1"/>
                      <wps:spPr>
                        <a:xfrm>
                          <a:off x="2052320" y="2792730"/>
                          <a:ext cx="902335" cy="4787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ascii="华文中宋" w:hAnsi="华文中宋" w:eastAsia="华文中宋" w:cs="华文中宋"/>
                                <w:b/>
                                <w:bCs/>
                                <w:sz w:val="24"/>
                                <w:szCs w:val="24"/>
                              </w:rPr>
                            </w:pPr>
                            <w:r>
                              <w:rPr>
                                <w:rFonts w:hint="eastAsia" w:ascii="华文中宋" w:hAnsi="华文中宋" w:eastAsia="华文中宋" w:cs="华文中宋"/>
                                <w:b/>
                                <w:bCs/>
                                <w:sz w:val="24"/>
                                <w:szCs w:val="24"/>
                              </w:rPr>
                              <w:t>原规划</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5.65pt;margin-top:3.1pt;height:37.7pt;width:71.05pt;z-index:251665408;mso-width-relative:page;mso-height-relative:page;" filled="f" stroked="f" coordsize="21600,21600" o:gfxdata="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4n+usNkAAAAIAQAADwAAAAAAAAAB&#10;ACAAAAAiAAAAZHJzL2Rvd25yZXYueG1sUEsBAhQAFAAAAAgAh07iQG16lRVIAgAAcwQAAA4AAAAA&#10;AAAAAQAgAAAAKAEAAGRycy9lMm9Eb2MueG1sUEsFBgAAAAAGAAYAWQEAAOIFAAAAAA==&#10;">
                <v:fill on="f" focussize="0,0"/>
                <v:stroke on="f" weight="0.5pt"/>
                <v:imagedata o:title=""/>
                <o:lock v:ext="edit" aspectratio="f"/>
                <v:textbox>
                  <w:txbxContent>
                    <w:p>
                      <w:pPr>
                        <w:jc w:val="center"/>
                        <w:rPr>
                          <w:rFonts w:ascii="华文中宋" w:hAnsi="华文中宋" w:eastAsia="华文中宋" w:cs="华文中宋"/>
                          <w:b/>
                          <w:bCs/>
                          <w:sz w:val="24"/>
                          <w:szCs w:val="24"/>
                        </w:rPr>
                      </w:pPr>
                      <w:r>
                        <w:rPr>
                          <w:rFonts w:hint="eastAsia" w:ascii="华文中宋" w:hAnsi="华文中宋" w:eastAsia="华文中宋" w:cs="华文中宋"/>
                          <w:b/>
                          <w:bCs/>
                          <w:sz w:val="24"/>
                          <w:szCs w:val="24"/>
                        </w:rPr>
                        <w:t>原规划</w:t>
                      </w:r>
                    </w:p>
                  </w:txbxContent>
                </v:textbox>
              </v:shape>
            </w:pict>
          </mc:Fallback>
        </mc:AlternateContent>
      </w:r>
      <w:r>
        <w:drawing>
          <wp:inline distT="0" distB="0" distL="114300" distR="114300">
            <wp:extent cx="4629785" cy="3132455"/>
            <wp:effectExtent l="0" t="0" r="3175" b="6985"/>
            <wp:docPr id="2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7"/>
                    <pic:cNvPicPr>
                      <a:picLocks noChangeAspect="1"/>
                    </pic:cNvPicPr>
                  </pic:nvPicPr>
                  <pic:blipFill>
                    <a:blip r:embed="rId23"/>
                    <a:stretch>
                      <a:fillRect/>
                    </a:stretch>
                  </pic:blipFill>
                  <pic:spPr>
                    <a:xfrm>
                      <a:off x="0" y="0"/>
                      <a:ext cx="4629785" cy="3132455"/>
                    </a:xfrm>
                    <a:prstGeom prst="rect">
                      <a:avLst/>
                    </a:prstGeom>
                    <a:noFill/>
                    <a:ln>
                      <a:noFill/>
                    </a:ln>
                  </pic:spPr>
                </pic:pic>
              </a:graphicData>
            </a:graphic>
          </wp:inline>
        </w:drawing>
      </w:r>
    </w:p>
    <w:p>
      <w:pPr>
        <w:pStyle w:val="2"/>
        <w:ind w:firstLine="420"/>
        <w:jc w:val="center"/>
      </w:pPr>
      <w:r>
        <mc:AlternateContent>
          <mc:Choice Requires="wps">
            <w:drawing>
              <wp:anchor distT="0" distB="0" distL="114300" distR="114300" simplePos="0" relativeHeight="251666432" behindDoc="0" locked="0" layoutInCell="1" allowOverlap="1">
                <wp:simplePos x="0" y="0"/>
                <wp:positionH relativeFrom="column">
                  <wp:posOffset>1034415</wp:posOffset>
                </wp:positionH>
                <wp:positionV relativeFrom="paragraph">
                  <wp:posOffset>93980</wp:posOffset>
                </wp:positionV>
                <wp:extent cx="1062990" cy="478790"/>
                <wp:effectExtent l="0" t="0" r="0" b="0"/>
                <wp:wrapNone/>
                <wp:docPr id="30" name="文本框 30"/>
                <wp:cNvGraphicFramePr/>
                <a:graphic xmlns:a="http://schemas.openxmlformats.org/drawingml/2006/main">
                  <a:graphicData uri="http://schemas.microsoft.com/office/word/2010/wordprocessingShape">
                    <wps:wsp>
                      <wps:cNvSpPr txBox="1"/>
                      <wps:spPr>
                        <a:xfrm>
                          <a:off x="0" y="0"/>
                          <a:ext cx="1062990" cy="4787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ascii="华文中宋" w:hAnsi="华文中宋" w:eastAsia="华文中宋" w:cs="华文中宋"/>
                                <w:b/>
                                <w:bCs/>
                                <w:sz w:val="24"/>
                                <w:szCs w:val="24"/>
                              </w:rPr>
                            </w:pPr>
                            <w:r>
                              <w:rPr>
                                <w:rFonts w:hint="eastAsia" w:ascii="华文中宋" w:hAnsi="华文中宋" w:eastAsia="华文中宋" w:cs="华文中宋"/>
                                <w:b/>
                                <w:bCs/>
                                <w:sz w:val="24"/>
                                <w:szCs w:val="24"/>
                              </w:rPr>
                              <w:t>本次调整后</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1.45pt;margin-top:7.4pt;height:37.7pt;width:83.7pt;z-index:251666432;mso-width-relative:page;mso-height-relative:page;" filled="f" stroked="f" coordsize="21600,21600" o:gfxdata="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CZrOod2AAAAAgBAAAPAAAAAAAAAAEAIAAAACIAAABkcnMv&#10;ZG93bnJldi54bWxQSwECFAAUAAAACACHTuJAVjVzSjwCAABoBAAADgAAAAAAAAABACAAAAAnAQAA&#10;ZHJzL2Uyb0RvYy54bWxQSwUGAAAAAAYABgBZAQAA1QUAAAAA&#10;">
                <v:fill on="f" focussize="0,0"/>
                <v:stroke on="f" weight="0.5pt"/>
                <v:imagedata o:title=""/>
                <o:lock v:ext="edit" aspectratio="f"/>
                <v:textbox>
                  <w:txbxContent>
                    <w:p>
                      <w:pPr>
                        <w:jc w:val="center"/>
                        <w:rPr>
                          <w:rFonts w:ascii="华文中宋" w:hAnsi="华文中宋" w:eastAsia="华文中宋" w:cs="华文中宋"/>
                          <w:b/>
                          <w:bCs/>
                          <w:sz w:val="24"/>
                          <w:szCs w:val="24"/>
                        </w:rPr>
                      </w:pPr>
                      <w:r>
                        <w:rPr>
                          <w:rFonts w:hint="eastAsia" w:ascii="华文中宋" w:hAnsi="华文中宋" w:eastAsia="华文中宋" w:cs="华文中宋"/>
                          <w:b/>
                          <w:bCs/>
                          <w:sz w:val="24"/>
                          <w:szCs w:val="24"/>
                        </w:rPr>
                        <w:t>本次调整后</w:t>
                      </w:r>
                    </w:p>
                  </w:txbxContent>
                </v:textbox>
              </v:shape>
            </w:pict>
          </mc:Fallback>
        </mc:AlternateContent>
      </w:r>
      <w:r>
        <w:drawing>
          <wp:inline distT="0" distB="0" distL="114300" distR="114300">
            <wp:extent cx="4645660" cy="3538855"/>
            <wp:effectExtent l="0" t="0" r="2540" b="4445"/>
            <wp:docPr id="28" name="图片 18" descr="F:\2022乌达工业园控规调整\202306成果\04土地使用规划图A区.jpg04土地使用规划图A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8" descr="F:\2022乌达工业园控规调整\202306成果\04土地使用规划图A区.jpg04土地使用规划图A区"/>
                    <pic:cNvPicPr>
                      <a:picLocks noChangeAspect="1"/>
                    </pic:cNvPicPr>
                  </pic:nvPicPr>
                  <pic:blipFill>
                    <a:blip r:embed="rId24"/>
                    <a:srcRect l="961" t="18378" r="24955" b="1722"/>
                    <a:stretch>
                      <a:fillRect/>
                    </a:stretch>
                  </pic:blipFill>
                  <pic:spPr>
                    <a:xfrm>
                      <a:off x="0" y="0"/>
                      <a:ext cx="4645660" cy="3538855"/>
                    </a:xfrm>
                    <a:prstGeom prst="rect">
                      <a:avLst/>
                    </a:prstGeom>
                    <a:noFill/>
                    <a:ln>
                      <a:noFill/>
                    </a:ln>
                  </pic:spPr>
                </pic:pic>
              </a:graphicData>
            </a:graphic>
          </wp:inline>
        </w:drawing>
      </w:r>
    </w:p>
    <w:p>
      <w:pPr>
        <w:pStyle w:val="2"/>
        <w:ind w:firstLine="480"/>
        <w:jc w:val="center"/>
        <w:rPr>
          <w:rFonts w:ascii="华文中宋" w:hAnsi="华文中宋" w:eastAsia="华文中宋" w:cs="华文中宋"/>
          <w:bCs/>
          <w:sz w:val="28"/>
          <w:szCs w:val="28"/>
        </w:rPr>
      </w:pPr>
      <w:r>
        <w:rPr>
          <w:rFonts w:hint="eastAsia" w:ascii="华文中宋" w:hAnsi="华文中宋" w:eastAsia="华文中宋" w:cs="华文中宋"/>
          <w:sz w:val="24"/>
          <w:szCs w:val="24"/>
        </w:rPr>
        <w:t>图3-1-1 土地使用规划图对比</w:t>
      </w:r>
    </w:p>
    <w:p>
      <w:pPr>
        <w:pStyle w:val="2"/>
        <w:ind w:firstLine="560"/>
        <w:rPr>
          <w:rFonts w:ascii="华文中宋" w:hAnsi="华文中宋" w:eastAsia="华文中宋" w:cs="华文中宋"/>
          <w:sz w:val="28"/>
          <w:szCs w:val="28"/>
        </w:rPr>
      </w:pPr>
      <w:r>
        <w:rPr>
          <w:rFonts w:hint="eastAsia" w:ascii="华文中宋" w:hAnsi="华文中宋" w:eastAsia="华文中宋" w:cs="华文中宋"/>
          <w:sz w:val="28"/>
          <w:szCs w:val="28"/>
        </w:rPr>
        <w:t>乌海高新技术产业开发区乌达产业园控制性详细规划中将沃尔特沟以北、铁路专用线以西的区域划定为A区，A区现有建成企业为东源科技一二期项目，北部铁路专用线两侧有焦化、化工等现状企业，其它用地多为五虎山矿区居民点，目前已逐步搬迁；现状主要道路有三条：东源南路、五虎山大街、东源科技东侧小路。A区</w:t>
      </w:r>
      <w:r>
        <w:rPr>
          <w:rFonts w:hint="eastAsia" w:ascii="华文中宋" w:hAnsi="华文中宋" w:eastAsia="华文中宋" w:cs="华文中宋"/>
          <w:sz w:val="28"/>
          <w:szCs w:val="28"/>
          <w:lang w:val="en-US" w:eastAsia="zh-CN"/>
        </w:rPr>
        <w:t>城乡用地</w:t>
      </w:r>
      <w:r>
        <w:rPr>
          <w:rFonts w:hint="eastAsia" w:ascii="华文中宋" w:hAnsi="华文中宋" w:eastAsia="华文中宋" w:cs="华文中宋"/>
          <w:sz w:val="28"/>
          <w:szCs w:val="28"/>
        </w:rPr>
        <w:t>总面积</w:t>
      </w:r>
      <w:r>
        <w:rPr>
          <w:rFonts w:hint="eastAsia" w:ascii="华文中宋" w:hAnsi="华文中宋" w:eastAsia="华文中宋" w:cs="华文中宋"/>
          <w:sz w:val="28"/>
          <w:szCs w:val="28"/>
          <w:lang w:val="en-US" w:eastAsia="zh-CN"/>
        </w:rPr>
        <w:t>575.50</w:t>
      </w:r>
      <w:r>
        <w:rPr>
          <w:rFonts w:hint="eastAsia" w:ascii="华文中宋" w:hAnsi="华文中宋" w:eastAsia="华文中宋" w:cs="华文中宋"/>
          <w:sz w:val="28"/>
          <w:szCs w:val="28"/>
        </w:rPr>
        <w:t>公顷。</w:t>
      </w:r>
    </w:p>
    <w:p>
      <w:pPr>
        <w:pStyle w:val="2"/>
        <w:ind w:firstLine="560"/>
        <w:rPr>
          <w:rFonts w:ascii="华文中宋" w:hAnsi="华文中宋" w:eastAsia="华文中宋" w:cs="华文中宋"/>
          <w:bCs/>
          <w:sz w:val="28"/>
          <w:szCs w:val="28"/>
        </w:rPr>
      </w:pPr>
      <w:r>
        <w:rPr>
          <w:rFonts w:hint="eastAsia" w:ascii="华文中宋" w:hAnsi="华文中宋" w:eastAsia="华文中宋" w:cs="华文中宋"/>
          <w:sz w:val="28"/>
          <w:szCs w:val="28"/>
        </w:rPr>
        <w:t>受城镇开发边界范围划定和协鑫</w:t>
      </w:r>
      <w:r>
        <w:rPr>
          <w:rFonts w:hint="eastAsia" w:ascii="华文中宋" w:hAnsi="华文中宋" w:eastAsia="华文中宋" w:cs="华文中宋"/>
          <w:bCs/>
          <w:sz w:val="28"/>
          <w:szCs w:val="28"/>
        </w:rPr>
        <w:t>颗粒硅及纳米硅项目（占地2.25平方公里，占超过A区总面积的30%）影响，原控制性详细规划已无法适应开发建设需求，故对A区规划布局进行了较大调整：</w:t>
      </w:r>
    </w:p>
    <w:p>
      <w:pPr>
        <w:pStyle w:val="2"/>
        <w:ind w:firstLine="560"/>
        <w:rPr>
          <w:rFonts w:ascii="华文中宋" w:hAnsi="华文中宋" w:eastAsia="华文中宋" w:cs="华文中宋"/>
          <w:bCs/>
          <w:sz w:val="28"/>
          <w:szCs w:val="28"/>
        </w:rPr>
      </w:pPr>
      <w:r>
        <w:rPr>
          <w:rFonts w:hint="eastAsia" w:ascii="华文中宋" w:hAnsi="华文中宋" w:eastAsia="华文中宋" w:cs="华文中宋"/>
          <w:bCs/>
          <w:sz w:val="28"/>
          <w:szCs w:val="28"/>
        </w:rPr>
        <w:t>取消了城镇开发边界外原建设用地，取消了协鑫项目内大部分原规划道路、行政办公、医疗、商业、公园、变电站用地，根据水利部门相关规划设计对鲁达沟进行了优化设计；对北部用地进行了重新布局，规划了消防站，新增了沃尔特沟北侧两处给排水设施用地。</w:t>
      </w:r>
    </w:p>
    <w:tbl>
      <w:tblPr>
        <w:tblW w:w="9240"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Layout w:type="autofit"/>
        <w:tblCellMar>
          <w:top w:w="0" w:type="dxa"/>
          <w:left w:w="108" w:type="dxa"/>
          <w:bottom w:w="0" w:type="dxa"/>
          <w:right w:w="108" w:type="dxa"/>
        </w:tblCellMar>
      </w:tblPr>
      <w:tblGrid>
        <w:gridCol w:w="645"/>
        <w:gridCol w:w="690"/>
        <w:gridCol w:w="840"/>
        <w:gridCol w:w="2715"/>
        <w:gridCol w:w="2160"/>
        <w:gridCol w:w="219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405" w:hRule="atLeast"/>
          <w:jc w:val="center"/>
        </w:trPr>
        <w:tc>
          <w:tcPr>
            <w:tcW w:w="9240" w:type="dxa"/>
            <w:gridSpan w:val="6"/>
            <w:tcBorders>
              <w:top w:val="nil"/>
              <w:left w:val="nil"/>
              <w:bottom w:val="nil"/>
              <w:right w:val="nil"/>
            </w:tcBorders>
            <w:shd w:val="clear"/>
            <w:noWrap/>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4"/>
                <w:szCs w:val="24"/>
                <w:u w:val="none"/>
                <w:bdr w:val="none" w:color="auto" w:sz="0" w:space="0"/>
                <w:lang w:val="en-US" w:eastAsia="zh-CN" w:bidi="ar"/>
              </w:rPr>
              <w:t>表3-1-1 城乡用地（A区）汇总表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2175" w:type="dxa"/>
            <w:gridSpan w:val="3"/>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用地代码</w:t>
            </w:r>
          </w:p>
        </w:tc>
        <w:tc>
          <w:tcPr>
            <w:tcW w:w="2715" w:type="dxa"/>
            <w:vMerge w:val="restart"/>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用地名称</w:t>
            </w:r>
          </w:p>
        </w:tc>
        <w:tc>
          <w:tcPr>
            <w:tcW w:w="2160" w:type="dxa"/>
            <w:vMerge w:val="restart"/>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用地面积(hm²)</w:t>
            </w:r>
          </w:p>
        </w:tc>
        <w:tc>
          <w:tcPr>
            <w:tcW w:w="2190" w:type="dxa"/>
            <w:vMerge w:val="restart"/>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占城乡用地比例(%)</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645" w:type="dxa"/>
            <w:tcBorders>
              <w:top w:val="single" w:color="000000" w:sz="4" w:space="0"/>
              <w:left w:val="single" w:color="000000" w:sz="4" w:space="0"/>
              <w:bottom w:val="single" w:color="000000" w:sz="4" w:space="0"/>
              <w:right w:val="single" w:color="000000" w:sz="4" w:space="0"/>
            </w:tcBorders>
            <w:shd w:val="clear"/>
            <w:vAlign w:val="top"/>
          </w:tcPr>
          <w:p>
            <w:pPr>
              <w:keepNext w:val="0"/>
              <w:keepLines w:val="0"/>
              <w:widowControl/>
              <w:suppressLineNumbers w:val="0"/>
              <w:jc w:val="center"/>
              <w:textAlignment w:val="top"/>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大类</w:t>
            </w:r>
          </w:p>
        </w:tc>
        <w:tc>
          <w:tcPr>
            <w:tcW w:w="690" w:type="dxa"/>
            <w:tcBorders>
              <w:top w:val="single" w:color="000000" w:sz="4" w:space="0"/>
              <w:left w:val="single" w:color="000000" w:sz="4" w:space="0"/>
              <w:bottom w:val="single" w:color="000000" w:sz="4" w:space="0"/>
              <w:right w:val="single" w:color="000000" w:sz="4" w:space="0"/>
            </w:tcBorders>
            <w:shd w:val="clear"/>
            <w:vAlign w:val="top"/>
          </w:tcPr>
          <w:p>
            <w:pPr>
              <w:keepNext w:val="0"/>
              <w:keepLines w:val="0"/>
              <w:widowControl/>
              <w:suppressLineNumbers w:val="0"/>
              <w:jc w:val="center"/>
              <w:textAlignment w:val="top"/>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中类</w:t>
            </w:r>
          </w:p>
        </w:tc>
        <w:tc>
          <w:tcPr>
            <w:tcW w:w="84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小类</w:t>
            </w:r>
          </w:p>
        </w:tc>
        <w:tc>
          <w:tcPr>
            <w:tcW w:w="2715" w:type="dxa"/>
            <w:vMerge w:val="continue"/>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华文中宋" w:hAnsi="华文中宋" w:eastAsia="华文中宋" w:cs="华文中宋"/>
                <w:i w:val="0"/>
                <w:iCs w:val="0"/>
                <w:color w:val="000000"/>
                <w:sz w:val="21"/>
                <w:szCs w:val="21"/>
                <w:u w:val="none"/>
              </w:rPr>
            </w:pPr>
          </w:p>
        </w:tc>
        <w:tc>
          <w:tcPr>
            <w:tcW w:w="2160" w:type="dxa"/>
            <w:vMerge w:val="continue"/>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华文中宋" w:hAnsi="华文中宋" w:eastAsia="华文中宋" w:cs="华文中宋"/>
                <w:i w:val="0"/>
                <w:iCs w:val="0"/>
                <w:color w:val="000000"/>
                <w:sz w:val="21"/>
                <w:szCs w:val="21"/>
                <w:u w:val="none"/>
              </w:rPr>
            </w:pPr>
          </w:p>
        </w:tc>
        <w:tc>
          <w:tcPr>
            <w:tcW w:w="2190" w:type="dxa"/>
            <w:vMerge w:val="continue"/>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华文中宋" w:hAnsi="华文中宋" w:eastAsia="华文中宋" w:cs="华文中宋"/>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645" w:type="dxa"/>
            <w:vMerge w:val="restart"/>
            <w:tcBorders>
              <w:top w:val="single" w:color="000000" w:sz="4" w:space="0"/>
              <w:left w:val="single" w:color="000000" w:sz="4" w:space="0"/>
              <w:bottom w:val="nil"/>
              <w:right w:val="single" w:color="000000" w:sz="4" w:space="0"/>
            </w:tcBorders>
            <w:shd w:val="clear"/>
            <w:vAlign w:val="top"/>
          </w:tcPr>
          <w:p>
            <w:pPr>
              <w:keepNext w:val="0"/>
              <w:keepLines w:val="0"/>
              <w:widowControl/>
              <w:suppressLineNumbers w:val="0"/>
              <w:jc w:val="center"/>
              <w:textAlignment w:val="top"/>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H</w:t>
            </w:r>
          </w:p>
        </w:tc>
        <w:tc>
          <w:tcPr>
            <w:tcW w:w="690" w:type="dxa"/>
            <w:tcBorders>
              <w:top w:val="single" w:color="000000" w:sz="4" w:space="0"/>
              <w:left w:val="single" w:color="000000" w:sz="4" w:space="0"/>
              <w:bottom w:val="single" w:color="000000" w:sz="4" w:space="0"/>
              <w:right w:val="single" w:color="000000" w:sz="4" w:space="0"/>
            </w:tcBorders>
            <w:shd w:val="clear"/>
            <w:vAlign w:val="top"/>
          </w:tcPr>
          <w:p>
            <w:pPr>
              <w:jc w:val="center"/>
              <w:rPr>
                <w:rFonts w:hint="eastAsia" w:ascii="华文中宋" w:hAnsi="华文中宋" w:eastAsia="华文中宋" w:cs="华文中宋"/>
                <w:i w:val="0"/>
                <w:iCs w:val="0"/>
                <w:color w:val="000000"/>
                <w:sz w:val="21"/>
                <w:szCs w:val="21"/>
                <w:u w:val="none"/>
              </w:rPr>
            </w:pPr>
          </w:p>
        </w:tc>
        <w:tc>
          <w:tcPr>
            <w:tcW w:w="840"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华文中宋" w:hAnsi="华文中宋" w:eastAsia="华文中宋" w:cs="华文中宋"/>
                <w:i w:val="0"/>
                <w:iCs w:val="0"/>
                <w:color w:val="000000"/>
                <w:sz w:val="21"/>
                <w:szCs w:val="21"/>
                <w:u w:val="none"/>
              </w:rPr>
            </w:pPr>
          </w:p>
        </w:tc>
        <w:tc>
          <w:tcPr>
            <w:tcW w:w="271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建设用地</w:t>
            </w:r>
          </w:p>
        </w:tc>
        <w:tc>
          <w:tcPr>
            <w:tcW w:w="216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 xml:space="preserve">573.88 </w:t>
            </w:r>
          </w:p>
        </w:tc>
        <w:tc>
          <w:tcPr>
            <w:tcW w:w="219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 xml:space="preserve">99.72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285" w:hRule="atLeast"/>
          <w:jc w:val="center"/>
        </w:trPr>
        <w:tc>
          <w:tcPr>
            <w:tcW w:w="645" w:type="dxa"/>
            <w:vMerge w:val="continue"/>
            <w:tcBorders>
              <w:top w:val="single" w:color="000000" w:sz="4" w:space="0"/>
              <w:left w:val="single" w:color="000000" w:sz="4" w:space="0"/>
              <w:bottom w:val="nil"/>
              <w:right w:val="single" w:color="000000" w:sz="4" w:space="0"/>
            </w:tcBorders>
            <w:shd w:val="clear"/>
            <w:vAlign w:val="top"/>
          </w:tcPr>
          <w:p>
            <w:pPr>
              <w:jc w:val="center"/>
              <w:rPr>
                <w:rFonts w:hint="eastAsia" w:ascii="华文中宋" w:hAnsi="华文中宋" w:eastAsia="华文中宋" w:cs="华文中宋"/>
                <w:i w:val="0"/>
                <w:iCs w:val="0"/>
                <w:color w:val="000000"/>
                <w:sz w:val="21"/>
                <w:szCs w:val="21"/>
                <w:u w:val="none"/>
              </w:rPr>
            </w:pPr>
          </w:p>
        </w:tc>
        <w:tc>
          <w:tcPr>
            <w:tcW w:w="690" w:type="dxa"/>
            <w:vMerge w:val="restart"/>
            <w:tcBorders>
              <w:top w:val="single" w:color="000000" w:sz="4" w:space="0"/>
              <w:left w:val="single" w:color="000000" w:sz="4" w:space="0"/>
              <w:bottom w:val="single" w:color="000000" w:sz="4" w:space="0"/>
              <w:right w:val="single" w:color="000000" w:sz="4" w:space="0"/>
            </w:tcBorders>
            <w:shd w:val="clear"/>
            <w:vAlign w:val="top"/>
          </w:tcPr>
          <w:p>
            <w:pPr>
              <w:keepNext w:val="0"/>
              <w:keepLines w:val="0"/>
              <w:widowControl/>
              <w:suppressLineNumbers w:val="0"/>
              <w:jc w:val="center"/>
              <w:textAlignment w:val="top"/>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H1</w:t>
            </w:r>
          </w:p>
        </w:tc>
        <w:tc>
          <w:tcPr>
            <w:tcW w:w="840"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华文中宋" w:hAnsi="华文中宋" w:eastAsia="华文中宋" w:cs="华文中宋"/>
                <w:i w:val="0"/>
                <w:iCs w:val="0"/>
                <w:color w:val="000000"/>
                <w:sz w:val="21"/>
                <w:szCs w:val="21"/>
                <w:u w:val="none"/>
              </w:rPr>
            </w:pPr>
          </w:p>
        </w:tc>
        <w:tc>
          <w:tcPr>
            <w:tcW w:w="271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城乡居民点建设用地</w:t>
            </w:r>
          </w:p>
        </w:tc>
        <w:tc>
          <w:tcPr>
            <w:tcW w:w="216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 xml:space="preserve">573.88 </w:t>
            </w:r>
          </w:p>
        </w:tc>
        <w:tc>
          <w:tcPr>
            <w:tcW w:w="2190"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华文中宋" w:hAnsi="华文中宋" w:eastAsia="华文中宋" w:cs="华文中宋"/>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645" w:type="dxa"/>
            <w:vMerge w:val="continue"/>
            <w:tcBorders>
              <w:top w:val="single" w:color="000000" w:sz="4" w:space="0"/>
              <w:left w:val="single" w:color="000000" w:sz="4" w:space="0"/>
              <w:bottom w:val="nil"/>
              <w:right w:val="single" w:color="000000" w:sz="4" w:space="0"/>
            </w:tcBorders>
            <w:shd w:val="clear"/>
            <w:vAlign w:val="top"/>
          </w:tcPr>
          <w:p>
            <w:pPr>
              <w:jc w:val="center"/>
              <w:rPr>
                <w:rFonts w:hint="eastAsia" w:ascii="华文中宋" w:hAnsi="华文中宋" w:eastAsia="华文中宋" w:cs="华文中宋"/>
                <w:i w:val="0"/>
                <w:iCs w:val="0"/>
                <w:color w:val="000000"/>
                <w:sz w:val="21"/>
                <w:szCs w:val="21"/>
                <w:u w:val="none"/>
              </w:rPr>
            </w:pPr>
          </w:p>
        </w:tc>
        <w:tc>
          <w:tcPr>
            <w:tcW w:w="690" w:type="dxa"/>
            <w:vMerge w:val="continue"/>
            <w:tcBorders>
              <w:top w:val="single" w:color="000000" w:sz="4" w:space="0"/>
              <w:left w:val="single" w:color="000000" w:sz="4" w:space="0"/>
              <w:bottom w:val="single" w:color="000000" w:sz="4" w:space="0"/>
              <w:right w:val="single" w:color="000000" w:sz="4" w:space="0"/>
            </w:tcBorders>
            <w:shd w:val="clear"/>
            <w:vAlign w:val="top"/>
          </w:tcPr>
          <w:p>
            <w:pPr>
              <w:jc w:val="center"/>
              <w:rPr>
                <w:rFonts w:hint="eastAsia" w:ascii="华文中宋" w:hAnsi="华文中宋" w:eastAsia="华文中宋" w:cs="华文中宋"/>
                <w:i w:val="0"/>
                <w:iCs w:val="0"/>
                <w:color w:val="000000"/>
                <w:sz w:val="21"/>
                <w:szCs w:val="21"/>
                <w:u w:val="none"/>
              </w:rPr>
            </w:pPr>
          </w:p>
        </w:tc>
        <w:tc>
          <w:tcPr>
            <w:tcW w:w="84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H11</w:t>
            </w:r>
          </w:p>
        </w:tc>
        <w:tc>
          <w:tcPr>
            <w:tcW w:w="271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城市建设用地</w:t>
            </w:r>
          </w:p>
        </w:tc>
        <w:tc>
          <w:tcPr>
            <w:tcW w:w="216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 xml:space="preserve">573.88 </w:t>
            </w:r>
          </w:p>
        </w:tc>
        <w:tc>
          <w:tcPr>
            <w:tcW w:w="2190"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华文中宋" w:hAnsi="华文中宋" w:eastAsia="华文中宋" w:cs="华文中宋"/>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285" w:hRule="atLeast"/>
          <w:jc w:val="center"/>
        </w:trPr>
        <w:tc>
          <w:tcPr>
            <w:tcW w:w="645" w:type="dxa"/>
            <w:vMerge w:val="restart"/>
            <w:tcBorders>
              <w:top w:val="single" w:color="000000" w:sz="4" w:space="0"/>
              <w:left w:val="single" w:color="000000" w:sz="4" w:space="0"/>
              <w:bottom w:val="single" w:color="000000" w:sz="4" w:space="0"/>
              <w:right w:val="single" w:color="000000" w:sz="4" w:space="0"/>
            </w:tcBorders>
            <w:shd w:val="clear"/>
            <w:vAlign w:val="top"/>
          </w:tcPr>
          <w:p>
            <w:pPr>
              <w:keepNext w:val="0"/>
              <w:keepLines w:val="0"/>
              <w:widowControl/>
              <w:suppressLineNumbers w:val="0"/>
              <w:jc w:val="center"/>
              <w:textAlignment w:val="top"/>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E</w:t>
            </w:r>
          </w:p>
        </w:tc>
        <w:tc>
          <w:tcPr>
            <w:tcW w:w="690" w:type="dxa"/>
            <w:tcBorders>
              <w:top w:val="single" w:color="000000" w:sz="4" w:space="0"/>
              <w:left w:val="single" w:color="000000" w:sz="4" w:space="0"/>
              <w:bottom w:val="single" w:color="000000" w:sz="4" w:space="0"/>
              <w:right w:val="single" w:color="000000" w:sz="4" w:space="0"/>
            </w:tcBorders>
            <w:shd w:val="clear"/>
            <w:vAlign w:val="top"/>
          </w:tcPr>
          <w:p>
            <w:pPr>
              <w:jc w:val="center"/>
              <w:rPr>
                <w:rFonts w:hint="eastAsia" w:ascii="华文中宋" w:hAnsi="华文中宋" w:eastAsia="华文中宋" w:cs="华文中宋"/>
                <w:i w:val="0"/>
                <w:iCs w:val="0"/>
                <w:color w:val="000000"/>
                <w:sz w:val="21"/>
                <w:szCs w:val="21"/>
                <w:u w:val="none"/>
              </w:rPr>
            </w:pPr>
          </w:p>
        </w:tc>
        <w:tc>
          <w:tcPr>
            <w:tcW w:w="840"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华文中宋" w:hAnsi="华文中宋" w:eastAsia="华文中宋" w:cs="华文中宋"/>
                <w:i w:val="0"/>
                <w:iCs w:val="0"/>
                <w:color w:val="000000"/>
                <w:sz w:val="21"/>
                <w:szCs w:val="21"/>
                <w:u w:val="none"/>
              </w:rPr>
            </w:pPr>
          </w:p>
        </w:tc>
        <w:tc>
          <w:tcPr>
            <w:tcW w:w="271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非建设用地</w:t>
            </w:r>
          </w:p>
        </w:tc>
        <w:tc>
          <w:tcPr>
            <w:tcW w:w="216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 xml:space="preserve">1.62 </w:t>
            </w:r>
          </w:p>
        </w:tc>
        <w:tc>
          <w:tcPr>
            <w:tcW w:w="219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 xml:space="preserve">0.28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285" w:hRule="atLeast"/>
          <w:jc w:val="center"/>
        </w:trPr>
        <w:tc>
          <w:tcPr>
            <w:tcW w:w="645" w:type="dxa"/>
            <w:vMerge w:val="continue"/>
            <w:tcBorders>
              <w:top w:val="single" w:color="000000" w:sz="4" w:space="0"/>
              <w:left w:val="single" w:color="000000" w:sz="4" w:space="0"/>
              <w:bottom w:val="single" w:color="000000" w:sz="4" w:space="0"/>
              <w:right w:val="single" w:color="000000" w:sz="4" w:space="0"/>
            </w:tcBorders>
            <w:shd w:val="clear"/>
            <w:vAlign w:val="top"/>
          </w:tcPr>
          <w:p>
            <w:pPr>
              <w:jc w:val="center"/>
              <w:rPr>
                <w:rFonts w:hint="eastAsia" w:ascii="华文中宋" w:hAnsi="华文中宋" w:eastAsia="华文中宋" w:cs="华文中宋"/>
                <w:i w:val="0"/>
                <w:iCs w:val="0"/>
                <w:color w:val="000000"/>
                <w:sz w:val="21"/>
                <w:szCs w:val="21"/>
                <w:u w:val="none"/>
              </w:rPr>
            </w:pPr>
          </w:p>
        </w:tc>
        <w:tc>
          <w:tcPr>
            <w:tcW w:w="690" w:type="dxa"/>
            <w:vMerge w:val="restart"/>
            <w:tcBorders>
              <w:top w:val="single" w:color="000000" w:sz="4" w:space="0"/>
              <w:left w:val="single" w:color="000000" w:sz="4" w:space="0"/>
              <w:bottom w:val="single" w:color="000000" w:sz="4" w:space="0"/>
              <w:right w:val="single" w:color="000000" w:sz="4" w:space="0"/>
            </w:tcBorders>
            <w:shd w:val="clear"/>
            <w:vAlign w:val="top"/>
          </w:tcPr>
          <w:p>
            <w:pPr>
              <w:keepNext w:val="0"/>
              <w:keepLines w:val="0"/>
              <w:widowControl/>
              <w:suppressLineNumbers w:val="0"/>
              <w:jc w:val="center"/>
              <w:textAlignment w:val="top"/>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E1</w:t>
            </w:r>
          </w:p>
        </w:tc>
        <w:tc>
          <w:tcPr>
            <w:tcW w:w="840"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华文中宋" w:hAnsi="华文中宋" w:eastAsia="华文中宋" w:cs="华文中宋"/>
                <w:i w:val="0"/>
                <w:iCs w:val="0"/>
                <w:color w:val="000000"/>
                <w:sz w:val="21"/>
                <w:szCs w:val="21"/>
                <w:u w:val="none"/>
              </w:rPr>
            </w:pPr>
          </w:p>
        </w:tc>
        <w:tc>
          <w:tcPr>
            <w:tcW w:w="271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水域</w:t>
            </w:r>
          </w:p>
        </w:tc>
        <w:tc>
          <w:tcPr>
            <w:tcW w:w="216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 xml:space="preserve">1.62 </w:t>
            </w:r>
          </w:p>
        </w:tc>
        <w:tc>
          <w:tcPr>
            <w:tcW w:w="2190"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华文中宋" w:hAnsi="华文中宋" w:eastAsia="华文中宋" w:cs="华文中宋"/>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285" w:hRule="atLeast"/>
          <w:jc w:val="center"/>
        </w:trPr>
        <w:tc>
          <w:tcPr>
            <w:tcW w:w="645" w:type="dxa"/>
            <w:vMerge w:val="continue"/>
            <w:tcBorders>
              <w:top w:val="single" w:color="000000" w:sz="4" w:space="0"/>
              <w:left w:val="single" w:color="000000" w:sz="4" w:space="0"/>
              <w:bottom w:val="single" w:color="000000" w:sz="4" w:space="0"/>
              <w:right w:val="single" w:color="000000" w:sz="4" w:space="0"/>
            </w:tcBorders>
            <w:shd w:val="clear"/>
            <w:vAlign w:val="top"/>
          </w:tcPr>
          <w:p>
            <w:pPr>
              <w:jc w:val="center"/>
              <w:rPr>
                <w:rFonts w:hint="eastAsia" w:ascii="华文中宋" w:hAnsi="华文中宋" w:eastAsia="华文中宋" w:cs="华文中宋"/>
                <w:i w:val="0"/>
                <w:iCs w:val="0"/>
                <w:color w:val="000000"/>
                <w:sz w:val="21"/>
                <w:szCs w:val="21"/>
                <w:u w:val="none"/>
              </w:rPr>
            </w:pPr>
          </w:p>
        </w:tc>
        <w:tc>
          <w:tcPr>
            <w:tcW w:w="690" w:type="dxa"/>
            <w:vMerge w:val="continue"/>
            <w:tcBorders>
              <w:top w:val="single" w:color="000000" w:sz="4" w:space="0"/>
              <w:left w:val="single" w:color="000000" w:sz="4" w:space="0"/>
              <w:bottom w:val="single" w:color="000000" w:sz="4" w:space="0"/>
              <w:right w:val="single" w:color="000000" w:sz="4" w:space="0"/>
            </w:tcBorders>
            <w:shd w:val="clear"/>
            <w:vAlign w:val="top"/>
          </w:tcPr>
          <w:p>
            <w:pPr>
              <w:jc w:val="center"/>
              <w:rPr>
                <w:rFonts w:hint="eastAsia" w:ascii="华文中宋" w:hAnsi="华文中宋" w:eastAsia="华文中宋" w:cs="华文中宋"/>
                <w:i w:val="0"/>
                <w:iCs w:val="0"/>
                <w:color w:val="000000"/>
                <w:sz w:val="21"/>
                <w:szCs w:val="21"/>
                <w:u w:val="none"/>
              </w:rPr>
            </w:pPr>
          </w:p>
        </w:tc>
        <w:tc>
          <w:tcPr>
            <w:tcW w:w="84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E13</w:t>
            </w:r>
          </w:p>
        </w:tc>
        <w:tc>
          <w:tcPr>
            <w:tcW w:w="271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坑塘沟渠</w:t>
            </w:r>
          </w:p>
        </w:tc>
        <w:tc>
          <w:tcPr>
            <w:tcW w:w="216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 xml:space="preserve">1.62 </w:t>
            </w:r>
          </w:p>
        </w:tc>
        <w:tc>
          <w:tcPr>
            <w:tcW w:w="2190"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华文中宋" w:hAnsi="华文中宋" w:eastAsia="华文中宋" w:cs="华文中宋"/>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285" w:hRule="atLeast"/>
          <w:jc w:val="center"/>
        </w:trPr>
        <w:tc>
          <w:tcPr>
            <w:tcW w:w="0" w:type="auto"/>
            <w:gridSpan w:val="3"/>
            <w:tcBorders>
              <w:top w:val="single" w:color="000000" w:sz="4" w:space="0"/>
              <w:left w:val="single" w:color="000000" w:sz="4" w:space="0"/>
              <w:bottom w:val="single" w:color="000000" w:sz="4" w:space="0"/>
              <w:right w:val="single" w:color="000000" w:sz="4" w:space="0"/>
            </w:tcBorders>
            <w:shd w:val="clear"/>
            <w:noWrap/>
            <w:vAlign w:val="center"/>
          </w:tcPr>
          <w:p>
            <w:pPr>
              <w:jc w:val="center"/>
              <w:rPr>
                <w:rFonts w:hint="eastAsia" w:ascii="华文中宋" w:hAnsi="华文中宋" w:eastAsia="华文中宋" w:cs="华文中宋"/>
                <w:i w:val="0"/>
                <w:iCs w:val="0"/>
                <w:color w:val="000000"/>
                <w:sz w:val="21"/>
                <w:szCs w:val="21"/>
                <w:u w:val="none"/>
              </w:rPr>
            </w:pPr>
          </w:p>
        </w:tc>
        <w:tc>
          <w:tcPr>
            <w:tcW w:w="0" w:type="auto"/>
            <w:tcBorders>
              <w:top w:val="single" w:color="000000" w:sz="4" w:space="0"/>
              <w:left w:val="single" w:color="000000" w:sz="4" w:space="0"/>
              <w:bottom w:val="single" w:color="000000" w:sz="4" w:space="0"/>
              <w:right w:val="single" w:color="000000" w:sz="4" w:space="0"/>
            </w:tcBorders>
            <w:shd w:val="clear"/>
            <w:noWrap/>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城乡用地</w:t>
            </w:r>
          </w:p>
        </w:tc>
        <w:tc>
          <w:tcPr>
            <w:tcW w:w="0" w:type="auto"/>
            <w:tcBorders>
              <w:top w:val="single" w:color="000000" w:sz="4" w:space="0"/>
              <w:left w:val="single" w:color="000000" w:sz="4" w:space="0"/>
              <w:bottom w:val="single" w:color="000000" w:sz="4" w:space="0"/>
              <w:right w:val="single" w:color="000000" w:sz="4" w:space="0"/>
            </w:tcBorders>
            <w:shd w:val="clear"/>
            <w:noWrap/>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 xml:space="preserve">575.50 </w:t>
            </w:r>
          </w:p>
        </w:tc>
        <w:tc>
          <w:tcPr>
            <w:tcW w:w="0" w:type="auto"/>
            <w:tcBorders>
              <w:top w:val="single" w:color="000000" w:sz="4" w:space="0"/>
              <w:left w:val="single" w:color="000000" w:sz="4" w:space="0"/>
              <w:bottom w:val="single" w:color="000000" w:sz="4" w:space="0"/>
              <w:right w:val="single" w:color="000000" w:sz="4" w:space="0"/>
            </w:tcBorders>
            <w:shd w:val="clear"/>
            <w:noWrap/>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 xml:space="preserve">100.00 </w:t>
            </w:r>
          </w:p>
        </w:tc>
      </w:tr>
    </w:tbl>
    <w:p>
      <w:pPr>
        <w:pStyle w:val="2"/>
        <w:ind w:firstLine="560"/>
        <w:rPr>
          <w:rFonts w:ascii="华文中宋" w:hAnsi="华文中宋" w:eastAsia="华文中宋" w:cs="华文中宋"/>
          <w:bCs/>
          <w:sz w:val="28"/>
          <w:szCs w:val="28"/>
        </w:rPr>
      </w:pPr>
    </w:p>
    <w:tbl>
      <w:tblPr>
        <w:tblW w:w="9240"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Layout w:type="autofit"/>
        <w:tblCellMar>
          <w:top w:w="0" w:type="dxa"/>
          <w:left w:w="108" w:type="dxa"/>
          <w:bottom w:w="0" w:type="dxa"/>
          <w:right w:w="108" w:type="dxa"/>
        </w:tblCellMar>
      </w:tblPr>
      <w:tblGrid>
        <w:gridCol w:w="645"/>
        <w:gridCol w:w="690"/>
        <w:gridCol w:w="840"/>
        <w:gridCol w:w="2484"/>
        <w:gridCol w:w="2160"/>
        <w:gridCol w:w="242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405" w:hRule="atLeast"/>
          <w:jc w:val="center"/>
        </w:trPr>
        <w:tc>
          <w:tcPr>
            <w:tcW w:w="9240" w:type="dxa"/>
            <w:gridSpan w:val="6"/>
            <w:tcBorders>
              <w:top w:val="nil"/>
              <w:left w:val="nil"/>
              <w:bottom w:val="single" w:color="000000" w:sz="4" w:space="0"/>
              <w:right w:val="nil"/>
            </w:tcBorders>
            <w:shd w:val="clear"/>
            <w:noWrap/>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4"/>
                <w:szCs w:val="24"/>
                <w:u w:val="none"/>
                <w:bdr w:val="none" w:color="auto" w:sz="0" w:space="0"/>
                <w:lang w:val="en-US" w:eastAsia="zh-CN" w:bidi="ar"/>
              </w:rPr>
              <w:t>表3-1-2 城市（园区A区）建设用地平衡表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285" w:hRule="atLeast"/>
          <w:jc w:val="center"/>
        </w:trPr>
        <w:tc>
          <w:tcPr>
            <w:tcW w:w="2175" w:type="dxa"/>
            <w:gridSpan w:val="3"/>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用地代码</w:t>
            </w:r>
          </w:p>
        </w:tc>
        <w:tc>
          <w:tcPr>
            <w:tcW w:w="2715" w:type="dxa"/>
            <w:vMerge w:val="restart"/>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用地名称</w:t>
            </w:r>
          </w:p>
        </w:tc>
        <w:tc>
          <w:tcPr>
            <w:tcW w:w="2160" w:type="dxa"/>
            <w:vMerge w:val="restart"/>
            <w:tcBorders>
              <w:top w:val="nil"/>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用地面积(hm²)</w:t>
            </w:r>
          </w:p>
        </w:tc>
        <w:tc>
          <w:tcPr>
            <w:tcW w:w="0" w:type="auto"/>
            <w:vMerge w:val="restart"/>
            <w:tcBorders>
              <w:top w:val="nil"/>
              <w:left w:val="single" w:color="000000" w:sz="4" w:space="0"/>
              <w:bottom w:val="single" w:color="000000" w:sz="4" w:space="0"/>
              <w:right w:val="single" w:color="000000" w:sz="4" w:space="0"/>
            </w:tcBorders>
            <w:shd w:val="clear"/>
            <w:noWrap/>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占城市建设用地比例(%)</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285" w:hRule="atLeast"/>
          <w:jc w:val="center"/>
        </w:trPr>
        <w:tc>
          <w:tcPr>
            <w:tcW w:w="645" w:type="dxa"/>
            <w:tcBorders>
              <w:top w:val="single" w:color="000000" w:sz="4" w:space="0"/>
              <w:left w:val="single" w:color="000000" w:sz="4" w:space="0"/>
              <w:bottom w:val="single" w:color="000000" w:sz="4" w:space="0"/>
              <w:right w:val="single" w:color="000000" w:sz="4" w:space="0"/>
            </w:tcBorders>
            <w:shd w:val="clear"/>
            <w:vAlign w:val="top"/>
          </w:tcPr>
          <w:p>
            <w:pPr>
              <w:keepNext w:val="0"/>
              <w:keepLines w:val="0"/>
              <w:widowControl/>
              <w:suppressLineNumbers w:val="0"/>
              <w:jc w:val="center"/>
              <w:textAlignment w:val="top"/>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大类</w:t>
            </w:r>
          </w:p>
        </w:tc>
        <w:tc>
          <w:tcPr>
            <w:tcW w:w="690" w:type="dxa"/>
            <w:tcBorders>
              <w:top w:val="single" w:color="000000" w:sz="4" w:space="0"/>
              <w:left w:val="single" w:color="000000" w:sz="4" w:space="0"/>
              <w:bottom w:val="single" w:color="000000" w:sz="4" w:space="0"/>
              <w:right w:val="single" w:color="000000" w:sz="4" w:space="0"/>
            </w:tcBorders>
            <w:shd w:val="clear"/>
            <w:vAlign w:val="top"/>
          </w:tcPr>
          <w:p>
            <w:pPr>
              <w:keepNext w:val="0"/>
              <w:keepLines w:val="0"/>
              <w:widowControl/>
              <w:suppressLineNumbers w:val="0"/>
              <w:jc w:val="center"/>
              <w:textAlignment w:val="top"/>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中类</w:t>
            </w:r>
          </w:p>
        </w:tc>
        <w:tc>
          <w:tcPr>
            <w:tcW w:w="84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小类</w:t>
            </w:r>
          </w:p>
        </w:tc>
        <w:tc>
          <w:tcPr>
            <w:tcW w:w="2715" w:type="dxa"/>
            <w:vMerge w:val="continue"/>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华文中宋" w:hAnsi="华文中宋" w:eastAsia="华文中宋" w:cs="华文中宋"/>
                <w:i w:val="0"/>
                <w:iCs w:val="0"/>
                <w:color w:val="000000"/>
                <w:sz w:val="21"/>
                <w:szCs w:val="21"/>
                <w:u w:val="none"/>
              </w:rPr>
            </w:pPr>
          </w:p>
        </w:tc>
        <w:tc>
          <w:tcPr>
            <w:tcW w:w="2160" w:type="dxa"/>
            <w:vMerge w:val="continue"/>
            <w:tcBorders>
              <w:top w:val="nil"/>
              <w:left w:val="single" w:color="000000" w:sz="4" w:space="0"/>
              <w:bottom w:val="single" w:color="000000" w:sz="4" w:space="0"/>
              <w:right w:val="single" w:color="000000" w:sz="4" w:space="0"/>
            </w:tcBorders>
            <w:shd w:val="clear"/>
            <w:vAlign w:val="center"/>
          </w:tcPr>
          <w:p>
            <w:pPr>
              <w:jc w:val="center"/>
              <w:rPr>
                <w:rFonts w:hint="eastAsia" w:ascii="华文中宋" w:hAnsi="华文中宋" w:eastAsia="华文中宋" w:cs="华文中宋"/>
                <w:i w:val="0"/>
                <w:iCs w:val="0"/>
                <w:color w:val="000000"/>
                <w:sz w:val="21"/>
                <w:szCs w:val="21"/>
                <w:u w:val="none"/>
              </w:rPr>
            </w:pPr>
          </w:p>
        </w:tc>
        <w:tc>
          <w:tcPr>
            <w:tcW w:w="0" w:type="auto"/>
            <w:vMerge w:val="continue"/>
            <w:tcBorders>
              <w:top w:val="nil"/>
              <w:left w:val="single" w:color="000000" w:sz="4" w:space="0"/>
              <w:bottom w:val="single" w:color="000000" w:sz="4" w:space="0"/>
              <w:right w:val="single" w:color="000000" w:sz="4" w:space="0"/>
            </w:tcBorders>
            <w:shd w:val="clear"/>
            <w:noWrap/>
            <w:vAlign w:val="center"/>
          </w:tcPr>
          <w:p>
            <w:pPr>
              <w:jc w:val="center"/>
              <w:rPr>
                <w:rFonts w:hint="eastAsia" w:ascii="华文中宋" w:hAnsi="华文中宋" w:eastAsia="华文中宋" w:cs="华文中宋"/>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285" w:hRule="atLeast"/>
          <w:jc w:val="center"/>
        </w:trPr>
        <w:tc>
          <w:tcPr>
            <w:tcW w:w="645" w:type="dxa"/>
            <w:vMerge w:val="restart"/>
            <w:tcBorders>
              <w:top w:val="single" w:color="000000" w:sz="4" w:space="0"/>
              <w:left w:val="single" w:color="000000" w:sz="4" w:space="0"/>
              <w:bottom w:val="single" w:color="000000" w:sz="4" w:space="0"/>
              <w:right w:val="single" w:color="000000" w:sz="4" w:space="0"/>
            </w:tcBorders>
            <w:shd w:val="clear"/>
            <w:vAlign w:val="top"/>
          </w:tcPr>
          <w:p>
            <w:pPr>
              <w:keepNext w:val="0"/>
              <w:keepLines w:val="0"/>
              <w:widowControl/>
              <w:suppressLineNumbers w:val="0"/>
              <w:jc w:val="center"/>
              <w:textAlignment w:val="top"/>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M</w:t>
            </w:r>
          </w:p>
        </w:tc>
        <w:tc>
          <w:tcPr>
            <w:tcW w:w="690" w:type="dxa"/>
            <w:tcBorders>
              <w:top w:val="single" w:color="000000" w:sz="4" w:space="0"/>
              <w:left w:val="single" w:color="000000" w:sz="4" w:space="0"/>
              <w:bottom w:val="single" w:color="000000" w:sz="4" w:space="0"/>
              <w:right w:val="single" w:color="000000" w:sz="4" w:space="0"/>
            </w:tcBorders>
            <w:shd w:val="clear"/>
            <w:vAlign w:val="top"/>
          </w:tcPr>
          <w:p>
            <w:pPr>
              <w:jc w:val="center"/>
              <w:rPr>
                <w:rFonts w:hint="eastAsia" w:ascii="华文中宋" w:hAnsi="华文中宋" w:eastAsia="华文中宋" w:cs="华文中宋"/>
                <w:i w:val="0"/>
                <w:iCs w:val="0"/>
                <w:color w:val="000000"/>
                <w:sz w:val="21"/>
                <w:szCs w:val="21"/>
                <w:u w:val="none"/>
              </w:rPr>
            </w:pPr>
          </w:p>
        </w:tc>
        <w:tc>
          <w:tcPr>
            <w:tcW w:w="840"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华文中宋" w:hAnsi="华文中宋" w:eastAsia="华文中宋" w:cs="华文中宋"/>
                <w:i w:val="0"/>
                <w:iCs w:val="0"/>
                <w:color w:val="000000"/>
                <w:sz w:val="21"/>
                <w:szCs w:val="21"/>
                <w:u w:val="none"/>
              </w:rPr>
            </w:pPr>
          </w:p>
        </w:tc>
        <w:tc>
          <w:tcPr>
            <w:tcW w:w="271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工业用地</w:t>
            </w:r>
          </w:p>
        </w:tc>
        <w:tc>
          <w:tcPr>
            <w:tcW w:w="216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 xml:space="preserve">524.39 </w:t>
            </w:r>
          </w:p>
        </w:tc>
        <w:tc>
          <w:tcPr>
            <w:tcW w:w="219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 xml:space="preserve">91.38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285" w:hRule="atLeast"/>
          <w:jc w:val="center"/>
        </w:trPr>
        <w:tc>
          <w:tcPr>
            <w:tcW w:w="645" w:type="dxa"/>
            <w:vMerge w:val="continue"/>
            <w:tcBorders>
              <w:top w:val="single" w:color="000000" w:sz="4" w:space="0"/>
              <w:left w:val="single" w:color="000000" w:sz="4" w:space="0"/>
              <w:bottom w:val="single" w:color="000000" w:sz="4" w:space="0"/>
              <w:right w:val="single" w:color="000000" w:sz="4" w:space="0"/>
            </w:tcBorders>
            <w:shd w:val="clear"/>
            <w:vAlign w:val="top"/>
          </w:tcPr>
          <w:p>
            <w:pPr>
              <w:jc w:val="center"/>
              <w:rPr>
                <w:rFonts w:hint="eastAsia" w:ascii="华文中宋" w:hAnsi="华文中宋" w:eastAsia="华文中宋" w:cs="华文中宋"/>
                <w:i w:val="0"/>
                <w:iCs w:val="0"/>
                <w:color w:val="000000"/>
                <w:sz w:val="21"/>
                <w:szCs w:val="21"/>
                <w:u w:val="none"/>
              </w:rPr>
            </w:pPr>
          </w:p>
        </w:tc>
        <w:tc>
          <w:tcPr>
            <w:tcW w:w="690" w:type="dxa"/>
            <w:tcBorders>
              <w:top w:val="single" w:color="000000" w:sz="4" w:space="0"/>
              <w:left w:val="single" w:color="000000" w:sz="4" w:space="0"/>
              <w:bottom w:val="single" w:color="000000" w:sz="4" w:space="0"/>
              <w:right w:val="single" w:color="000000" w:sz="4" w:space="0"/>
            </w:tcBorders>
            <w:shd w:val="clear"/>
            <w:vAlign w:val="top"/>
          </w:tcPr>
          <w:p>
            <w:pPr>
              <w:keepNext w:val="0"/>
              <w:keepLines w:val="0"/>
              <w:widowControl/>
              <w:suppressLineNumbers w:val="0"/>
              <w:jc w:val="center"/>
              <w:textAlignment w:val="top"/>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M2</w:t>
            </w:r>
          </w:p>
        </w:tc>
        <w:tc>
          <w:tcPr>
            <w:tcW w:w="840"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华文中宋" w:hAnsi="华文中宋" w:eastAsia="华文中宋" w:cs="华文中宋"/>
                <w:i w:val="0"/>
                <w:iCs w:val="0"/>
                <w:color w:val="000000"/>
                <w:sz w:val="21"/>
                <w:szCs w:val="21"/>
                <w:u w:val="none"/>
              </w:rPr>
            </w:pPr>
          </w:p>
        </w:tc>
        <w:tc>
          <w:tcPr>
            <w:tcW w:w="271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二类工业用地</w:t>
            </w:r>
          </w:p>
        </w:tc>
        <w:tc>
          <w:tcPr>
            <w:tcW w:w="2160" w:type="dxa"/>
            <w:tcBorders>
              <w:top w:val="single" w:color="000000" w:sz="4" w:space="0"/>
              <w:left w:val="single" w:color="000000" w:sz="4" w:space="0"/>
              <w:bottom w:val="single" w:color="000000" w:sz="4" w:space="0"/>
              <w:right w:val="single" w:color="000000" w:sz="4" w:space="0"/>
            </w:tcBorders>
            <w:shd w:val="clear"/>
            <w:vAlign w:val="top"/>
          </w:tcPr>
          <w:p>
            <w:pPr>
              <w:keepNext w:val="0"/>
              <w:keepLines w:val="0"/>
              <w:widowControl/>
              <w:suppressLineNumbers w:val="0"/>
              <w:jc w:val="center"/>
              <w:textAlignment w:val="top"/>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 xml:space="preserve">111.72 </w:t>
            </w:r>
          </w:p>
        </w:tc>
        <w:tc>
          <w:tcPr>
            <w:tcW w:w="2190" w:type="dxa"/>
            <w:tcBorders>
              <w:top w:val="single" w:color="000000" w:sz="4" w:space="0"/>
              <w:left w:val="single" w:color="000000" w:sz="4" w:space="0"/>
              <w:bottom w:val="single" w:color="000000" w:sz="4" w:space="0"/>
              <w:right w:val="single" w:color="000000" w:sz="4" w:space="0"/>
            </w:tcBorders>
            <w:shd w:val="clear"/>
            <w:vAlign w:val="top"/>
          </w:tcPr>
          <w:p>
            <w:pPr>
              <w:jc w:val="center"/>
              <w:rPr>
                <w:rFonts w:hint="eastAsia" w:ascii="华文中宋" w:hAnsi="华文中宋" w:eastAsia="华文中宋" w:cs="华文中宋"/>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285" w:hRule="atLeast"/>
          <w:jc w:val="center"/>
        </w:trPr>
        <w:tc>
          <w:tcPr>
            <w:tcW w:w="645" w:type="dxa"/>
            <w:vMerge w:val="continue"/>
            <w:tcBorders>
              <w:top w:val="single" w:color="000000" w:sz="4" w:space="0"/>
              <w:left w:val="single" w:color="000000" w:sz="4" w:space="0"/>
              <w:bottom w:val="single" w:color="000000" w:sz="4" w:space="0"/>
              <w:right w:val="single" w:color="000000" w:sz="4" w:space="0"/>
            </w:tcBorders>
            <w:shd w:val="clear"/>
            <w:vAlign w:val="top"/>
          </w:tcPr>
          <w:p>
            <w:pPr>
              <w:jc w:val="center"/>
              <w:rPr>
                <w:rFonts w:hint="eastAsia" w:ascii="华文中宋" w:hAnsi="华文中宋" w:eastAsia="华文中宋" w:cs="华文中宋"/>
                <w:i w:val="0"/>
                <w:iCs w:val="0"/>
                <w:color w:val="000000"/>
                <w:sz w:val="21"/>
                <w:szCs w:val="21"/>
                <w:u w:val="none"/>
              </w:rPr>
            </w:pPr>
          </w:p>
        </w:tc>
        <w:tc>
          <w:tcPr>
            <w:tcW w:w="690" w:type="dxa"/>
            <w:tcBorders>
              <w:top w:val="single" w:color="000000" w:sz="4" w:space="0"/>
              <w:left w:val="single" w:color="000000" w:sz="4" w:space="0"/>
              <w:bottom w:val="single" w:color="000000" w:sz="4" w:space="0"/>
              <w:right w:val="single" w:color="000000" w:sz="4" w:space="0"/>
            </w:tcBorders>
            <w:shd w:val="clear"/>
            <w:vAlign w:val="top"/>
          </w:tcPr>
          <w:p>
            <w:pPr>
              <w:keepNext w:val="0"/>
              <w:keepLines w:val="0"/>
              <w:widowControl/>
              <w:suppressLineNumbers w:val="0"/>
              <w:jc w:val="center"/>
              <w:textAlignment w:val="top"/>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M3</w:t>
            </w:r>
          </w:p>
        </w:tc>
        <w:tc>
          <w:tcPr>
            <w:tcW w:w="840"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华文中宋" w:hAnsi="华文中宋" w:eastAsia="华文中宋" w:cs="华文中宋"/>
                <w:i w:val="0"/>
                <w:iCs w:val="0"/>
                <w:color w:val="000000"/>
                <w:sz w:val="21"/>
                <w:szCs w:val="21"/>
                <w:u w:val="none"/>
              </w:rPr>
            </w:pPr>
          </w:p>
        </w:tc>
        <w:tc>
          <w:tcPr>
            <w:tcW w:w="271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三类工业用地</w:t>
            </w:r>
          </w:p>
        </w:tc>
        <w:tc>
          <w:tcPr>
            <w:tcW w:w="2160" w:type="dxa"/>
            <w:tcBorders>
              <w:top w:val="single" w:color="000000" w:sz="4" w:space="0"/>
              <w:left w:val="single" w:color="000000" w:sz="4" w:space="0"/>
              <w:bottom w:val="single" w:color="000000" w:sz="4" w:space="0"/>
              <w:right w:val="single" w:color="000000" w:sz="4" w:space="0"/>
            </w:tcBorders>
            <w:shd w:val="clear"/>
            <w:vAlign w:val="top"/>
          </w:tcPr>
          <w:p>
            <w:pPr>
              <w:keepNext w:val="0"/>
              <w:keepLines w:val="0"/>
              <w:widowControl/>
              <w:suppressLineNumbers w:val="0"/>
              <w:jc w:val="center"/>
              <w:textAlignment w:val="top"/>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 xml:space="preserve">412.67 </w:t>
            </w:r>
          </w:p>
        </w:tc>
        <w:tc>
          <w:tcPr>
            <w:tcW w:w="2190" w:type="dxa"/>
            <w:tcBorders>
              <w:top w:val="single" w:color="000000" w:sz="4" w:space="0"/>
              <w:left w:val="single" w:color="000000" w:sz="4" w:space="0"/>
              <w:bottom w:val="single" w:color="000000" w:sz="4" w:space="0"/>
              <w:right w:val="single" w:color="000000" w:sz="4" w:space="0"/>
            </w:tcBorders>
            <w:shd w:val="clear"/>
            <w:vAlign w:val="top"/>
          </w:tcPr>
          <w:p>
            <w:pPr>
              <w:jc w:val="center"/>
              <w:rPr>
                <w:rFonts w:hint="eastAsia" w:ascii="华文中宋" w:hAnsi="华文中宋" w:eastAsia="华文中宋" w:cs="华文中宋"/>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285" w:hRule="atLeast"/>
          <w:jc w:val="center"/>
        </w:trPr>
        <w:tc>
          <w:tcPr>
            <w:tcW w:w="645" w:type="dxa"/>
            <w:vMerge w:val="restart"/>
            <w:tcBorders>
              <w:top w:val="single" w:color="000000" w:sz="4" w:space="0"/>
              <w:left w:val="single" w:color="000000" w:sz="4" w:space="0"/>
              <w:bottom w:val="nil"/>
              <w:right w:val="single" w:color="000000" w:sz="4" w:space="0"/>
            </w:tcBorders>
            <w:shd w:val="clear"/>
            <w:vAlign w:val="top"/>
          </w:tcPr>
          <w:p>
            <w:pPr>
              <w:keepNext w:val="0"/>
              <w:keepLines w:val="0"/>
              <w:widowControl/>
              <w:suppressLineNumbers w:val="0"/>
              <w:jc w:val="center"/>
              <w:textAlignment w:val="top"/>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S</w:t>
            </w:r>
          </w:p>
        </w:tc>
        <w:tc>
          <w:tcPr>
            <w:tcW w:w="690" w:type="dxa"/>
            <w:tcBorders>
              <w:top w:val="single" w:color="000000" w:sz="4" w:space="0"/>
              <w:left w:val="single" w:color="000000" w:sz="4" w:space="0"/>
              <w:bottom w:val="single" w:color="000000" w:sz="4" w:space="0"/>
              <w:right w:val="single" w:color="000000" w:sz="4" w:space="0"/>
            </w:tcBorders>
            <w:shd w:val="clear"/>
            <w:vAlign w:val="top"/>
          </w:tcPr>
          <w:p>
            <w:pPr>
              <w:jc w:val="center"/>
              <w:rPr>
                <w:rFonts w:hint="eastAsia" w:ascii="华文中宋" w:hAnsi="华文中宋" w:eastAsia="华文中宋" w:cs="华文中宋"/>
                <w:i w:val="0"/>
                <w:iCs w:val="0"/>
                <w:color w:val="000000"/>
                <w:sz w:val="21"/>
                <w:szCs w:val="21"/>
                <w:u w:val="none"/>
              </w:rPr>
            </w:pPr>
          </w:p>
        </w:tc>
        <w:tc>
          <w:tcPr>
            <w:tcW w:w="840"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华文中宋" w:hAnsi="华文中宋" w:eastAsia="华文中宋" w:cs="华文中宋"/>
                <w:i w:val="0"/>
                <w:iCs w:val="0"/>
                <w:color w:val="000000"/>
                <w:sz w:val="21"/>
                <w:szCs w:val="21"/>
                <w:u w:val="none"/>
              </w:rPr>
            </w:pPr>
          </w:p>
        </w:tc>
        <w:tc>
          <w:tcPr>
            <w:tcW w:w="271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道路与交通设施用地</w:t>
            </w:r>
          </w:p>
        </w:tc>
        <w:tc>
          <w:tcPr>
            <w:tcW w:w="216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 xml:space="preserve">17.22 </w:t>
            </w:r>
          </w:p>
        </w:tc>
        <w:tc>
          <w:tcPr>
            <w:tcW w:w="219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 xml:space="preserve">3.00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285" w:hRule="atLeast"/>
          <w:jc w:val="center"/>
        </w:trPr>
        <w:tc>
          <w:tcPr>
            <w:tcW w:w="645" w:type="dxa"/>
            <w:vMerge w:val="continue"/>
            <w:tcBorders>
              <w:top w:val="single" w:color="000000" w:sz="4" w:space="0"/>
              <w:left w:val="single" w:color="000000" w:sz="4" w:space="0"/>
              <w:bottom w:val="nil"/>
              <w:right w:val="single" w:color="000000" w:sz="4" w:space="0"/>
            </w:tcBorders>
            <w:shd w:val="clear"/>
            <w:vAlign w:val="top"/>
          </w:tcPr>
          <w:p>
            <w:pPr>
              <w:jc w:val="center"/>
              <w:rPr>
                <w:rFonts w:hint="eastAsia" w:ascii="华文中宋" w:hAnsi="华文中宋" w:eastAsia="华文中宋" w:cs="华文中宋"/>
                <w:i w:val="0"/>
                <w:iCs w:val="0"/>
                <w:color w:val="000000"/>
                <w:sz w:val="21"/>
                <w:szCs w:val="21"/>
                <w:u w:val="none"/>
              </w:rPr>
            </w:pPr>
          </w:p>
        </w:tc>
        <w:tc>
          <w:tcPr>
            <w:tcW w:w="690" w:type="dxa"/>
            <w:tcBorders>
              <w:top w:val="single" w:color="000000" w:sz="4" w:space="0"/>
              <w:left w:val="single" w:color="000000" w:sz="4" w:space="0"/>
              <w:bottom w:val="single" w:color="000000" w:sz="4" w:space="0"/>
              <w:right w:val="single" w:color="000000" w:sz="4" w:space="0"/>
            </w:tcBorders>
            <w:shd w:val="clear"/>
            <w:vAlign w:val="top"/>
          </w:tcPr>
          <w:p>
            <w:pPr>
              <w:keepNext w:val="0"/>
              <w:keepLines w:val="0"/>
              <w:widowControl/>
              <w:suppressLineNumbers w:val="0"/>
              <w:jc w:val="center"/>
              <w:textAlignment w:val="top"/>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S1</w:t>
            </w:r>
          </w:p>
        </w:tc>
        <w:tc>
          <w:tcPr>
            <w:tcW w:w="840"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华文中宋" w:hAnsi="华文中宋" w:eastAsia="华文中宋" w:cs="华文中宋"/>
                <w:i w:val="0"/>
                <w:iCs w:val="0"/>
                <w:color w:val="000000"/>
                <w:sz w:val="21"/>
                <w:szCs w:val="21"/>
                <w:u w:val="none"/>
              </w:rPr>
            </w:pPr>
          </w:p>
        </w:tc>
        <w:tc>
          <w:tcPr>
            <w:tcW w:w="271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城市道路用地</w:t>
            </w:r>
          </w:p>
        </w:tc>
        <w:tc>
          <w:tcPr>
            <w:tcW w:w="2160" w:type="dxa"/>
            <w:tcBorders>
              <w:top w:val="single" w:color="000000" w:sz="4" w:space="0"/>
              <w:left w:val="single" w:color="000000" w:sz="4" w:space="0"/>
              <w:bottom w:val="single" w:color="000000" w:sz="4" w:space="0"/>
              <w:right w:val="single" w:color="000000" w:sz="4" w:space="0"/>
            </w:tcBorders>
            <w:shd w:val="clear"/>
            <w:vAlign w:val="top"/>
          </w:tcPr>
          <w:p>
            <w:pPr>
              <w:keepNext w:val="0"/>
              <w:keepLines w:val="0"/>
              <w:widowControl/>
              <w:suppressLineNumbers w:val="0"/>
              <w:jc w:val="center"/>
              <w:textAlignment w:val="top"/>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 xml:space="preserve">17.22 </w:t>
            </w:r>
          </w:p>
        </w:tc>
        <w:tc>
          <w:tcPr>
            <w:tcW w:w="2190" w:type="dxa"/>
            <w:tcBorders>
              <w:top w:val="single" w:color="000000" w:sz="4" w:space="0"/>
              <w:left w:val="single" w:color="000000" w:sz="4" w:space="0"/>
              <w:bottom w:val="single" w:color="000000" w:sz="4" w:space="0"/>
              <w:right w:val="single" w:color="000000" w:sz="4" w:space="0"/>
            </w:tcBorders>
            <w:shd w:val="clear"/>
            <w:vAlign w:val="top"/>
          </w:tcPr>
          <w:p>
            <w:pPr>
              <w:jc w:val="center"/>
              <w:rPr>
                <w:rFonts w:hint="eastAsia" w:ascii="华文中宋" w:hAnsi="华文中宋" w:eastAsia="华文中宋" w:cs="华文中宋"/>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285" w:hRule="atLeast"/>
          <w:jc w:val="center"/>
        </w:trPr>
        <w:tc>
          <w:tcPr>
            <w:tcW w:w="645" w:type="dxa"/>
            <w:vMerge w:val="restart"/>
            <w:tcBorders>
              <w:top w:val="single" w:color="000000" w:sz="4" w:space="0"/>
              <w:left w:val="single" w:color="000000" w:sz="4" w:space="0"/>
              <w:bottom w:val="single" w:color="000000" w:sz="4" w:space="0"/>
              <w:right w:val="single" w:color="000000" w:sz="4" w:space="0"/>
            </w:tcBorders>
            <w:shd w:val="clear"/>
            <w:vAlign w:val="top"/>
          </w:tcPr>
          <w:p>
            <w:pPr>
              <w:keepNext w:val="0"/>
              <w:keepLines w:val="0"/>
              <w:widowControl/>
              <w:suppressLineNumbers w:val="0"/>
              <w:jc w:val="center"/>
              <w:textAlignment w:val="top"/>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U</w:t>
            </w:r>
          </w:p>
        </w:tc>
        <w:tc>
          <w:tcPr>
            <w:tcW w:w="690" w:type="dxa"/>
            <w:tcBorders>
              <w:top w:val="single" w:color="000000" w:sz="4" w:space="0"/>
              <w:left w:val="single" w:color="000000" w:sz="4" w:space="0"/>
              <w:bottom w:val="single" w:color="000000" w:sz="4" w:space="0"/>
              <w:right w:val="single" w:color="000000" w:sz="4" w:space="0"/>
            </w:tcBorders>
            <w:shd w:val="clear"/>
            <w:vAlign w:val="top"/>
          </w:tcPr>
          <w:p>
            <w:pPr>
              <w:jc w:val="center"/>
              <w:rPr>
                <w:rFonts w:hint="eastAsia" w:ascii="华文中宋" w:hAnsi="华文中宋" w:eastAsia="华文中宋" w:cs="华文中宋"/>
                <w:i w:val="0"/>
                <w:iCs w:val="0"/>
                <w:color w:val="000000"/>
                <w:sz w:val="21"/>
                <w:szCs w:val="21"/>
                <w:u w:val="none"/>
              </w:rPr>
            </w:pPr>
          </w:p>
        </w:tc>
        <w:tc>
          <w:tcPr>
            <w:tcW w:w="840"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华文中宋" w:hAnsi="华文中宋" w:eastAsia="华文中宋" w:cs="华文中宋"/>
                <w:i w:val="0"/>
                <w:iCs w:val="0"/>
                <w:color w:val="000000"/>
                <w:sz w:val="21"/>
                <w:szCs w:val="21"/>
                <w:u w:val="none"/>
              </w:rPr>
            </w:pPr>
          </w:p>
        </w:tc>
        <w:tc>
          <w:tcPr>
            <w:tcW w:w="271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公用设施用地</w:t>
            </w:r>
          </w:p>
        </w:tc>
        <w:tc>
          <w:tcPr>
            <w:tcW w:w="216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 xml:space="preserve">5.16 </w:t>
            </w:r>
          </w:p>
        </w:tc>
        <w:tc>
          <w:tcPr>
            <w:tcW w:w="219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 xml:space="preserve">0.90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285" w:hRule="atLeast"/>
          <w:jc w:val="center"/>
        </w:trPr>
        <w:tc>
          <w:tcPr>
            <w:tcW w:w="645" w:type="dxa"/>
            <w:vMerge w:val="continue"/>
            <w:tcBorders>
              <w:top w:val="single" w:color="000000" w:sz="4" w:space="0"/>
              <w:left w:val="single" w:color="000000" w:sz="4" w:space="0"/>
              <w:bottom w:val="single" w:color="000000" w:sz="4" w:space="0"/>
              <w:right w:val="single" w:color="000000" w:sz="4" w:space="0"/>
            </w:tcBorders>
            <w:shd w:val="clear"/>
            <w:vAlign w:val="top"/>
          </w:tcPr>
          <w:p>
            <w:pPr>
              <w:jc w:val="center"/>
              <w:rPr>
                <w:rFonts w:hint="eastAsia" w:ascii="华文中宋" w:hAnsi="华文中宋" w:eastAsia="华文中宋" w:cs="华文中宋"/>
                <w:i w:val="0"/>
                <w:iCs w:val="0"/>
                <w:color w:val="000000"/>
                <w:sz w:val="21"/>
                <w:szCs w:val="21"/>
                <w:u w:val="none"/>
              </w:rPr>
            </w:pPr>
          </w:p>
        </w:tc>
        <w:tc>
          <w:tcPr>
            <w:tcW w:w="690" w:type="dxa"/>
            <w:vMerge w:val="restart"/>
            <w:tcBorders>
              <w:top w:val="single" w:color="000000" w:sz="4" w:space="0"/>
              <w:left w:val="single" w:color="000000" w:sz="4" w:space="0"/>
              <w:bottom w:val="single" w:color="000000" w:sz="4" w:space="0"/>
              <w:right w:val="single" w:color="000000" w:sz="4" w:space="0"/>
            </w:tcBorders>
            <w:shd w:val="clear"/>
            <w:vAlign w:val="top"/>
          </w:tcPr>
          <w:p>
            <w:pPr>
              <w:keepNext w:val="0"/>
              <w:keepLines w:val="0"/>
              <w:widowControl/>
              <w:suppressLineNumbers w:val="0"/>
              <w:jc w:val="center"/>
              <w:textAlignment w:val="top"/>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U1</w:t>
            </w:r>
          </w:p>
        </w:tc>
        <w:tc>
          <w:tcPr>
            <w:tcW w:w="840"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华文中宋" w:hAnsi="华文中宋" w:eastAsia="华文中宋" w:cs="华文中宋"/>
                <w:i w:val="0"/>
                <w:iCs w:val="0"/>
                <w:color w:val="000000"/>
                <w:sz w:val="21"/>
                <w:szCs w:val="21"/>
                <w:u w:val="none"/>
              </w:rPr>
            </w:pPr>
          </w:p>
        </w:tc>
        <w:tc>
          <w:tcPr>
            <w:tcW w:w="271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供应设施用地</w:t>
            </w:r>
          </w:p>
        </w:tc>
        <w:tc>
          <w:tcPr>
            <w:tcW w:w="216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 xml:space="preserve">2.22 </w:t>
            </w:r>
          </w:p>
        </w:tc>
        <w:tc>
          <w:tcPr>
            <w:tcW w:w="2190"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华文中宋" w:hAnsi="华文中宋" w:eastAsia="华文中宋" w:cs="华文中宋"/>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285" w:hRule="atLeast"/>
          <w:jc w:val="center"/>
        </w:trPr>
        <w:tc>
          <w:tcPr>
            <w:tcW w:w="645" w:type="dxa"/>
            <w:vMerge w:val="continue"/>
            <w:tcBorders>
              <w:top w:val="single" w:color="000000" w:sz="4" w:space="0"/>
              <w:left w:val="single" w:color="000000" w:sz="4" w:space="0"/>
              <w:bottom w:val="single" w:color="000000" w:sz="4" w:space="0"/>
              <w:right w:val="single" w:color="000000" w:sz="4" w:space="0"/>
            </w:tcBorders>
            <w:shd w:val="clear"/>
            <w:vAlign w:val="top"/>
          </w:tcPr>
          <w:p>
            <w:pPr>
              <w:jc w:val="center"/>
              <w:rPr>
                <w:rFonts w:hint="eastAsia" w:ascii="华文中宋" w:hAnsi="华文中宋" w:eastAsia="华文中宋" w:cs="华文中宋"/>
                <w:i w:val="0"/>
                <w:iCs w:val="0"/>
                <w:color w:val="000000"/>
                <w:sz w:val="21"/>
                <w:szCs w:val="21"/>
                <w:u w:val="none"/>
              </w:rPr>
            </w:pPr>
          </w:p>
        </w:tc>
        <w:tc>
          <w:tcPr>
            <w:tcW w:w="690" w:type="dxa"/>
            <w:vMerge w:val="continue"/>
            <w:tcBorders>
              <w:top w:val="single" w:color="000000" w:sz="4" w:space="0"/>
              <w:left w:val="single" w:color="000000" w:sz="4" w:space="0"/>
              <w:bottom w:val="single" w:color="000000" w:sz="4" w:space="0"/>
              <w:right w:val="single" w:color="000000" w:sz="4" w:space="0"/>
            </w:tcBorders>
            <w:shd w:val="clear"/>
            <w:vAlign w:val="top"/>
          </w:tcPr>
          <w:p>
            <w:pPr>
              <w:jc w:val="center"/>
              <w:rPr>
                <w:rFonts w:hint="eastAsia" w:ascii="华文中宋" w:hAnsi="华文中宋" w:eastAsia="华文中宋" w:cs="华文中宋"/>
                <w:i w:val="0"/>
                <w:iCs w:val="0"/>
                <w:color w:val="000000"/>
                <w:sz w:val="21"/>
                <w:szCs w:val="21"/>
                <w:u w:val="none"/>
              </w:rPr>
            </w:pPr>
          </w:p>
        </w:tc>
        <w:tc>
          <w:tcPr>
            <w:tcW w:w="84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U11</w:t>
            </w:r>
          </w:p>
        </w:tc>
        <w:tc>
          <w:tcPr>
            <w:tcW w:w="271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供水用地</w:t>
            </w:r>
          </w:p>
        </w:tc>
        <w:tc>
          <w:tcPr>
            <w:tcW w:w="216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 xml:space="preserve">2.22 </w:t>
            </w:r>
          </w:p>
        </w:tc>
        <w:tc>
          <w:tcPr>
            <w:tcW w:w="2190"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华文中宋" w:hAnsi="华文中宋" w:eastAsia="华文中宋" w:cs="华文中宋"/>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285" w:hRule="atLeast"/>
          <w:jc w:val="center"/>
        </w:trPr>
        <w:tc>
          <w:tcPr>
            <w:tcW w:w="645" w:type="dxa"/>
            <w:vMerge w:val="continue"/>
            <w:tcBorders>
              <w:top w:val="single" w:color="000000" w:sz="4" w:space="0"/>
              <w:left w:val="single" w:color="000000" w:sz="4" w:space="0"/>
              <w:bottom w:val="single" w:color="000000" w:sz="4" w:space="0"/>
              <w:right w:val="single" w:color="000000" w:sz="4" w:space="0"/>
            </w:tcBorders>
            <w:shd w:val="clear"/>
            <w:vAlign w:val="top"/>
          </w:tcPr>
          <w:p>
            <w:pPr>
              <w:jc w:val="center"/>
              <w:rPr>
                <w:rFonts w:hint="eastAsia" w:ascii="华文中宋" w:hAnsi="华文中宋" w:eastAsia="华文中宋" w:cs="华文中宋"/>
                <w:i w:val="0"/>
                <w:iCs w:val="0"/>
                <w:color w:val="000000"/>
                <w:sz w:val="21"/>
                <w:szCs w:val="21"/>
                <w:u w:val="none"/>
              </w:rPr>
            </w:pPr>
          </w:p>
        </w:tc>
        <w:tc>
          <w:tcPr>
            <w:tcW w:w="690" w:type="dxa"/>
            <w:vMerge w:val="restart"/>
            <w:tcBorders>
              <w:top w:val="single" w:color="000000" w:sz="4" w:space="0"/>
              <w:left w:val="single" w:color="000000" w:sz="4" w:space="0"/>
              <w:bottom w:val="single" w:color="000000" w:sz="4" w:space="0"/>
              <w:right w:val="single" w:color="000000" w:sz="4" w:space="0"/>
            </w:tcBorders>
            <w:shd w:val="clear"/>
            <w:vAlign w:val="top"/>
          </w:tcPr>
          <w:p>
            <w:pPr>
              <w:keepNext w:val="0"/>
              <w:keepLines w:val="0"/>
              <w:widowControl/>
              <w:suppressLineNumbers w:val="0"/>
              <w:jc w:val="center"/>
              <w:textAlignment w:val="top"/>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U2</w:t>
            </w:r>
          </w:p>
        </w:tc>
        <w:tc>
          <w:tcPr>
            <w:tcW w:w="840"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华文中宋" w:hAnsi="华文中宋" w:eastAsia="华文中宋" w:cs="华文中宋"/>
                <w:i w:val="0"/>
                <w:iCs w:val="0"/>
                <w:color w:val="000000"/>
                <w:sz w:val="21"/>
                <w:szCs w:val="21"/>
                <w:u w:val="none"/>
              </w:rPr>
            </w:pPr>
          </w:p>
        </w:tc>
        <w:tc>
          <w:tcPr>
            <w:tcW w:w="271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环境设施用地</w:t>
            </w:r>
          </w:p>
        </w:tc>
        <w:tc>
          <w:tcPr>
            <w:tcW w:w="216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 xml:space="preserve">2.27 </w:t>
            </w:r>
          </w:p>
        </w:tc>
        <w:tc>
          <w:tcPr>
            <w:tcW w:w="2190"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华文中宋" w:hAnsi="华文中宋" w:eastAsia="华文中宋" w:cs="华文中宋"/>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285" w:hRule="atLeast"/>
          <w:jc w:val="center"/>
        </w:trPr>
        <w:tc>
          <w:tcPr>
            <w:tcW w:w="645" w:type="dxa"/>
            <w:vMerge w:val="continue"/>
            <w:tcBorders>
              <w:top w:val="single" w:color="000000" w:sz="4" w:space="0"/>
              <w:left w:val="single" w:color="000000" w:sz="4" w:space="0"/>
              <w:bottom w:val="single" w:color="000000" w:sz="4" w:space="0"/>
              <w:right w:val="single" w:color="000000" w:sz="4" w:space="0"/>
            </w:tcBorders>
            <w:shd w:val="clear"/>
            <w:vAlign w:val="top"/>
          </w:tcPr>
          <w:p>
            <w:pPr>
              <w:jc w:val="center"/>
              <w:rPr>
                <w:rFonts w:hint="eastAsia" w:ascii="华文中宋" w:hAnsi="华文中宋" w:eastAsia="华文中宋" w:cs="华文中宋"/>
                <w:i w:val="0"/>
                <w:iCs w:val="0"/>
                <w:color w:val="000000"/>
                <w:sz w:val="21"/>
                <w:szCs w:val="21"/>
                <w:u w:val="none"/>
              </w:rPr>
            </w:pPr>
          </w:p>
        </w:tc>
        <w:tc>
          <w:tcPr>
            <w:tcW w:w="690" w:type="dxa"/>
            <w:vMerge w:val="continue"/>
            <w:tcBorders>
              <w:top w:val="single" w:color="000000" w:sz="4" w:space="0"/>
              <w:left w:val="single" w:color="000000" w:sz="4" w:space="0"/>
              <w:bottom w:val="single" w:color="000000" w:sz="4" w:space="0"/>
              <w:right w:val="single" w:color="000000" w:sz="4" w:space="0"/>
            </w:tcBorders>
            <w:shd w:val="clear"/>
            <w:vAlign w:val="top"/>
          </w:tcPr>
          <w:p>
            <w:pPr>
              <w:jc w:val="center"/>
              <w:rPr>
                <w:rFonts w:hint="eastAsia" w:ascii="华文中宋" w:hAnsi="华文中宋" w:eastAsia="华文中宋" w:cs="华文中宋"/>
                <w:i w:val="0"/>
                <w:iCs w:val="0"/>
                <w:color w:val="000000"/>
                <w:sz w:val="21"/>
                <w:szCs w:val="21"/>
                <w:u w:val="none"/>
              </w:rPr>
            </w:pPr>
          </w:p>
        </w:tc>
        <w:tc>
          <w:tcPr>
            <w:tcW w:w="84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U21</w:t>
            </w:r>
          </w:p>
        </w:tc>
        <w:tc>
          <w:tcPr>
            <w:tcW w:w="271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排水用地</w:t>
            </w:r>
          </w:p>
        </w:tc>
        <w:tc>
          <w:tcPr>
            <w:tcW w:w="216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 xml:space="preserve">2.07 </w:t>
            </w:r>
          </w:p>
        </w:tc>
        <w:tc>
          <w:tcPr>
            <w:tcW w:w="2190"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华文中宋" w:hAnsi="华文中宋" w:eastAsia="华文中宋" w:cs="华文中宋"/>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285" w:hRule="atLeast"/>
          <w:jc w:val="center"/>
        </w:trPr>
        <w:tc>
          <w:tcPr>
            <w:tcW w:w="645" w:type="dxa"/>
            <w:vMerge w:val="continue"/>
            <w:tcBorders>
              <w:top w:val="single" w:color="000000" w:sz="4" w:space="0"/>
              <w:left w:val="single" w:color="000000" w:sz="4" w:space="0"/>
              <w:bottom w:val="single" w:color="000000" w:sz="4" w:space="0"/>
              <w:right w:val="single" w:color="000000" w:sz="4" w:space="0"/>
            </w:tcBorders>
            <w:shd w:val="clear"/>
            <w:vAlign w:val="top"/>
          </w:tcPr>
          <w:p>
            <w:pPr>
              <w:jc w:val="center"/>
              <w:rPr>
                <w:rFonts w:hint="eastAsia" w:ascii="华文中宋" w:hAnsi="华文中宋" w:eastAsia="华文中宋" w:cs="华文中宋"/>
                <w:i w:val="0"/>
                <w:iCs w:val="0"/>
                <w:color w:val="000000"/>
                <w:sz w:val="21"/>
                <w:szCs w:val="21"/>
                <w:u w:val="none"/>
              </w:rPr>
            </w:pPr>
          </w:p>
        </w:tc>
        <w:tc>
          <w:tcPr>
            <w:tcW w:w="690" w:type="dxa"/>
            <w:vMerge w:val="continue"/>
            <w:tcBorders>
              <w:top w:val="single" w:color="000000" w:sz="4" w:space="0"/>
              <w:left w:val="single" w:color="000000" w:sz="4" w:space="0"/>
              <w:bottom w:val="single" w:color="000000" w:sz="4" w:space="0"/>
              <w:right w:val="single" w:color="000000" w:sz="4" w:space="0"/>
            </w:tcBorders>
            <w:shd w:val="clear"/>
            <w:vAlign w:val="top"/>
          </w:tcPr>
          <w:p>
            <w:pPr>
              <w:jc w:val="center"/>
              <w:rPr>
                <w:rFonts w:hint="eastAsia" w:ascii="华文中宋" w:hAnsi="华文中宋" w:eastAsia="华文中宋" w:cs="华文中宋"/>
                <w:i w:val="0"/>
                <w:iCs w:val="0"/>
                <w:color w:val="000000"/>
                <w:sz w:val="21"/>
                <w:szCs w:val="21"/>
                <w:u w:val="none"/>
              </w:rPr>
            </w:pPr>
          </w:p>
        </w:tc>
        <w:tc>
          <w:tcPr>
            <w:tcW w:w="84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U22</w:t>
            </w:r>
          </w:p>
        </w:tc>
        <w:tc>
          <w:tcPr>
            <w:tcW w:w="271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环卫用地</w:t>
            </w:r>
          </w:p>
        </w:tc>
        <w:tc>
          <w:tcPr>
            <w:tcW w:w="216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 xml:space="preserve">0.21 </w:t>
            </w:r>
          </w:p>
        </w:tc>
        <w:tc>
          <w:tcPr>
            <w:tcW w:w="2190"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华文中宋" w:hAnsi="华文中宋" w:eastAsia="华文中宋" w:cs="华文中宋"/>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285" w:hRule="atLeast"/>
          <w:jc w:val="center"/>
        </w:trPr>
        <w:tc>
          <w:tcPr>
            <w:tcW w:w="645" w:type="dxa"/>
            <w:vMerge w:val="continue"/>
            <w:tcBorders>
              <w:top w:val="single" w:color="000000" w:sz="4" w:space="0"/>
              <w:left w:val="single" w:color="000000" w:sz="4" w:space="0"/>
              <w:bottom w:val="single" w:color="000000" w:sz="4" w:space="0"/>
              <w:right w:val="single" w:color="000000" w:sz="4" w:space="0"/>
            </w:tcBorders>
            <w:shd w:val="clear"/>
            <w:vAlign w:val="top"/>
          </w:tcPr>
          <w:p>
            <w:pPr>
              <w:jc w:val="center"/>
              <w:rPr>
                <w:rFonts w:hint="eastAsia" w:ascii="华文中宋" w:hAnsi="华文中宋" w:eastAsia="华文中宋" w:cs="华文中宋"/>
                <w:i w:val="0"/>
                <w:iCs w:val="0"/>
                <w:color w:val="000000"/>
                <w:sz w:val="21"/>
                <w:szCs w:val="21"/>
                <w:u w:val="none"/>
              </w:rPr>
            </w:pPr>
          </w:p>
        </w:tc>
        <w:tc>
          <w:tcPr>
            <w:tcW w:w="690" w:type="dxa"/>
            <w:vMerge w:val="restart"/>
            <w:tcBorders>
              <w:top w:val="single" w:color="000000" w:sz="4" w:space="0"/>
              <w:left w:val="single" w:color="000000" w:sz="4" w:space="0"/>
              <w:bottom w:val="single" w:color="000000" w:sz="4" w:space="0"/>
              <w:right w:val="single" w:color="000000" w:sz="4" w:space="0"/>
            </w:tcBorders>
            <w:shd w:val="clear"/>
            <w:vAlign w:val="top"/>
          </w:tcPr>
          <w:p>
            <w:pPr>
              <w:keepNext w:val="0"/>
              <w:keepLines w:val="0"/>
              <w:widowControl/>
              <w:suppressLineNumbers w:val="0"/>
              <w:jc w:val="center"/>
              <w:textAlignment w:val="top"/>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U3</w:t>
            </w:r>
          </w:p>
        </w:tc>
        <w:tc>
          <w:tcPr>
            <w:tcW w:w="840"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华文中宋" w:hAnsi="华文中宋" w:eastAsia="华文中宋" w:cs="华文中宋"/>
                <w:i w:val="0"/>
                <w:iCs w:val="0"/>
                <w:color w:val="000000"/>
                <w:sz w:val="21"/>
                <w:szCs w:val="21"/>
                <w:u w:val="none"/>
              </w:rPr>
            </w:pPr>
          </w:p>
        </w:tc>
        <w:tc>
          <w:tcPr>
            <w:tcW w:w="271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安全设施用地</w:t>
            </w:r>
          </w:p>
        </w:tc>
        <w:tc>
          <w:tcPr>
            <w:tcW w:w="216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 xml:space="preserve">0.67 </w:t>
            </w:r>
          </w:p>
        </w:tc>
        <w:tc>
          <w:tcPr>
            <w:tcW w:w="2190"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华文中宋" w:hAnsi="华文中宋" w:eastAsia="华文中宋" w:cs="华文中宋"/>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285" w:hRule="atLeast"/>
          <w:jc w:val="center"/>
        </w:trPr>
        <w:tc>
          <w:tcPr>
            <w:tcW w:w="645" w:type="dxa"/>
            <w:vMerge w:val="continue"/>
            <w:tcBorders>
              <w:top w:val="single" w:color="000000" w:sz="4" w:space="0"/>
              <w:left w:val="single" w:color="000000" w:sz="4" w:space="0"/>
              <w:bottom w:val="single" w:color="auto" w:sz="4" w:space="0"/>
              <w:right w:val="single" w:color="000000" w:sz="4" w:space="0"/>
            </w:tcBorders>
            <w:shd w:val="clear"/>
            <w:vAlign w:val="top"/>
          </w:tcPr>
          <w:p>
            <w:pPr>
              <w:jc w:val="center"/>
              <w:rPr>
                <w:rFonts w:hint="eastAsia" w:ascii="华文中宋" w:hAnsi="华文中宋" w:eastAsia="华文中宋" w:cs="华文中宋"/>
                <w:i w:val="0"/>
                <w:iCs w:val="0"/>
                <w:color w:val="000000"/>
                <w:sz w:val="21"/>
                <w:szCs w:val="21"/>
                <w:u w:val="none"/>
              </w:rPr>
            </w:pPr>
          </w:p>
        </w:tc>
        <w:tc>
          <w:tcPr>
            <w:tcW w:w="690" w:type="dxa"/>
            <w:vMerge w:val="continue"/>
            <w:tcBorders>
              <w:top w:val="single" w:color="000000" w:sz="4" w:space="0"/>
              <w:left w:val="single" w:color="000000" w:sz="4" w:space="0"/>
              <w:bottom w:val="single" w:color="auto" w:sz="4" w:space="0"/>
              <w:right w:val="single" w:color="000000" w:sz="4" w:space="0"/>
            </w:tcBorders>
            <w:shd w:val="clear"/>
            <w:vAlign w:val="top"/>
          </w:tcPr>
          <w:p>
            <w:pPr>
              <w:jc w:val="center"/>
              <w:rPr>
                <w:rFonts w:hint="eastAsia" w:ascii="华文中宋" w:hAnsi="华文中宋" w:eastAsia="华文中宋" w:cs="华文中宋"/>
                <w:i w:val="0"/>
                <w:iCs w:val="0"/>
                <w:color w:val="000000"/>
                <w:sz w:val="21"/>
                <w:szCs w:val="21"/>
                <w:u w:val="none"/>
              </w:rPr>
            </w:pPr>
          </w:p>
        </w:tc>
        <w:tc>
          <w:tcPr>
            <w:tcW w:w="840" w:type="dxa"/>
            <w:tcBorders>
              <w:top w:val="single" w:color="000000" w:sz="4" w:space="0"/>
              <w:left w:val="single" w:color="000000" w:sz="4" w:space="0"/>
              <w:bottom w:val="single" w:color="auto"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U31</w:t>
            </w:r>
          </w:p>
        </w:tc>
        <w:tc>
          <w:tcPr>
            <w:tcW w:w="2715"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消防用地</w:t>
            </w:r>
          </w:p>
        </w:tc>
        <w:tc>
          <w:tcPr>
            <w:tcW w:w="216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 xml:space="preserve">0.67 </w:t>
            </w:r>
          </w:p>
        </w:tc>
        <w:tc>
          <w:tcPr>
            <w:tcW w:w="2190" w:type="dxa"/>
            <w:tcBorders>
              <w:top w:val="single" w:color="000000" w:sz="4" w:space="0"/>
              <w:left w:val="single" w:color="000000" w:sz="4" w:space="0"/>
              <w:bottom w:val="single" w:color="000000" w:sz="4" w:space="0"/>
              <w:right w:val="single" w:color="000000" w:sz="4" w:space="0"/>
            </w:tcBorders>
            <w:shd w:val="clear"/>
            <w:vAlign w:val="center"/>
          </w:tcPr>
          <w:p>
            <w:pPr>
              <w:jc w:val="center"/>
              <w:rPr>
                <w:rFonts w:hint="eastAsia" w:ascii="华文中宋" w:hAnsi="华文中宋" w:eastAsia="华文中宋" w:cs="华文中宋"/>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85" w:hRule="atLeast"/>
          <w:jc w:val="center"/>
        </w:trPr>
        <w:tc>
          <w:tcPr>
            <w:tcW w:w="645" w:type="dxa"/>
            <w:vMerge w:val="restart"/>
            <w:tcBorders>
              <w:top w:val="single" w:color="auto" w:sz="4" w:space="0"/>
              <w:left w:val="single" w:color="auto" w:sz="4" w:space="0"/>
              <w:bottom w:val="single" w:color="auto" w:sz="4" w:space="0"/>
              <w:right w:val="single" w:color="auto" w:sz="4" w:space="0"/>
            </w:tcBorders>
            <w:shd w:val="clear"/>
            <w:vAlign w:val="top"/>
          </w:tcPr>
          <w:p>
            <w:pPr>
              <w:keepNext w:val="0"/>
              <w:keepLines w:val="0"/>
              <w:widowControl/>
              <w:suppressLineNumbers w:val="0"/>
              <w:jc w:val="center"/>
              <w:textAlignment w:val="top"/>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G</w:t>
            </w:r>
          </w:p>
        </w:tc>
        <w:tc>
          <w:tcPr>
            <w:tcW w:w="690" w:type="dxa"/>
            <w:tcBorders>
              <w:top w:val="single" w:color="auto" w:sz="4" w:space="0"/>
              <w:left w:val="single" w:color="auto" w:sz="4" w:space="0"/>
              <w:bottom w:val="single" w:color="auto" w:sz="4" w:space="0"/>
              <w:right w:val="single" w:color="auto" w:sz="4" w:space="0"/>
            </w:tcBorders>
            <w:shd w:val="clear"/>
            <w:vAlign w:val="top"/>
          </w:tcPr>
          <w:p>
            <w:pPr>
              <w:jc w:val="center"/>
              <w:rPr>
                <w:rFonts w:hint="eastAsia" w:ascii="华文中宋" w:hAnsi="华文中宋" w:eastAsia="华文中宋" w:cs="华文中宋"/>
                <w:i w:val="0"/>
                <w:iCs w:val="0"/>
                <w:color w:val="000000"/>
                <w:sz w:val="21"/>
                <w:szCs w:val="21"/>
                <w:u w:val="none"/>
              </w:rPr>
            </w:pPr>
          </w:p>
        </w:tc>
        <w:tc>
          <w:tcPr>
            <w:tcW w:w="840" w:type="dxa"/>
            <w:tcBorders>
              <w:top w:val="single" w:color="auto" w:sz="4" w:space="0"/>
              <w:left w:val="single" w:color="auto" w:sz="4" w:space="0"/>
              <w:bottom w:val="single" w:color="auto" w:sz="4" w:space="0"/>
              <w:right w:val="single" w:color="auto" w:sz="4" w:space="0"/>
            </w:tcBorders>
            <w:shd w:val="clear"/>
            <w:vAlign w:val="center"/>
          </w:tcPr>
          <w:p>
            <w:pPr>
              <w:jc w:val="center"/>
              <w:rPr>
                <w:rFonts w:hint="eastAsia" w:ascii="华文中宋" w:hAnsi="华文中宋" w:eastAsia="华文中宋" w:cs="华文中宋"/>
                <w:i w:val="0"/>
                <w:iCs w:val="0"/>
                <w:color w:val="000000"/>
                <w:sz w:val="21"/>
                <w:szCs w:val="21"/>
                <w:u w:val="none"/>
              </w:rPr>
            </w:pPr>
          </w:p>
        </w:tc>
        <w:tc>
          <w:tcPr>
            <w:tcW w:w="2715" w:type="dxa"/>
            <w:tcBorders>
              <w:top w:val="single" w:color="000000" w:sz="4" w:space="0"/>
              <w:left w:val="single" w:color="auto"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绿地与广场用地</w:t>
            </w:r>
          </w:p>
        </w:tc>
        <w:tc>
          <w:tcPr>
            <w:tcW w:w="216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 xml:space="preserve">27.11 </w:t>
            </w:r>
          </w:p>
        </w:tc>
        <w:tc>
          <w:tcPr>
            <w:tcW w:w="2190" w:type="dxa"/>
            <w:tcBorders>
              <w:top w:val="single" w:color="000000" w:sz="4" w:space="0"/>
              <w:left w:val="single" w:color="000000"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 xml:space="preserve">4.72 </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285" w:hRule="atLeast"/>
          <w:jc w:val="center"/>
        </w:trPr>
        <w:tc>
          <w:tcPr>
            <w:tcW w:w="645" w:type="dxa"/>
            <w:vMerge w:val="continue"/>
            <w:tcBorders>
              <w:top w:val="single" w:color="auto" w:sz="4" w:space="0"/>
              <w:left w:val="single" w:color="auto" w:sz="4" w:space="0"/>
              <w:bottom w:val="single" w:color="auto" w:sz="4" w:space="0"/>
              <w:right w:val="single" w:color="auto" w:sz="4" w:space="0"/>
            </w:tcBorders>
            <w:shd w:val="clear"/>
            <w:vAlign w:val="top"/>
          </w:tcPr>
          <w:p>
            <w:pPr>
              <w:jc w:val="center"/>
              <w:rPr>
                <w:rFonts w:hint="eastAsia" w:ascii="华文中宋" w:hAnsi="华文中宋" w:eastAsia="华文中宋" w:cs="华文中宋"/>
                <w:i w:val="0"/>
                <w:iCs w:val="0"/>
                <w:color w:val="000000"/>
                <w:sz w:val="21"/>
                <w:szCs w:val="21"/>
                <w:u w:val="none"/>
              </w:rPr>
            </w:pPr>
          </w:p>
        </w:tc>
        <w:tc>
          <w:tcPr>
            <w:tcW w:w="690" w:type="dxa"/>
            <w:tcBorders>
              <w:top w:val="single" w:color="auto" w:sz="4" w:space="0"/>
              <w:left w:val="single" w:color="auto" w:sz="4" w:space="0"/>
              <w:bottom w:val="single" w:color="auto" w:sz="4" w:space="0"/>
              <w:right w:val="single" w:color="auto" w:sz="4" w:space="0"/>
            </w:tcBorders>
            <w:shd w:val="clear"/>
            <w:vAlign w:val="top"/>
          </w:tcPr>
          <w:p>
            <w:pPr>
              <w:keepNext w:val="0"/>
              <w:keepLines w:val="0"/>
              <w:widowControl/>
              <w:suppressLineNumbers w:val="0"/>
              <w:jc w:val="center"/>
              <w:textAlignment w:val="top"/>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G2</w:t>
            </w:r>
          </w:p>
        </w:tc>
        <w:tc>
          <w:tcPr>
            <w:tcW w:w="840" w:type="dxa"/>
            <w:tcBorders>
              <w:top w:val="single" w:color="auto" w:sz="4" w:space="0"/>
              <w:left w:val="single" w:color="auto" w:sz="4" w:space="0"/>
              <w:bottom w:val="single" w:color="auto" w:sz="4" w:space="0"/>
              <w:right w:val="single" w:color="auto" w:sz="4" w:space="0"/>
            </w:tcBorders>
            <w:shd w:val="clear"/>
            <w:vAlign w:val="center"/>
          </w:tcPr>
          <w:p>
            <w:pPr>
              <w:jc w:val="center"/>
              <w:rPr>
                <w:rFonts w:hint="eastAsia" w:ascii="华文中宋" w:hAnsi="华文中宋" w:eastAsia="华文中宋" w:cs="华文中宋"/>
                <w:i w:val="0"/>
                <w:iCs w:val="0"/>
                <w:color w:val="000000"/>
                <w:sz w:val="21"/>
                <w:szCs w:val="21"/>
                <w:u w:val="none"/>
              </w:rPr>
            </w:pPr>
          </w:p>
        </w:tc>
        <w:tc>
          <w:tcPr>
            <w:tcW w:w="2715" w:type="dxa"/>
            <w:tcBorders>
              <w:top w:val="single" w:color="000000" w:sz="4" w:space="0"/>
              <w:left w:val="single" w:color="auto"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防护绿地</w:t>
            </w:r>
          </w:p>
        </w:tc>
        <w:tc>
          <w:tcPr>
            <w:tcW w:w="2160" w:type="dxa"/>
            <w:tcBorders>
              <w:top w:val="single" w:color="000000" w:sz="4" w:space="0"/>
              <w:left w:val="single" w:color="000000" w:sz="4" w:space="0"/>
              <w:bottom w:val="single" w:color="000000" w:sz="4" w:space="0"/>
              <w:right w:val="single" w:color="000000" w:sz="4" w:space="0"/>
            </w:tcBorders>
            <w:shd w:val="clear"/>
            <w:vAlign w:val="top"/>
          </w:tcPr>
          <w:p>
            <w:pPr>
              <w:keepNext w:val="0"/>
              <w:keepLines w:val="0"/>
              <w:widowControl/>
              <w:suppressLineNumbers w:val="0"/>
              <w:jc w:val="center"/>
              <w:textAlignment w:val="top"/>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 xml:space="preserve">27.11 </w:t>
            </w:r>
          </w:p>
        </w:tc>
        <w:tc>
          <w:tcPr>
            <w:tcW w:w="2190" w:type="dxa"/>
            <w:tcBorders>
              <w:top w:val="single" w:color="000000" w:sz="4" w:space="0"/>
              <w:left w:val="single" w:color="000000" w:sz="4" w:space="0"/>
              <w:bottom w:val="single" w:color="000000" w:sz="4" w:space="0"/>
              <w:right w:val="single" w:color="000000" w:sz="4" w:space="0"/>
            </w:tcBorders>
            <w:shd w:val="clear"/>
            <w:vAlign w:val="top"/>
          </w:tcPr>
          <w:p>
            <w:pPr>
              <w:jc w:val="center"/>
              <w:rPr>
                <w:rFonts w:hint="eastAsia" w:ascii="华文中宋" w:hAnsi="华文中宋" w:eastAsia="华文中宋" w:cs="华文中宋"/>
                <w:i w:val="0"/>
                <w:iCs w:val="0"/>
                <w:color w:val="000000"/>
                <w:sz w:val="21"/>
                <w:szCs w:val="21"/>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0" w:type="dxa"/>
            <w:left w:w="108" w:type="dxa"/>
            <w:bottom w:w="0" w:type="dxa"/>
            <w:right w:w="108" w:type="dxa"/>
          </w:tblCellMar>
        </w:tblPrEx>
        <w:trPr>
          <w:trHeight w:val="285" w:hRule="atLeast"/>
          <w:jc w:val="center"/>
        </w:trPr>
        <w:tc>
          <w:tcPr>
            <w:tcW w:w="0" w:type="auto"/>
            <w:gridSpan w:val="3"/>
            <w:tcBorders>
              <w:top w:val="single" w:color="auto" w:sz="4" w:space="0"/>
              <w:left w:val="single" w:color="auto" w:sz="4" w:space="0"/>
              <w:bottom w:val="single" w:color="auto" w:sz="4" w:space="0"/>
              <w:right w:val="single" w:color="auto" w:sz="4" w:space="0"/>
            </w:tcBorders>
            <w:shd w:val="clear"/>
            <w:noWrap/>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H11</w:t>
            </w:r>
          </w:p>
        </w:tc>
        <w:tc>
          <w:tcPr>
            <w:tcW w:w="2715" w:type="dxa"/>
            <w:tcBorders>
              <w:top w:val="single" w:color="000000" w:sz="4" w:space="0"/>
              <w:left w:val="single" w:color="auto" w:sz="4" w:space="0"/>
              <w:bottom w:val="single" w:color="000000" w:sz="4" w:space="0"/>
              <w:right w:val="single" w:color="000000" w:sz="4" w:space="0"/>
            </w:tcBorders>
            <w:shd w:val="clear"/>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城市建设用地</w:t>
            </w:r>
          </w:p>
        </w:tc>
        <w:tc>
          <w:tcPr>
            <w:tcW w:w="0" w:type="auto"/>
            <w:tcBorders>
              <w:top w:val="single" w:color="000000" w:sz="4" w:space="0"/>
              <w:left w:val="single" w:color="000000" w:sz="4" w:space="0"/>
              <w:bottom w:val="single" w:color="000000" w:sz="4" w:space="0"/>
              <w:right w:val="single" w:color="000000" w:sz="4" w:space="0"/>
            </w:tcBorders>
            <w:shd w:val="clear"/>
            <w:noWrap/>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 xml:space="preserve">573.88 </w:t>
            </w:r>
          </w:p>
        </w:tc>
        <w:tc>
          <w:tcPr>
            <w:tcW w:w="0" w:type="auto"/>
            <w:tcBorders>
              <w:top w:val="single" w:color="000000" w:sz="4" w:space="0"/>
              <w:left w:val="single" w:color="000000" w:sz="4" w:space="0"/>
              <w:bottom w:val="single" w:color="000000" w:sz="4" w:space="0"/>
              <w:right w:val="single" w:color="000000" w:sz="4" w:space="0"/>
            </w:tcBorders>
            <w:shd w:val="clear"/>
            <w:noWrap/>
            <w:vAlign w:val="center"/>
          </w:tcPr>
          <w:p>
            <w:pPr>
              <w:keepNext w:val="0"/>
              <w:keepLines w:val="0"/>
              <w:widowControl/>
              <w:suppressLineNumbers w:val="0"/>
              <w:jc w:val="center"/>
              <w:textAlignment w:val="center"/>
              <w:rPr>
                <w:rFonts w:hint="eastAsia" w:ascii="华文中宋" w:hAnsi="华文中宋" w:eastAsia="华文中宋" w:cs="华文中宋"/>
                <w:i w:val="0"/>
                <w:iCs w:val="0"/>
                <w:color w:val="000000"/>
                <w:sz w:val="21"/>
                <w:szCs w:val="21"/>
                <w:u w:val="none"/>
              </w:rPr>
            </w:pPr>
            <w:r>
              <w:rPr>
                <w:rFonts w:hint="eastAsia" w:ascii="华文中宋" w:hAnsi="华文中宋" w:eastAsia="华文中宋" w:cs="华文中宋"/>
                <w:i w:val="0"/>
                <w:iCs w:val="0"/>
                <w:color w:val="000000"/>
                <w:kern w:val="0"/>
                <w:sz w:val="21"/>
                <w:szCs w:val="21"/>
                <w:u w:val="none"/>
                <w:bdr w:val="none" w:color="auto" w:sz="0" w:space="0"/>
                <w:lang w:val="en-US" w:eastAsia="zh-CN" w:bidi="ar"/>
              </w:rPr>
              <w:t xml:space="preserve">100.00 </w:t>
            </w:r>
          </w:p>
        </w:tc>
      </w:tr>
    </w:tbl>
    <w:p>
      <w:pPr>
        <w:pStyle w:val="2"/>
        <w:ind w:firstLine="560"/>
        <w:rPr>
          <w:rFonts w:ascii="华文中宋" w:hAnsi="华文中宋" w:eastAsia="华文中宋" w:cs="华文中宋"/>
          <w:bCs/>
          <w:sz w:val="28"/>
          <w:szCs w:val="28"/>
        </w:rPr>
      </w:pPr>
    </w:p>
    <w:p>
      <w:pPr>
        <w:pStyle w:val="2"/>
        <w:ind w:firstLine="0" w:firstLineChars="0"/>
        <w:jc w:val="center"/>
        <w:rPr>
          <w:rFonts w:ascii="华文中宋" w:hAnsi="华文中宋" w:eastAsia="华文中宋" w:cs="华文中宋"/>
          <w:sz w:val="24"/>
          <w:szCs w:val="24"/>
        </w:rPr>
      </w:pPr>
      <w:r>
        <w:drawing>
          <wp:inline distT="0" distB="0" distL="114300" distR="114300">
            <wp:extent cx="5847080" cy="4130040"/>
            <wp:effectExtent l="0" t="0" r="1270" b="3810"/>
            <wp:docPr id="31" name="图片 19" descr="F:\2022乌达工业园控规调整\202306成果\04土地使用规划图A区.jpg04土地使用规划图A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9" descr="F:\2022乌达工业园控规调整\202306成果\04土地使用规划图A区.jpg04土地使用规划图A区"/>
                    <pic:cNvPicPr>
                      <a:picLocks noChangeAspect="1"/>
                    </pic:cNvPicPr>
                  </pic:nvPicPr>
                  <pic:blipFill>
                    <a:blip r:embed="rId24"/>
                    <a:srcRect/>
                    <a:stretch>
                      <a:fillRect/>
                    </a:stretch>
                  </pic:blipFill>
                  <pic:spPr>
                    <a:xfrm>
                      <a:off x="0" y="0"/>
                      <a:ext cx="5847080" cy="4130040"/>
                    </a:xfrm>
                    <a:prstGeom prst="rect">
                      <a:avLst/>
                    </a:prstGeom>
                    <a:noFill/>
                    <a:ln>
                      <a:noFill/>
                    </a:ln>
                  </pic:spPr>
                </pic:pic>
              </a:graphicData>
            </a:graphic>
          </wp:inline>
        </w:drawing>
      </w:r>
    </w:p>
    <w:p>
      <w:pPr>
        <w:spacing w:line="360" w:lineRule="auto"/>
        <w:jc w:val="center"/>
        <w:rPr>
          <w:rFonts w:ascii="华文中宋" w:hAnsi="华文中宋" w:eastAsia="华文中宋" w:cs="华文中宋"/>
          <w:szCs w:val="21"/>
        </w:rPr>
      </w:pPr>
      <w:r>
        <w:rPr>
          <w:rFonts w:hint="eastAsia" w:ascii="华文中宋" w:hAnsi="华文中宋" w:eastAsia="华文中宋" w:cs="华文中宋"/>
          <w:sz w:val="24"/>
          <w:szCs w:val="24"/>
        </w:rPr>
        <w:t>图3-1-2 A区土地使用规划图</w:t>
      </w:r>
    </w:p>
    <w:p>
      <w:pPr>
        <w:pStyle w:val="4"/>
        <w:spacing w:before="260" w:after="260"/>
        <w:rPr>
          <w:rFonts w:ascii="华文中宋" w:hAnsi="华文中宋" w:eastAsia="华文中宋" w:cs="华文中宋"/>
          <w:sz w:val="28"/>
          <w:szCs w:val="28"/>
        </w:rPr>
      </w:pPr>
      <w:bookmarkStart w:id="67" w:name="_Toc503278594"/>
      <w:bookmarkStart w:id="68" w:name="_Toc3523"/>
      <w:r>
        <w:rPr>
          <w:rFonts w:hint="eastAsia" w:ascii="华文中宋" w:hAnsi="华文中宋" w:eastAsia="华文中宋" w:cs="华文中宋"/>
        </w:rPr>
        <w:t xml:space="preserve">3.2 </w:t>
      </w:r>
      <w:bookmarkEnd w:id="67"/>
      <w:r>
        <w:rPr>
          <w:rFonts w:hint="eastAsia" w:ascii="华文中宋" w:hAnsi="华文中宋" w:eastAsia="华文中宋" w:cs="华文中宋"/>
        </w:rPr>
        <w:t>道路系统规划</w:t>
      </w:r>
      <w:bookmarkEnd w:id="68"/>
    </w:p>
    <w:p>
      <w:pPr>
        <w:spacing w:line="360" w:lineRule="auto"/>
        <w:ind w:firstLine="560" w:firstLineChars="200"/>
        <w:rPr>
          <w:rFonts w:ascii="华文中宋" w:hAnsi="华文中宋" w:eastAsia="华文中宋" w:cs="华文中宋"/>
          <w:sz w:val="28"/>
          <w:szCs w:val="28"/>
        </w:rPr>
      </w:pPr>
      <w:r>
        <w:rPr>
          <w:rFonts w:hint="eastAsia" w:ascii="华文中宋" w:hAnsi="华文中宋" w:eastAsia="华文中宋" w:cs="华文中宋"/>
          <w:sz w:val="28"/>
          <w:szCs w:val="28"/>
        </w:rPr>
        <w:t>A区由于南部大企业（东源科技、协鑫东立）占地面积较大，交通系统也分为南北两部分，南部对外交通以东源南路（新规划红线宽度30米）、新规划铁路西侧40米（红线）两条主干路，通过原五虎山大街（下穿铁路）、新规划东源南路（平交铁路）向东联通乌达城区、110国道，通过五虎山路、连德路桥向南联通化工路；北部沿铁路北侧新规划40米（红线）主干路，连接乌达城区、规划区、西北部矿区及工业区，以解决五虎山大街被截断的交通功能，铁路南侧用地以次干道、支路形成方格网布置；南北两部分通过西侧规划20米（红线）次干道连接。</w:t>
      </w:r>
    </w:p>
    <w:p>
      <w:pPr>
        <w:pStyle w:val="2"/>
        <w:ind w:firstLine="420"/>
      </w:pPr>
    </w:p>
    <w:p>
      <w:pPr>
        <w:pStyle w:val="2"/>
        <w:ind w:firstLine="0" w:firstLineChars="0"/>
        <w:jc w:val="center"/>
        <w:rPr>
          <w:rFonts w:ascii="华文中宋" w:hAnsi="华文中宋" w:eastAsia="华文中宋" w:cs="华文中宋"/>
        </w:rPr>
      </w:pPr>
      <w:r>
        <w:drawing>
          <wp:inline distT="0" distB="0" distL="114300" distR="114300">
            <wp:extent cx="6396355" cy="4518025"/>
            <wp:effectExtent l="0" t="0" r="4445" b="15875"/>
            <wp:docPr id="32" name="图片 20" descr="F:\2022乌达工业园控规调整\202306成果\05A区道路系统图.jpg05A区道路系统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0" descr="F:\2022乌达工业园控规调整\202306成果\05A区道路系统图.jpg05A区道路系统图"/>
                    <pic:cNvPicPr>
                      <a:picLocks noChangeAspect="1"/>
                    </pic:cNvPicPr>
                  </pic:nvPicPr>
                  <pic:blipFill>
                    <a:blip r:embed="rId25"/>
                    <a:srcRect/>
                    <a:stretch>
                      <a:fillRect/>
                    </a:stretch>
                  </pic:blipFill>
                  <pic:spPr>
                    <a:xfrm>
                      <a:off x="0" y="0"/>
                      <a:ext cx="6396355" cy="4518025"/>
                    </a:xfrm>
                    <a:prstGeom prst="rect">
                      <a:avLst/>
                    </a:prstGeom>
                    <a:noFill/>
                    <a:ln>
                      <a:noFill/>
                    </a:ln>
                  </pic:spPr>
                </pic:pic>
              </a:graphicData>
            </a:graphic>
          </wp:inline>
        </w:drawing>
      </w:r>
    </w:p>
    <w:p>
      <w:pPr>
        <w:spacing w:line="360" w:lineRule="auto"/>
        <w:jc w:val="center"/>
        <w:rPr>
          <w:rFonts w:ascii="华文中宋" w:hAnsi="华文中宋" w:eastAsia="华文中宋" w:cs="华文中宋"/>
          <w:szCs w:val="21"/>
        </w:rPr>
      </w:pPr>
      <w:r>
        <w:rPr>
          <w:rFonts w:hint="eastAsia" w:ascii="华文中宋" w:hAnsi="华文中宋" w:eastAsia="华文中宋" w:cs="华文中宋"/>
          <w:sz w:val="24"/>
          <w:szCs w:val="24"/>
        </w:rPr>
        <w:t>图3-2-1 A区道路系统规划图</w:t>
      </w:r>
    </w:p>
    <w:p>
      <w:pPr>
        <w:spacing w:line="360" w:lineRule="auto"/>
        <w:ind w:firstLine="420" w:firstLineChars="200"/>
        <w:jc w:val="center"/>
      </w:pPr>
      <w:r>
        <w:drawing>
          <wp:inline distT="0" distB="0" distL="114300" distR="114300">
            <wp:extent cx="6050280" cy="4640580"/>
            <wp:effectExtent l="0" t="0" r="0" b="7620"/>
            <wp:docPr id="33" name="图片 12" descr="C:\2021年乌达工业园区控规\09.15分析图\道路断面示意图2.jpg道路断面示意图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2" descr="C:\2021年乌达工业园区控规\09.15分析图\道路断面示意图2.jpg道路断面示意图2"/>
                    <pic:cNvPicPr>
                      <a:picLocks noChangeAspect="1"/>
                    </pic:cNvPicPr>
                  </pic:nvPicPr>
                  <pic:blipFill>
                    <a:blip r:embed="rId26"/>
                    <a:srcRect l="1524" t="18702" r="25272" b="1916"/>
                    <a:stretch>
                      <a:fillRect/>
                    </a:stretch>
                  </pic:blipFill>
                  <pic:spPr>
                    <a:xfrm>
                      <a:off x="0" y="0"/>
                      <a:ext cx="6050280" cy="4640580"/>
                    </a:xfrm>
                    <a:prstGeom prst="rect">
                      <a:avLst/>
                    </a:prstGeom>
                    <a:noFill/>
                    <a:ln>
                      <a:noFill/>
                    </a:ln>
                  </pic:spPr>
                </pic:pic>
              </a:graphicData>
            </a:graphic>
          </wp:inline>
        </w:drawing>
      </w:r>
    </w:p>
    <w:p>
      <w:pPr>
        <w:pStyle w:val="2"/>
        <w:ind w:firstLine="480"/>
        <w:jc w:val="center"/>
        <w:rPr>
          <w:sz w:val="24"/>
          <w:szCs w:val="24"/>
        </w:rPr>
      </w:pPr>
      <w:r>
        <w:rPr>
          <w:rFonts w:hint="eastAsia" w:ascii="华文中宋" w:hAnsi="华文中宋" w:eastAsia="华文中宋" w:cs="华文中宋"/>
          <w:sz w:val="24"/>
          <w:szCs w:val="24"/>
        </w:rPr>
        <w:t>图3-2-2 规划道路断面形式</w:t>
      </w:r>
    </w:p>
    <w:p>
      <w:pPr>
        <w:pStyle w:val="4"/>
        <w:spacing w:before="260" w:after="260"/>
        <w:rPr>
          <w:rFonts w:ascii="华文中宋" w:hAnsi="华文中宋" w:eastAsia="华文中宋" w:cs="华文中宋"/>
        </w:rPr>
      </w:pPr>
      <w:bookmarkStart w:id="69" w:name="_Toc27838"/>
      <w:r>
        <w:rPr>
          <w:rFonts w:hint="eastAsia" w:ascii="华文中宋" w:hAnsi="华文中宋" w:eastAsia="华文中宋" w:cs="华文中宋"/>
        </w:rPr>
        <w:t>3.3 四线控制</w:t>
      </w:r>
      <w:bookmarkEnd w:id="69"/>
    </w:p>
    <w:p>
      <w:pPr>
        <w:spacing w:line="360" w:lineRule="auto"/>
        <w:ind w:firstLine="560" w:firstLineChars="200"/>
        <w:rPr>
          <w:rFonts w:ascii="华文中宋" w:hAnsi="华文中宋" w:eastAsia="华文中宋" w:cs="华文中宋"/>
          <w:sz w:val="28"/>
          <w:szCs w:val="28"/>
        </w:rPr>
      </w:pPr>
      <w:r>
        <w:rPr>
          <w:rFonts w:hint="eastAsia" w:ascii="华文中宋" w:hAnsi="华文中宋" w:eastAsia="华文中宋" w:cs="华文中宋"/>
          <w:sz w:val="28"/>
          <w:szCs w:val="28"/>
        </w:rPr>
        <w:t>（1）蓝线：沃尔特沟、鲁达沟作为蓝线进行控制。</w:t>
      </w:r>
    </w:p>
    <w:p>
      <w:pPr>
        <w:spacing w:line="360" w:lineRule="auto"/>
        <w:ind w:firstLine="560" w:firstLineChars="200"/>
        <w:rPr>
          <w:rFonts w:ascii="华文中宋" w:hAnsi="华文中宋" w:eastAsia="华文中宋" w:cs="华文中宋"/>
          <w:sz w:val="28"/>
          <w:szCs w:val="28"/>
        </w:rPr>
      </w:pPr>
      <w:r>
        <w:rPr>
          <w:rFonts w:hint="eastAsia" w:ascii="华文中宋" w:hAnsi="华文中宋" w:eastAsia="华文中宋" w:cs="华文中宋"/>
          <w:sz w:val="28"/>
          <w:szCs w:val="28"/>
        </w:rPr>
        <w:t>（2）黄线：消防站、垃圾转运站、给排水设施等市政基础设施作为黄线控制。</w:t>
      </w:r>
    </w:p>
    <w:p>
      <w:pPr>
        <w:spacing w:line="360" w:lineRule="auto"/>
        <w:ind w:firstLine="560" w:firstLineChars="200"/>
        <w:rPr>
          <w:rFonts w:ascii="华文中宋" w:hAnsi="华文中宋" w:eastAsia="华文中宋" w:cs="华文中宋"/>
          <w:sz w:val="28"/>
          <w:szCs w:val="28"/>
        </w:rPr>
      </w:pPr>
      <w:r>
        <w:rPr>
          <w:rFonts w:hint="eastAsia" w:ascii="华文中宋" w:hAnsi="华文中宋" w:eastAsia="华文中宋" w:cs="华文中宋"/>
          <w:sz w:val="28"/>
          <w:szCs w:val="28"/>
        </w:rPr>
        <w:t>（3）绿线：防护绿地作为绿线控制。</w:t>
      </w:r>
    </w:p>
    <w:p>
      <w:pPr>
        <w:pStyle w:val="2"/>
        <w:ind w:firstLine="560"/>
        <w:rPr>
          <w:rFonts w:ascii="华文中宋" w:hAnsi="华文中宋" w:eastAsia="华文中宋" w:cs="华文中宋"/>
          <w:sz w:val="28"/>
          <w:szCs w:val="28"/>
        </w:rPr>
      </w:pPr>
      <w:r>
        <w:rPr>
          <w:rFonts w:hint="eastAsia" w:ascii="华文中宋" w:hAnsi="华文中宋" w:eastAsia="华文中宋" w:cs="华文中宋"/>
          <w:sz w:val="28"/>
          <w:szCs w:val="28"/>
        </w:rPr>
        <w:t>（4）红线：即道路红线。</w:t>
      </w:r>
    </w:p>
    <w:p>
      <w:pPr>
        <w:spacing w:line="360" w:lineRule="auto"/>
        <w:jc w:val="center"/>
      </w:pPr>
      <w:r>
        <w:drawing>
          <wp:inline distT="0" distB="0" distL="114300" distR="114300">
            <wp:extent cx="6402070" cy="4521835"/>
            <wp:effectExtent l="0" t="0" r="17780" b="12065"/>
            <wp:docPr id="34" name="图片 21" descr="F:\2022乌达工业园控规调整\202306成果\06四线控制图(A区）.jpg06四线控制图(A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1" descr="F:\2022乌达工业园控规调整\202306成果\06四线控制图(A区）.jpg06四线控制图(A区）"/>
                    <pic:cNvPicPr>
                      <a:picLocks noChangeAspect="1"/>
                    </pic:cNvPicPr>
                  </pic:nvPicPr>
                  <pic:blipFill>
                    <a:blip r:embed="rId27"/>
                    <a:srcRect/>
                    <a:stretch>
                      <a:fillRect/>
                    </a:stretch>
                  </pic:blipFill>
                  <pic:spPr>
                    <a:xfrm>
                      <a:off x="0" y="0"/>
                      <a:ext cx="6402070" cy="4521835"/>
                    </a:xfrm>
                    <a:prstGeom prst="rect">
                      <a:avLst/>
                    </a:prstGeom>
                    <a:noFill/>
                    <a:ln>
                      <a:noFill/>
                    </a:ln>
                  </pic:spPr>
                </pic:pic>
              </a:graphicData>
            </a:graphic>
          </wp:inline>
        </w:drawing>
      </w:r>
    </w:p>
    <w:p>
      <w:pPr>
        <w:spacing w:line="360" w:lineRule="auto"/>
        <w:jc w:val="center"/>
        <w:rPr>
          <w:rFonts w:ascii="华文中宋" w:hAnsi="华文中宋" w:eastAsia="华文中宋" w:cs="华文中宋"/>
          <w:sz w:val="24"/>
          <w:szCs w:val="24"/>
        </w:rPr>
      </w:pPr>
      <w:r>
        <w:rPr>
          <w:rFonts w:hint="eastAsia" w:ascii="华文中宋" w:hAnsi="华文中宋" w:eastAsia="华文中宋" w:cs="华文中宋"/>
          <w:sz w:val="24"/>
          <w:szCs w:val="24"/>
        </w:rPr>
        <w:t>图3-3-1  A区四线控制图</w:t>
      </w:r>
    </w:p>
    <w:p>
      <w:pPr>
        <w:pStyle w:val="4"/>
        <w:spacing w:before="260" w:after="260"/>
        <w:rPr>
          <w:rFonts w:ascii="华文中宋" w:hAnsi="华文中宋" w:eastAsia="华文中宋" w:cs="华文中宋"/>
        </w:rPr>
      </w:pPr>
      <w:bookmarkStart w:id="70" w:name="_Toc509600612"/>
      <w:bookmarkStart w:id="71" w:name="_Toc1863"/>
      <w:r>
        <w:rPr>
          <w:rFonts w:hint="eastAsia" w:ascii="华文中宋" w:hAnsi="华文中宋" w:eastAsia="华文中宋" w:cs="华文中宋"/>
        </w:rPr>
        <w:t>3.4 道路竖向规划</w:t>
      </w:r>
      <w:bookmarkEnd w:id="70"/>
      <w:bookmarkEnd w:id="71"/>
    </w:p>
    <w:p>
      <w:pPr>
        <w:spacing w:line="360" w:lineRule="auto"/>
        <w:ind w:firstLine="560" w:firstLineChars="200"/>
        <w:rPr>
          <w:rFonts w:ascii="华文中宋" w:hAnsi="华文中宋" w:eastAsia="华文中宋" w:cs="华文中宋"/>
          <w:bCs/>
          <w:sz w:val="28"/>
          <w:szCs w:val="28"/>
        </w:rPr>
      </w:pPr>
      <w:r>
        <w:rPr>
          <w:rFonts w:hint="eastAsia" w:ascii="华文中宋" w:hAnsi="华文中宋" w:eastAsia="华文中宋" w:cs="华文中宋"/>
          <w:bCs/>
          <w:sz w:val="28"/>
          <w:szCs w:val="28"/>
        </w:rPr>
        <w:t>1. 规划原则</w:t>
      </w:r>
    </w:p>
    <w:p>
      <w:pPr>
        <w:spacing w:line="360" w:lineRule="auto"/>
        <w:ind w:firstLine="560" w:firstLineChars="200"/>
        <w:rPr>
          <w:rFonts w:ascii="华文中宋" w:hAnsi="华文中宋" w:eastAsia="华文中宋" w:cs="华文中宋"/>
          <w:bCs/>
          <w:sz w:val="28"/>
          <w:szCs w:val="28"/>
        </w:rPr>
      </w:pPr>
      <w:r>
        <w:rPr>
          <w:rFonts w:hint="eastAsia" w:ascii="华文中宋" w:hAnsi="华文中宋" w:eastAsia="华文中宋" w:cs="华文中宋"/>
          <w:bCs/>
          <w:sz w:val="28"/>
          <w:szCs w:val="28"/>
        </w:rPr>
        <w:t>（1）合理利用地形地貌，减少土方工程量；</w:t>
      </w:r>
    </w:p>
    <w:p>
      <w:pPr>
        <w:spacing w:line="360" w:lineRule="auto"/>
        <w:ind w:firstLine="560" w:firstLineChars="200"/>
        <w:rPr>
          <w:rFonts w:ascii="华文中宋" w:hAnsi="华文中宋" w:eastAsia="华文中宋" w:cs="华文中宋"/>
          <w:bCs/>
          <w:sz w:val="28"/>
          <w:szCs w:val="28"/>
        </w:rPr>
      </w:pPr>
      <w:r>
        <w:rPr>
          <w:rFonts w:hint="eastAsia" w:ascii="华文中宋" w:hAnsi="华文中宋" w:eastAsia="华文中宋" w:cs="华文中宋"/>
          <w:bCs/>
          <w:sz w:val="28"/>
          <w:szCs w:val="28"/>
        </w:rPr>
        <w:t>（2）各种场地的适用坡度应符合规范要求；</w:t>
      </w:r>
    </w:p>
    <w:p>
      <w:pPr>
        <w:spacing w:line="360" w:lineRule="auto"/>
        <w:ind w:firstLine="560" w:firstLineChars="200"/>
        <w:rPr>
          <w:rFonts w:ascii="华文中宋" w:hAnsi="华文中宋" w:eastAsia="华文中宋" w:cs="华文中宋"/>
          <w:bCs/>
          <w:sz w:val="28"/>
          <w:szCs w:val="28"/>
        </w:rPr>
      </w:pPr>
      <w:r>
        <w:rPr>
          <w:rFonts w:hint="eastAsia" w:ascii="华文中宋" w:hAnsi="华文中宋" w:eastAsia="华文中宋" w:cs="华文中宋"/>
          <w:bCs/>
          <w:sz w:val="28"/>
          <w:szCs w:val="28"/>
        </w:rPr>
        <w:t>（3）满足排水管线的埋设要求；</w:t>
      </w:r>
    </w:p>
    <w:p>
      <w:pPr>
        <w:spacing w:line="360" w:lineRule="auto"/>
        <w:ind w:firstLine="560" w:firstLineChars="200"/>
        <w:rPr>
          <w:rFonts w:ascii="华文中宋" w:hAnsi="华文中宋" w:eastAsia="华文中宋" w:cs="华文中宋"/>
          <w:bCs/>
          <w:sz w:val="28"/>
          <w:szCs w:val="28"/>
        </w:rPr>
      </w:pPr>
      <w:r>
        <w:rPr>
          <w:rFonts w:hint="eastAsia" w:ascii="华文中宋" w:hAnsi="华文中宋" w:eastAsia="华文中宋" w:cs="华文中宋"/>
          <w:bCs/>
          <w:sz w:val="28"/>
          <w:szCs w:val="28"/>
        </w:rPr>
        <w:t>（4）有利于建筑布置与空间环境的设计；</w:t>
      </w:r>
    </w:p>
    <w:p>
      <w:pPr>
        <w:spacing w:line="360" w:lineRule="auto"/>
        <w:ind w:firstLine="560" w:firstLineChars="200"/>
        <w:rPr>
          <w:rFonts w:ascii="华文中宋" w:hAnsi="华文中宋" w:eastAsia="华文中宋" w:cs="华文中宋"/>
          <w:bCs/>
          <w:sz w:val="28"/>
          <w:szCs w:val="28"/>
        </w:rPr>
      </w:pPr>
      <w:r>
        <w:rPr>
          <w:rFonts w:hint="eastAsia" w:ascii="华文中宋" w:hAnsi="华文中宋" w:eastAsia="华文中宋" w:cs="华文中宋"/>
          <w:bCs/>
          <w:sz w:val="28"/>
          <w:szCs w:val="28"/>
        </w:rPr>
        <w:t>（5）对外联系道路的高程应与内部道路标高相衔接。</w:t>
      </w:r>
    </w:p>
    <w:p>
      <w:pPr>
        <w:spacing w:line="360" w:lineRule="auto"/>
        <w:ind w:firstLine="560" w:firstLineChars="200"/>
        <w:rPr>
          <w:rFonts w:ascii="华文中宋" w:hAnsi="华文中宋" w:eastAsia="华文中宋" w:cs="华文中宋"/>
          <w:bCs/>
          <w:sz w:val="28"/>
          <w:szCs w:val="28"/>
        </w:rPr>
      </w:pPr>
      <w:r>
        <w:rPr>
          <w:rFonts w:hint="eastAsia" w:ascii="华文中宋" w:hAnsi="华文中宋" w:eastAsia="华文中宋" w:cs="华文中宋"/>
          <w:bCs/>
          <w:sz w:val="28"/>
          <w:szCs w:val="28"/>
        </w:rPr>
        <w:t>2. 竖向规划方案</w:t>
      </w:r>
    </w:p>
    <w:p>
      <w:pPr>
        <w:spacing w:line="360" w:lineRule="auto"/>
        <w:ind w:firstLine="560" w:firstLineChars="200"/>
        <w:rPr>
          <w:rFonts w:ascii="华文中宋" w:hAnsi="华文中宋" w:eastAsia="华文中宋" w:cs="华文中宋"/>
          <w:bCs/>
          <w:sz w:val="28"/>
          <w:szCs w:val="28"/>
        </w:rPr>
      </w:pPr>
      <w:r>
        <w:rPr>
          <w:rFonts w:hint="eastAsia" w:ascii="华文中宋" w:hAnsi="华文中宋" w:eastAsia="华文中宋" w:cs="华文中宋"/>
          <w:bCs/>
          <w:sz w:val="28"/>
          <w:szCs w:val="28"/>
        </w:rPr>
        <w:t>规划区整体地势较平缓，西部和北部地势变化略大，大部分道路为现状道路，本次规划尽可能减少对自然地形的破坏，塑造优美道路形态，尽量结合地形，利用现有标高，合理确定道路控制点标高，与现状用地标高相协调，满足防洪标准，满足排水及给水要求，满足工程管线布设要求，符合道路规划设计要求，增强实施性和经济性。</w:t>
      </w:r>
    </w:p>
    <w:p>
      <w:pPr>
        <w:spacing w:line="360" w:lineRule="auto"/>
        <w:ind w:firstLine="560" w:firstLineChars="200"/>
        <w:rPr>
          <w:rFonts w:ascii="华文中宋" w:hAnsi="华文中宋" w:eastAsia="华文中宋" w:cs="华文中宋"/>
          <w:bCs/>
          <w:sz w:val="28"/>
          <w:szCs w:val="28"/>
        </w:rPr>
      </w:pPr>
      <w:r>
        <w:rPr>
          <w:rFonts w:hint="eastAsia" w:ascii="华文中宋" w:hAnsi="华文中宋" w:eastAsia="华文中宋" w:cs="华文中宋"/>
          <w:bCs/>
          <w:sz w:val="28"/>
          <w:szCs w:val="28"/>
        </w:rPr>
        <w:t>（1）规划道路竖向坡度最大坡度4.5%，最小坡度0.2%，对于已建或在建道路，原则上道路标高不做调整，规划道路与现状道路衔接平顺，道路和场地整体坡度合理，适宜建设。注意当规划纵坡小于0.3%时，应设置锯齿形边沟或采取其他排水设施。</w:t>
      </w:r>
    </w:p>
    <w:p>
      <w:pPr>
        <w:spacing w:line="360" w:lineRule="auto"/>
        <w:ind w:firstLine="560" w:firstLineChars="200"/>
        <w:rPr>
          <w:rFonts w:ascii="华文中宋" w:hAnsi="华文中宋" w:eastAsia="华文中宋" w:cs="华文中宋"/>
          <w:bCs/>
          <w:sz w:val="28"/>
          <w:szCs w:val="28"/>
        </w:rPr>
      </w:pPr>
      <w:r>
        <w:rPr>
          <w:rFonts w:hint="eastAsia" w:ascii="华文中宋" w:hAnsi="华文中宋" w:eastAsia="华文中宋" w:cs="华文中宋"/>
          <w:bCs/>
          <w:sz w:val="28"/>
          <w:szCs w:val="28"/>
        </w:rPr>
        <w:t>（2）规划区有3处采用下穿铁路方案，本次按照下穿铁路净空不小于4.5米设置。</w:t>
      </w:r>
    </w:p>
    <w:p>
      <w:pPr>
        <w:spacing w:line="360" w:lineRule="auto"/>
        <w:ind w:firstLine="560" w:firstLineChars="200"/>
        <w:rPr>
          <w:rFonts w:ascii="华文中宋" w:hAnsi="华文中宋" w:eastAsia="华文中宋" w:cs="华文中宋"/>
          <w:bCs/>
          <w:sz w:val="28"/>
          <w:szCs w:val="28"/>
        </w:rPr>
      </w:pPr>
      <w:r>
        <w:rPr>
          <w:rFonts w:hint="eastAsia" w:ascii="华文中宋" w:hAnsi="华文中宋" w:eastAsia="华文中宋" w:cs="华文中宋"/>
          <w:bCs/>
          <w:sz w:val="28"/>
          <w:szCs w:val="28"/>
        </w:rPr>
        <w:t>（3）规划区有多条河道，沿河道路标高按照现有防洪堤标高设置。</w:t>
      </w:r>
    </w:p>
    <w:p>
      <w:pPr>
        <w:spacing w:line="360" w:lineRule="auto"/>
        <w:ind w:firstLine="560" w:firstLineChars="200"/>
        <w:rPr>
          <w:rFonts w:ascii="华文中宋" w:hAnsi="华文中宋" w:eastAsia="华文中宋" w:cs="华文中宋"/>
          <w:bCs/>
          <w:sz w:val="28"/>
          <w:szCs w:val="28"/>
        </w:rPr>
      </w:pPr>
      <w:r>
        <w:rPr>
          <w:rFonts w:hint="eastAsia" w:ascii="华文中宋" w:hAnsi="华文中宋" w:eastAsia="华文中宋" w:cs="华文中宋"/>
          <w:bCs/>
          <w:sz w:val="28"/>
          <w:szCs w:val="28"/>
        </w:rPr>
        <w:t>（4）根据控制点标高进行道路纵断面设计时，不宜作较大的调整以保证区域整体的协调性，其中主要包括与场地竖向、管线布置的协调，建议调整的幅度控制在0.5米以内。</w:t>
      </w:r>
    </w:p>
    <w:p>
      <w:pPr>
        <w:spacing w:line="360" w:lineRule="auto"/>
        <w:ind w:firstLine="560" w:firstLineChars="200"/>
        <w:rPr>
          <w:rFonts w:ascii="华文中宋" w:hAnsi="华文中宋" w:eastAsia="华文中宋" w:cs="华文中宋"/>
          <w:bCs/>
          <w:sz w:val="28"/>
          <w:szCs w:val="28"/>
        </w:rPr>
      </w:pPr>
      <w:r>
        <w:rPr>
          <w:rFonts w:hint="eastAsia" w:ascii="华文中宋" w:hAnsi="华文中宋" w:eastAsia="华文中宋" w:cs="华文中宋"/>
          <w:bCs/>
          <w:sz w:val="28"/>
          <w:szCs w:val="28"/>
        </w:rPr>
        <w:t>（5）地块规划高程应比周边道路最低路段高程高出0.2米以上，尽量减少填挖量，保持填挖平衡。</w:t>
      </w:r>
    </w:p>
    <w:p>
      <w:pPr>
        <w:pStyle w:val="2"/>
        <w:ind w:firstLine="0" w:firstLineChars="0"/>
        <w:jc w:val="center"/>
        <w:rPr>
          <w:bCs/>
          <w:sz w:val="28"/>
          <w:szCs w:val="28"/>
        </w:rPr>
      </w:pPr>
    </w:p>
    <w:p>
      <w:pPr>
        <w:pStyle w:val="2"/>
        <w:ind w:firstLine="0" w:firstLineChars="0"/>
        <w:jc w:val="center"/>
        <w:rPr>
          <w:sz w:val="28"/>
          <w:szCs w:val="28"/>
        </w:rPr>
      </w:pPr>
    </w:p>
    <w:p>
      <w:pPr>
        <w:pStyle w:val="2"/>
        <w:ind w:firstLine="0" w:firstLineChars="0"/>
        <w:jc w:val="center"/>
        <w:rPr>
          <w:sz w:val="28"/>
          <w:szCs w:val="28"/>
        </w:rPr>
      </w:pPr>
    </w:p>
    <w:p>
      <w:pPr>
        <w:pStyle w:val="2"/>
        <w:ind w:firstLine="0" w:firstLineChars="0"/>
        <w:jc w:val="center"/>
        <w:rPr>
          <w:sz w:val="28"/>
          <w:szCs w:val="28"/>
        </w:rPr>
      </w:pPr>
    </w:p>
    <w:p>
      <w:pPr>
        <w:pStyle w:val="2"/>
        <w:ind w:firstLine="0" w:firstLineChars="0"/>
        <w:jc w:val="center"/>
        <w:rPr>
          <w:sz w:val="28"/>
          <w:szCs w:val="28"/>
        </w:rPr>
      </w:pPr>
    </w:p>
    <w:p>
      <w:pPr>
        <w:pStyle w:val="2"/>
        <w:ind w:firstLine="0" w:firstLineChars="0"/>
        <w:jc w:val="center"/>
      </w:pPr>
      <w:r>
        <w:rPr>
          <w:rFonts w:hint="eastAsia"/>
        </w:rPr>
        <w:drawing>
          <wp:inline distT="0" distB="0" distL="114300" distR="114300">
            <wp:extent cx="6399530" cy="4520565"/>
            <wp:effectExtent l="0" t="0" r="1270" b="13335"/>
            <wp:docPr id="35" name="图片 35" descr="F:\2022乌达工业园控规调整\202306成果\07道路竖向工程规划图.jpg07道路竖向工程规划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F:\2022乌达工业园控规调整\202306成果\07道路竖向工程规划图.jpg07道路竖向工程规划图"/>
                    <pic:cNvPicPr>
                      <a:picLocks noChangeAspect="1"/>
                    </pic:cNvPicPr>
                  </pic:nvPicPr>
                  <pic:blipFill>
                    <a:blip r:embed="rId28"/>
                    <a:srcRect/>
                    <a:stretch>
                      <a:fillRect/>
                    </a:stretch>
                  </pic:blipFill>
                  <pic:spPr>
                    <a:xfrm>
                      <a:off x="0" y="0"/>
                      <a:ext cx="6399530" cy="4520565"/>
                    </a:xfrm>
                    <a:prstGeom prst="rect">
                      <a:avLst/>
                    </a:prstGeom>
                  </pic:spPr>
                </pic:pic>
              </a:graphicData>
            </a:graphic>
          </wp:inline>
        </w:drawing>
      </w:r>
    </w:p>
    <w:p>
      <w:pPr>
        <w:pStyle w:val="2"/>
        <w:ind w:firstLine="480"/>
        <w:jc w:val="center"/>
        <w:rPr>
          <w:rFonts w:ascii="华文中宋" w:hAnsi="华文中宋" w:eastAsia="华文中宋" w:cs="华文中宋"/>
          <w:sz w:val="24"/>
          <w:szCs w:val="24"/>
        </w:rPr>
      </w:pPr>
      <w:r>
        <w:rPr>
          <w:rFonts w:hint="eastAsia" w:ascii="华文中宋" w:hAnsi="华文中宋" w:eastAsia="华文中宋" w:cs="华文中宋"/>
          <w:sz w:val="24"/>
          <w:szCs w:val="24"/>
        </w:rPr>
        <w:t>图3-4-1 道路竖向规划图</w:t>
      </w:r>
    </w:p>
    <w:p>
      <w:pPr>
        <w:pStyle w:val="2"/>
        <w:ind w:firstLine="420"/>
        <w:jc w:val="center"/>
        <w:rPr>
          <w:rFonts w:ascii="华文中宋" w:hAnsi="华文中宋" w:eastAsia="华文中宋" w:cs="华文中宋"/>
        </w:rPr>
      </w:pPr>
    </w:p>
    <w:p>
      <w:pPr>
        <w:pStyle w:val="2"/>
        <w:ind w:firstLine="420"/>
        <w:jc w:val="center"/>
        <w:rPr>
          <w:rFonts w:ascii="华文中宋" w:hAnsi="华文中宋" w:eastAsia="华文中宋" w:cs="华文中宋"/>
        </w:rPr>
      </w:pPr>
    </w:p>
    <w:p>
      <w:pPr>
        <w:pStyle w:val="2"/>
        <w:ind w:firstLine="420"/>
        <w:jc w:val="center"/>
        <w:rPr>
          <w:rFonts w:ascii="华文中宋" w:hAnsi="华文中宋" w:eastAsia="华文中宋" w:cs="华文中宋"/>
        </w:rPr>
      </w:pPr>
    </w:p>
    <w:p>
      <w:pPr>
        <w:pStyle w:val="2"/>
        <w:ind w:firstLine="420"/>
        <w:jc w:val="center"/>
        <w:rPr>
          <w:rFonts w:ascii="华文中宋" w:hAnsi="华文中宋" w:eastAsia="华文中宋" w:cs="华文中宋"/>
        </w:rPr>
      </w:pPr>
    </w:p>
    <w:p>
      <w:pPr>
        <w:pStyle w:val="2"/>
        <w:ind w:firstLine="420"/>
        <w:jc w:val="center"/>
        <w:rPr>
          <w:rFonts w:ascii="华文中宋" w:hAnsi="华文中宋" w:eastAsia="华文中宋" w:cs="华文中宋"/>
        </w:rPr>
      </w:pPr>
    </w:p>
    <w:p>
      <w:pPr>
        <w:pStyle w:val="2"/>
        <w:ind w:firstLine="420"/>
        <w:jc w:val="center"/>
        <w:rPr>
          <w:rFonts w:ascii="华文中宋" w:hAnsi="华文中宋" w:eastAsia="华文中宋" w:cs="华文中宋"/>
        </w:rPr>
      </w:pPr>
    </w:p>
    <w:p>
      <w:pPr>
        <w:pStyle w:val="2"/>
        <w:ind w:firstLine="420"/>
        <w:jc w:val="center"/>
        <w:rPr>
          <w:rFonts w:ascii="华文中宋" w:hAnsi="华文中宋" w:eastAsia="华文中宋" w:cs="华文中宋"/>
        </w:rPr>
      </w:pPr>
    </w:p>
    <w:p>
      <w:pPr>
        <w:pStyle w:val="2"/>
        <w:ind w:firstLine="420"/>
        <w:jc w:val="center"/>
        <w:rPr>
          <w:rFonts w:ascii="华文中宋" w:hAnsi="华文中宋" w:eastAsia="华文中宋" w:cs="华文中宋"/>
        </w:rPr>
      </w:pPr>
    </w:p>
    <w:p>
      <w:pPr>
        <w:pStyle w:val="2"/>
        <w:ind w:firstLine="420"/>
        <w:jc w:val="center"/>
        <w:rPr>
          <w:rFonts w:ascii="华文中宋" w:hAnsi="华文中宋" w:eastAsia="华文中宋" w:cs="华文中宋"/>
        </w:rPr>
      </w:pPr>
    </w:p>
    <w:p>
      <w:pPr>
        <w:pStyle w:val="2"/>
        <w:ind w:firstLine="420"/>
        <w:jc w:val="center"/>
        <w:rPr>
          <w:rFonts w:ascii="华文中宋" w:hAnsi="华文中宋" w:eastAsia="华文中宋" w:cs="华文中宋"/>
        </w:rPr>
      </w:pPr>
    </w:p>
    <w:p>
      <w:pPr>
        <w:pStyle w:val="2"/>
        <w:ind w:firstLine="420"/>
        <w:jc w:val="center"/>
        <w:rPr>
          <w:rFonts w:ascii="华文中宋" w:hAnsi="华文中宋" w:eastAsia="华文中宋" w:cs="华文中宋"/>
        </w:rPr>
      </w:pPr>
    </w:p>
    <w:p>
      <w:pPr>
        <w:pStyle w:val="2"/>
        <w:ind w:firstLine="420"/>
        <w:jc w:val="center"/>
        <w:rPr>
          <w:rFonts w:ascii="华文中宋" w:hAnsi="华文中宋" w:eastAsia="华文中宋" w:cs="华文中宋"/>
        </w:rPr>
      </w:pPr>
    </w:p>
    <w:p>
      <w:pPr>
        <w:pStyle w:val="2"/>
        <w:ind w:firstLine="420"/>
        <w:jc w:val="center"/>
        <w:rPr>
          <w:rFonts w:ascii="华文中宋" w:hAnsi="华文中宋" w:eastAsia="华文中宋" w:cs="华文中宋"/>
        </w:rPr>
      </w:pPr>
    </w:p>
    <w:p>
      <w:pPr>
        <w:pStyle w:val="2"/>
        <w:ind w:firstLine="420"/>
        <w:jc w:val="center"/>
        <w:rPr>
          <w:rFonts w:ascii="华文中宋" w:hAnsi="华文中宋" w:eastAsia="华文中宋" w:cs="华文中宋"/>
        </w:rPr>
      </w:pPr>
    </w:p>
    <w:p>
      <w:pPr>
        <w:pStyle w:val="2"/>
        <w:ind w:firstLine="420"/>
        <w:jc w:val="center"/>
        <w:rPr>
          <w:rFonts w:ascii="华文中宋" w:hAnsi="华文中宋" w:eastAsia="华文中宋" w:cs="华文中宋"/>
        </w:rPr>
      </w:pPr>
    </w:p>
    <w:p>
      <w:pPr>
        <w:pStyle w:val="2"/>
        <w:ind w:firstLine="420"/>
        <w:jc w:val="center"/>
        <w:rPr>
          <w:rFonts w:ascii="华文中宋" w:hAnsi="华文中宋" w:eastAsia="华文中宋" w:cs="华文中宋"/>
        </w:rPr>
      </w:pPr>
    </w:p>
    <w:p>
      <w:pPr>
        <w:pStyle w:val="2"/>
        <w:ind w:firstLine="420"/>
        <w:jc w:val="center"/>
        <w:rPr>
          <w:rFonts w:ascii="华文中宋" w:hAnsi="华文中宋" w:eastAsia="华文中宋" w:cs="华文中宋"/>
        </w:rPr>
      </w:pPr>
    </w:p>
    <w:p>
      <w:pPr>
        <w:pStyle w:val="2"/>
        <w:ind w:firstLine="420"/>
        <w:jc w:val="center"/>
        <w:rPr>
          <w:rFonts w:ascii="华文中宋" w:hAnsi="华文中宋" w:eastAsia="华文中宋" w:cs="华文中宋"/>
        </w:rPr>
      </w:pPr>
    </w:p>
    <w:p>
      <w:pPr>
        <w:pStyle w:val="2"/>
        <w:ind w:firstLine="420"/>
        <w:jc w:val="center"/>
        <w:rPr>
          <w:rFonts w:ascii="华文中宋" w:hAnsi="华文中宋" w:eastAsia="华文中宋" w:cs="华文中宋"/>
        </w:rPr>
      </w:pPr>
    </w:p>
    <w:p>
      <w:pPr>
        <w:pStyle w:val="2"/>
        <w:ind w:firstLine="420"/>
        <w:jc w:val="center"/>
        <w:rPr>
          <w:rFonts w:ascii="华文中宋" w:hAnsi="华文中宋" w:eastAsia="华文中宋" w:cs="华文中宋"/>
        </w:rPr>
      </w:pPr>
    </w:p>
    <w:p>
      <w:pPr>
        <w:pStyle w:val="2"/>
        <w:ind w:firstLine="420"/>
        <w:jc w:val="center"/>
        <w:rPr>
          <w:rFonts w:ascii="华文中宋" w:hAnsi="华文中宋" w:eastAsia="华文中宋" w:cs="华文中宋"/>
        </w:rPr>
      </w:pPr>
    </w:p>
    <w:p>
      <w:bookmarkStart w:id="72" w:name="_Toc16611576"/>
      <w:bookmarkStart w:id="73" w:name="_Toc503278612"/>
    </w:p>
    <w:bookmarkEnd w:id="72"/>
    <w:p>
      <w:pPr>
        <w:pStyle w:val="3"/>
        <w:keepNext/>
        <w:keepLines/>
        <w:spacing w:before="340" w:beforeAutospacing="0" w:after="330" w:afterAutospacing="0" w:line="576" w:lineRule="auto"/>
        <w:ind w:left="601" w:hanging="601"/>
        <w:jc w:val="center"/>
        <w:rPr>
          <w:rFonts w:hint="default" w:ascii="华文中宋" w:hAnsi="华文中宋" w:eastAsia="华文中宋" w:cs="华文中宋"/>
          <w:bCs/>
          <w:sz w:val="44"/>
          <w:szCs w:val="44"/>
        </w:rPr>
      </w:pPr>
      <w:bookmarkStart w:id="74" w:name="_Toc31024"/>
      <w:r>
        <w:rPr>
          <w:rFonts w:ascii="华文中宋" w:hAnsi="华文中宋" w:eastAsia="华文中宋" w:cs="华文中宋"/>
          <w:bCs/>
          <w:sz w:val="44"/>
          <w:szCs w:val="44"/>
        </w:rPr>
        <w:t>第四章</w:t>
      </w:r>
      <w:r>
        <w:rPr>
          <w:rFonts w:hint="default" w:ascii="华文中宋" w:hAnsi="华文中宋" w:eastAsia="华文中宋" w:cs="华文中宋"/>
          <w:bCs/>
          <w:sz w:val="44"/>
          <w:szCs w:val="44"/>
        </w:rPr>
        <w:t xml:space="preserve"> </w:t>
      </w:r>
      <w:r>
        <w:rPr>
          <w:rFonts w:ascii="华文中宋" w:hAnsi="华文中宋" w:eastAsia="华文中宋" w:cs="华文中宋"/>
          <w:bCs/>
          <w:sz w:val="44"/>
          <w:szCs w:val="44"/>
        </w:rPr>
        <w:t>A区市政工程规划</w:t>
      </w:r>
      <w:bookmarkEnd w:id="74"/>
    </w:p>
    <w:bookmarkEnd w:id="73"/>
    <w:p>
      <w:pPr>
        <w:pStyle w:val="4"/>
        <w:spacing w:before="260" w:after="260"/>
        <w:rPr>
          <w:rFonts w:ascii="华文中宋" w:hAnsi="华文中宋" w:eastAsia="华文中宋" w:cs="华文中宋"/>
        </w:rPr>
      </w:pPr>
      <w:bookmarkStart w:id="75" w:name="_Toc26392"/>
      <w:r>
        <w:rPr>
          <w:rFonts w:hint="eastAsia" w:ascii="华文中宋" w:hAnsi="华文中宋" w:eastAsia="华文中宋" w:cs="华文中宋"/>
        </w:rPr>
        <w:t>4.1 给水工程规划</w:t>
      </w:r>
      <w:bookmarkEnd w:id="75"/>
    </w:p>
    <w:p>
      <w:pPr>
        <w:pStyle w:val="5"/>
        <w:spacing w:before="0" w:after="0"/>
        <w:rPr>
          <w:rFonts w:ascii="华文中宋" w:hAnsi="华文中宋" w:eastAsia="华文中宋" w:cs="华文中宋"/>
          <w:sz w:val="28"/>
          <w:szCs w:val="28"/>
        </w:rPr>
      </w:pPr>
      <w:r>
        <w:rPr>
          <w:rFonts w:hint="eastAsia" w:ascii="华文中宋" w:hAnsi="华文中宋" w:eastAsia="华文中宋" w:cs="华文中宋"/>
          <w:sz w:val="28"/>
          <w:szCs w:val="28"/>
        </w:rPr>
        <w:t>4.1.1 规划依据</w:t>
      </w:r>
    </w:p>
    <w:p>
      <w:pPr>
        <w:spacing w:line="360" w:lineRule="auto"/>
        <w:ind w:firstLine="560" w:firstLineChars="200"/>
        <w:rPr>
          <w:rFonts w:ascii="华文中宋" w:hAnsi="华文中宋" w:eastAsia="华文中宋" w:cs="华文中宋"/>
          <w:sz w:val="28"/>
          <w:szCs w:val="28"/>
        </w:rPr>
      </w:pPr>
      <w:r>
        <w:rPr>
          <w:rFonts w:hint="eastAsia" w:ascii="华文中宋" w:hAnsi="华文中宋" w:eastAsia="华文中宋" w:cs="华文中宋"/>
          <w:sz w:val="28"/>
          <w:szCs w:val="28"/>
        </w:rPr>
        <w:t>（1）《城市给水工程规划规范》（GB50282-2016）</w:t>
      </w:r>
    </w:p>
    <w:p>
      <w:pPr>
        <w:spacing w:line="360" w:lineRule="auto"/>
        <w:ind w:firstLine="560" w:firstLineChars="200"/>
        <w:rPr>
          <w:rFonts w:ascii="华文中宋" w:hAnsi="华文中宋" w:eastAsia="华文中宋" w:cs="华文中宋"/>
          <w:sz w:val="28"/>
          <w:szCs w:val="28"/>
        </w:rPr>
      </w:pPr>
      <w:r>
        <w:rPr>
          <w:rFonts w:hint="eastAsia" w:ascii="华文中宋" w:hAnsi="华文中宋" w:eastAsia="华文中宋" w:cs="华文中宋"/>
          <w:sz w:val="28"/>
          <w:szCs w:val="28"/>
        </w:rPr>
        <w:t>（2）《室外给水设计标准》（GB50013-2018）</w:t>
      </w:r>
    </w:p>
    <w:p>
      <w:pPr>
        <w:spacing w:line="360" w:lineRule="auto"/>
        <w:ind w:firstLine="560" w:firstLineChars="200"/>
        <w:rPr>
          <w:rFonts w:ascii="华文中宋" w:hAnsi="华文中宋" w:eastAsia="华文中宋" w:cs="华文中宋"/>
          <w:sz w:val="28"/>
          <w:szCs w:val="28"/>
        </w:rPr>
      </w:pPr>
      <w:r>
        <w:rPr>
          <w:rFonts w:hint="eastAsia" w:ascii="华文中宋" w:hAnsi="华文中宋" w:eastAsia="华文中宋" w:cs="华文中宋"/>
          <w:sz w:val="28"/>
          <w:szCs w:val="28"/>
        </w:rPr>
        <w:t>（3）《内蒙古自治区行业用水定额》（2020年）</w:t>
      </w:r>
    </w:p>
    <w:p>
      <w:pPr>
        <w:spacing w:line="360" w:lineRule="auto"/>
        <w:ind w:firstLine="560" w:firstLineChars="200"/>
        <w:rPr>
          <w:rFonts w:ascii="华文中宋" w:hAnsi="华文中宋" w:eastAsia="华文中宋" w:cs="华文中宋"/>
          <w:sz w:val="28"/>
          <w:szCs w:val="28"/>
        </w:rPr>
      </w:pPr>
      <w:r>
        <w:rPr>
          <w:rFonts w:hint="eastAsia" w:ascii="华文中宋" w:hAnsi="华文中宋" w:eastAsia="华文中宋" w:cs="华文中宋"/>
          <w:sz w:val="28"/>
          <w:szCs w:val="28"/>
        </w:rPr>
        <w:t>（4）《生活饮用水卫生标准》（GB5749-2022）</w:t>
      </w:r>
    </w:p>
    <w:p>
      <w:pPr>
        <w:spacing w:line="360" w:lineRule="auto"/>
        <w:ind w:firstLine="560" w:firstLineChars="200"/>
        <w:rPr>
          <w:rFonts w:ascii="华文中宋" w:hAnsi="华文中宋" w:eastAsia="华文中宋" w:cs="华文中宋"/>
          <w:sz w:val="28"/>
          <w:szCs w:val="28"/>
        </w:rPr>
      </w:pPr>
      <w:r>
        <w:rPr>
          <w:rFonts w:hint="eastAsia" w:ascii="华文中宋" w:hAnsi="华文中宋" w:eastAsia="华文中宋" w:cs="华文中宋"/>
          <w:sz w:val="28"/>
          <w:szCs w:val="28"/>
        </w:rPr>
        <w:t>（5）《建筑设计防火规范》（GB50016-2014）（2018版）</w:t>
      </w:r>
    </w:p>
    <w:p>
      <w:pPr>
        <w:spacing w:line="360" w:lineRule="auto"/>
        <w:ind w:firstLine="560" w:firstLineChars="200"/>
        <w:rPr>
          <w:rFonts w:ascii="华文中宋" w:hAnsi="华文中宋" w:eastAsia="华文中宋" w:cs="华文中宋"/>
          <w:sz w:val="28"/>
          <w:szCs w:val="28"/>
        </w:rPr>
      </w:pPr>
      <w:r>
        <w:rPr>
          <w:rFonts w:hint="eastAsia" w:ascii="华文中宋" w:hAnsi="华文中宋" w:eastAsia="华文中宋" w:cs="华文中宋"/>
          <w:sz w:val="28"/>
          <w:szCs w:val="28"/>
        </w:rPr>
        <w:t>（6）《消防给水及消火栓系统技术规范》（GB50974-2014）</w:t>
      </w:r>
    </w:p>
    <w:p>
      <w:pPr>
        <w:pStyle w:val="5"/>
        <w:spacing w:before="0" w:after="0"/>
        <w:rPr>
          <w:rFonts w:ascii="华文中宋" w:hAnsi="华文中宋" w:eastAsia="华文中宋" w:cs="华文中宋"/>
          <w:sz w:val="28"/>
          <w:szCs w:val="28"/>
        </w:rPr>
      </w:pPr>
      <w:r>
        <w:rPr>
          <w:rFonts w:hint="eastAsia" w:ascii="华文中宋" w:hAnsi="华文中宋" w:eastAsia="华文中宋" w:cs="华文中宋"/>
          <w:sz w:val="28"/>
          <w:szCs w:val="28"/>
        </w:rPr>
        <w:t>4.1.2 用水量预测与计算</w:t>
      </w:r>
    </w:p>
    <w:p>
      <w:pPr>
        <w:spacing w:line="360" w:lineRule="auto"/>
        <w:ind w:firstLine="560" w:firstLineChars="200"/>
        <w:rPr>
          <w:rFonts w:ascii="华文中宋" w:hAnsi="华文中宋" w:eastAsia="华文中宋" w:cs="华文中宋"/>
          <w:sz w:val="28"/>
          <w:szCs w:val="28"/>
        </w:rPr>
      </w:pPr>
      <w:r>
        <w:rPr>
          <w:rFonts w:hint="eastAsia" w:ascii="华文中宋" w:hAnsi="华文中宋" w:eastAsia="华文中宋" w:cs="华文中宋"/>
          <w:sz w:val="28"/>
          <w:szCs w:val="28"/>
        </w:rPr>
        <w:t>根据A片区的用地布局和面积，规划采用综合生活用水量指标法和分类用地指标法对片区职工生活、工业及其它用水量分别进行预测。</w:t>
      </w:r>
    </w:p>
    <w:p>
      <w:pPr>
        <w:spacing w:line="360" w:lineRule="auto"/>
        <w:rPr>
          <w:rFonts w:ascii="华文中宋" w:hAnsi="华文中宋" w:eastAsia="华文中宋" w:cs="华文中宋"/>
          <w:b/>
          <w:bCs/>
          <w:sz w:val="28"/>
          <w:szCs w:val="28"/>
        </w:rPr>
      </w:pPr>
      <w:r>
        <w:rPr>
          <w:rFonts w:hint="eastAsia" w:ascii="华文中宋" w:hAnsi="华文中宋" w:eastAsia="华文中宋" w:cs="华文中宋"/>
          <w:b/>
          <w:bCs/>
          <w:sz w:val="28"/>
          <w:szCs w:val="28"/>
        </w:rPr>
        <w:t>4.1.2.1 职工生活用水量</w:t>
      </w:r>
    </w:p>
    <w:p>
      <w:pPr>
        <w:ind w:firstLine="560" w:firstLineChars="200"/>
        <w:rPr>
          <w:rFonts w:ascii="华文中宋" w:hAnsi="华文中宋" w:eastAsia="华文中宋" w:cs="华文中宋"/>
          <w:sz w:val="28"/>
          <w:szCs w:val="28"/>
          <w:lang w:val="zh-CN"/>
        </w:rPr>
      </w:pPr>
      <w:r>
        <w:rPr>
          <w:rFonts w:hint="eastAsia" w:ascii="华文中宋" w:hAnsi="华文中宋" w:eastAsia="华文中宋" w:cs="华文中宋"/>
          <w:sz w:val="28"/>
          <w:szCs w:val="28"/>
          <w:lang w:val="zh-CN"/>
        </w:rPr>
        <w:t>（</w:t>
      </w:r>
      <w:r>
        <w:rPr>
          <w:rFonts w:hint="eastAsia" w:ascii="华文中宋" w:hAnsi="华文中宋" w:eastAsia="华文中宋" w:cs="华文中宋"/>
          <w:sz w:val="28"/>
          <w:szCs w:val="28"/>
        </w:rPr>
        <w:t>1</w:t>
      </w:r>
      <w:r>
        <w:rPr>
          <w:rFonts w:hint="eastAsia" w:ascii="华文中宋" w:hAnsi="华文中宋" w:eastAsia="华文中宋" w:cs="华文中宋"/>
          <w:sz w:val="28"/>
          <w:szCs w:val="28"/>
          <w:lang w:val="zh-CN"/>
        </w:rPr>
        <w:t>）综合生活用水量</w:t>
      </w:r>
    </w:p>
    <w:p>
      <w:pPr>
        <w:spacing w:line="360" w:lineRule="auto"/>
        <w:ind w:firstLine="560" w:firstLineChars="200"/>
        <w:rPr>
          <w:rFonts w:ascii="华文中宋" w:hAnsi="华文中宋" w:eastAsia="华文中宋" w:cs="华文中宋"/>
          <w:sz w:val="28"/>
          <w:szCs w:val="28"/>
        </w:rPr>
      </w:pPr>
      <w:r>
        <w:rPr>
          <w:rFonts w:hint="eastAsia" w:ascii="华文中宋" w:hAnsi="华文中宋" w:eastAsia="华文中宋" w:cs="华文中宋"/>
          <w:sz w:val="28"/>
          <w:szCs w:val="28"/>
        </w:rPr>
        <w:t>规划预测</w:t>
      </w:r>
      <w:r>
        <w:rPr>
          <w:rFonts w:hint="eastAsia" w:ascii="华文中宋" w:hAnsi="华文中宋" w:eastAsia="华文中宋" w:cs="华文中宋"/>
          <w:sz w:val="28"/>
          <w:szCs w:val="28"/>
          <w:lang w:eastAsia="zh-CN"/>
        </w:rPr>
        <w:t>，</w:t>
      </w:r>
      <w:r>
        <w:rPr>
          <w:rFonts w:hint="eastAsia" w:ascii="华文中宋" w:hAnsi="华文中宋" w:eastAsia="华文中宋" w:cs="华文中宋"/>
          <w:sz w:val="28"/>
          <w:szCs w:val="28"/>
        </w:rPr>
        <w:t>A片区职工人数为1万人。按照《内蒙古自治区行业用水定额》（2020年）的相关要求，本次设计职工人均最高日综合生活用水量指标取150升/人•日，则片区最高日职工综合生活用水量为0.15万立方米/日。</w:t>
      </w:r>
    </w:p>
    <w:p>
      <w:pPr>
        <w:spacing w:line="360" w:lineRule="auto"/>
        <w:ind w:firstLine="560" w:firstLineChars="200"/>
        <w:rPr>
          <w:rFonts w:ascii="华文中宋" w:hAnsi="华文中宋" w:eastAsia="华文中宋" w:cs="华文中宋"/>
          <w:sz w:val="28"/>
          <w:szCs w:val="28"/>
        </w:rPr>
      </w:pPr>
      <w:r>
        <w:rPr>
          <w:rFonts w:hint="eastAsia" w:ascii="华文中宋" w:hAnsi="华文中宋" w:eastAsia="华文中宋" w:cs="华文中宋"/>
          <w:sz w:val="28"/>
          <w:szCs w:val="28"/>
        </w:rPr>
        <w:t>（2）管网漏损水量</w:t>
      </w:r>
    </w:p>
    <w:p>
      <w:pPr>
        <w:spacing w:line="360" w:lineRule="auto"/>
        <w:ind w:firstLine="560" w:firstLineChars="200"/>
        <w:rPr>
          <w:rFonts w:ascii="华文中宋" w:hAnsi="华文中宋" w:eastAsia="华文中宋" w:cs="华文中宋"/>
          <w:sz w:val="28"/>
          <w:szCs w:val="28"/>
        </w:rPr>
      </w:pPr>
      <w:r>
        <w:rPr>
          <w:rFonts w:hint="eastAsia" w:ascii="华文中宋" w:hAnsi="华文中宋" w:eastAsia="华文中宋" w:cs="华文中宋"/>
          <w:sz w:val="28"/>
          <w:szCs w:val="28"/>
        </w:rPr>
        <w:t>根据《室外给水设计标准》（GB50013-2018）的要求，管网漏损水量可按综合生活用水量为10%计算。则A片区职工生活用水管网漏损水量为0.015万立方米/日。</w:t>
      </w:r>
    </w:p>
    <w:p>
      <w:pPr>
        <w:spacing w:line="360" w:lineRule="auto"/>
        <w:ind w:firstLine="560" w:firstLineChars="200"/>
        <w:rPr>
          <w:rFonts w:ascii="华文中宋" w:hAnsi="华文中宋" w:eastAsia="华文中宋" w:cs="华文中宋"/>
          <w:sz w:val="28"/>
          <w:szCs w:val="28"/>
        </w:rPr>
      </w:pPr>
      <w:r>
        <w:rPr>
          <w:rFonts w:hint="eastAsia" w:ascii="华文中宋" w:hAnsi="华文中宋" w:eastAsia="华文中宋" w:cs="华文中宋"/>
          <w:sz w:val="28"/>
          <w:szCs w:val="28"/>
        </w:rPr>
        <w:t>（3）未预见水量</w:t>
      </w:r>
    </w:p>
    <w:p>
      <w:pPr>
        <w:spacing w:line="360" w:lineRule="auto"/>
        <w:ind w:firstLine="560" w:firstLineChars="200"/>
        <w:rPr>
          <w:rFonts w:ascii="华文中宋" w:hAnsi="华文中宋" w:eastAsia="华文中宋" w:cs="华文中宋"/>
          <w:sz w:val="28"/>
          <w:szCs w:val="28"/>
        </w:rPr>
      </w:pPr>
      <w:r>
        <w:rPr>
          <w:rFonts w:hint="eastAsia" w:ascii="华文中宋" w:hAnsi="华文中宋" w:eastAsia="华文中宋" w:cs="华文中宋"/>
          <w:sz w:val="28"/>
          <w:szCs w:val="28"/>
        </w:rPr>
        <w:t>根据《室外给水设计标准》（GB50013-2018）的要求，未预见水量可按综合生活用水量和管网漏损水量之和的12%计算。则A片区职工生活用水未预见水量为0.02万立方米/日。</w:t>
      </w:r>
    </w:p>
    <w:p>
      <w:pPr>
        <w:spacing w:line="360" w:lineRule="auto"/>
        <w:ind w:firstLine="560" w:firstLineChars="200"/>
        <w:rPr>
          <w:rFonts w:ascii="华文中宋" w:hAnsi="华文中宋" w:eastAsia="华文中宋" w:cs="华文中宋"/>
          <w:sz w:val="28"/>
          <w:szCs w:val="28"/>
        </w:rPr>
      </w:pPr>
      <w:r>
        <w:rPr>
          <w:rFonts w:hint="eastAsia" w:ascii="华文中宋" w:hAnsi="华文中宋" w:eastAsia="华文中宋" w:cs="华文中宋"/>
          <w:sz w:val="28"/>
          <w:szCs w:val="28"/>
        </w:rPr>
        <w:t>（4）总用水量</w:t>
      </w:r>
    </w:p>
    <w:p>
      <w:pPr>
        <w:spacing w:line="360" w:lineRule="auto"/>
        <w:ind w:firstLine="560" w:firstLineChars="200"/>
        <w:rPr>
          <w:rFonts w:ascii="华文中宋" w:hAnsi="华文中宋" w:eastAsia="华文中宋" w:cs="华文中宋"/>
          <w:sz w:val="28"/>
          <w:szCs w:val="28"/>
        </w:rPr>
      </w:pPr>
      <w:r>
        <w:rPr>
          <w:rFonts w:hint="eastAsia" w:ascii="华文中宋" w:hAnsi="华文中宋" w:eastAsia="华文中宋" w:cs="华文中宋"/>
          <w:sz w:val="28"/>
          <w:szCs w:val="28"/>
        </w:rPr>
        <w:t>综上所述，规划A片区职工生活总用水量为0.19万立方米/日。</w:t>
      </w:r>
    </w:p>
    <w:p>
      <w:pPr>
        <w:spacing w:line="360" w:lineRule="auto"/>
        <w:rPr>
          <w:rFonts w:ascii="华文中宋" w:hAnsi="华文中宋" w:eastAsia="华文中宋" w:cs="华文中宋"/>
          <w:b/>
          <w:bCs/>
          <w:sz w:val="28"/>
          <w:szCs w:val="28"/>
        </w:rPr>
      </w:pPr>
      <w:r>
        <w:rPr>
          <w:rFonts w:hint="eastAsia" w:ascii="华文中宋" w:hAnsi="华文中宋" w:eastAsia="华文中宋" w:cs="华文中宋"/>
          <w:b/>
          <w:bCs/>
          <w:sz w:val="28"/>
          <w:szCs w:val="28"/>
        </w:rPr>
        <w:t>4.1.2.2 工业生产用水量</w:t>
      </w:r>
    </w:p>
    <w:p>
      <w:pPr>
        <w:spacing w:line="360" w:lineRule="auto"/>
        <w:ind w:firstLine="560" w:firstLineChars="200"/>
        <w:rPr>
          <w:rFonts w:ascii="华文中宋" w:hAnsi="华文中宋" w:eastAsia="华文中宋" w:cs="华文中宋"/>
          <w:sz w:val="28"/>
          <w:szCs w:val="28"/>
        </w:rPr>
      </w:pPr>
      <w:r>
        <w:rPr>
          <w:rFonts w:hint="eastAsia" w:ascii="华文中宋" w:hAnsi="华文中宋" w:eastAsia="华文中宋" w:cs="华文中宋"/>
          <w:sz w:val="28"/>
          <w:szCs w:val="28"/>
        </w:rPr>
        <w:t>目前，A片区可统计的企业总用水量为3.41万立方米/日，占地面积约233公顷。规划参考《城市给水工程规划规范》（GB50282-2016）和《内蒙古自治区行业用水定额》（2020年）的相关用水标准，综合考虑片区的水资源情况、入驻企业性质、生产工艺要求等资料，确定A片区剩余工业生产用水量约2.0</w:t>
      </w:r>
      <w:r>
        <w:rPr>
          <w:rFonts w:ascii="华文中宋" w:hAnsi="华文中宋" w:eastAsia="华文中宋" w:cs="华文中宋"/>
          <w:sz w:val="28"/>
          <w:szCs w:val="28"/>
        </w:rPr>
        <w:t>4</w:t>
      </w:r>
      <w:r>
        <w:rPr>
          <w:rFonts w:hint="eastAsia" w:ascii="华文中宋" w:hAnsi="华文中宋" w:eastAsia="华文中宋" w:cs="华文中宋"/>
          <w:sz w:val="28"/>
          <w:szCs w:val="28"/>
        </w:rPr>
        <w:t>万立方米/日。</w:t>
      </w:r>
    </w:p>
    <w:p>
      <w:pPr>
        <w:spacing w:line="360" w:lineRule="auto"/>
        <w:ind w:firstLine="560" w:firstLineChars="200"/>
        <w:rPr>
          <w:rFonts w:ascii="华文中宋" w:hAnsi="华文中宋" w:eastAsia="华文中宋" w:cs="华文中宋"/>
          <w:sz w:val="28"/>
          <w:szCs w:val="28"/>
        </w:rPr>
      </w:pPr>
      <w:r>
        <w:rPr>
          <w:rFonts w:hint="eastAsia" w:ascii="华文中宋" w:hAnsi="华文中宋" w:eastAsia="华文中宋" w:cs="华文中宋"/>
          <w:sz w:val="28"/>
          <w:szCs w:val="28"/>
        </w:rPr>
        <w:t>根据《室外给水设计标准》（GB50013-2018）的要求，未预见水量按生产用水量的8%取值，则预测A片区工业生产总用水量为5.</w:t>
      </w:r>
      <w:r>
        <w:rPr>
          <w:rFonts w:ascii="华文中宋" w:hAnsi="华文中宋" w:eastAsia="华文中宋" w:cs="华文中宋"/>
          <w:sz w:val="28"/>
          <w:szCs w:val="28"/>
        </w:rPr>
        <w:t>89</w:t>
      </w:r>
      <w:r>
        <w:rPr>
          <w:rFonts w:hint="eastAsia" w:ascii="华文中宋" w:hAnsi="华文中宋" w:eastAsia="华文中宋" w:cs="华文中宋"/>
          <w:sz w:val="28"/>
          <w:szCs w:val="28"/>
        </w:rPr>
        <w:t>万立方米/日。</w:t>
      </w:r>
    </w:p>
    <w:p>
      <w:pPr>
        <w:spacing w:line="360" w:lineRule="auto"/>
        <w:ind w:firstLine="480" w:firstLineChars="200"/>
        <w:jc w:val="center"/>
        <w:rPr>
          <w:rFonts w:ascii="华文中宋" w:hAnsi="华文中宋" w:eastAsia="华文中宋" w:cs="华文中宋"/>
          <w:sz w:val="24"/>
          <w:szCs w:val="24"/>
        </w:rPr>
      </w:pPr>
      <w:r>
        <w:rPr>
          <w:rFonts w:hint="eastAsia" w:ascii="华文中宋" w:hAnsi="华文中宋" w:eastAsia="华文中宋" w:cs="华文中宋"/>
          <w:sz w:val="24"/>
          <w:szCs w:val="24"/>
        </w:rPr>
        <w:t>表4-1-1  A片区工业生产用水量预测表</w:t>
      </w:r>
    </w:p>
    <w:tbl>
      <w:tblPr>
        <w:tblStyle w:val="32"/>
        <w:tblW w:w="5000"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2279"/>
        <w:gridCol w:w="2228"/>
        <w:gridCol w:w="3033"/>
        <w:gridCol w:w="2783"/>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104" w:type="pct"/>
            <w:vAlign w:val="center"/>
          </w:tcPr>
          <w:p>
            <w:pPr>
              <w:spacing w:line="192" w:lineRule="auto"/>
              <w:jc w:val="center"/>
              <w:rPr>
                <w:rFonts w:ascii="华文中宋" w:hAnsi="华文中宋" w:eastAsia="华文中宋" w:cs="华文中宋"/>
                <w:szCs w:val="21"/>
              </w:rPr>
            </w:pPr>
            <w:r>
              <w:rPr>
                <w:rFonts w:hint="eastAsia" w:ascii="华文中宋" w:hAnsi="华文中宋" w:eastAsia="华文中宋" w:cs="华文中宋"/>
                <w:szCs w:val="21"/>
              </w:rPr>
              <w:t>用地名称</w:t>
            </w:r>
          </w:p>
        </w:tc>
        <w:tc>
          <w:tcPr>
            <w:tcW w:w="1079" w:type="pct"/>
            <w:vAlign w:val="center"/>
          </w:tcPr>
          <w:p>
            <w:pPr>
              <w:spacing w:line="192" w:lineRule="auto"/>
              <w:jc w:val="center"/>
              <w:rPr>
                <w:rFonts w:ascii="华文中宋" w:hAnsi="华文中宋" w:eastAsia="华文中宋" w:cs="华文中宋"/>
                <w:szCs w:val="21"/>
              </w:rPr>
            </w:pPr>
            <w:r>
              <w:rPr>
                <w:rFonts w:hint="eastAsia" w:ascii="华文中宋" w:hAnsi="华文中宋" w:eastAsia="华文中宋" w:cs="华文中宋"/>
                <w:szCs w:val="21"/>
              </w:rPr>
              <w:t>面积（公顷）</w:t>
            </w:r>
          </w:p>
        </w:tc>
        <w:tc>
          <w:tcPr>
            <w:tcW w:w="1469" w:type="pct"/>
            <w:tcBorders>
              <w:bottom w:val="single" w:color="auto" w:sz="4" w:space="0"/>
            </w:tcBorders>
            <w:vAlign w:val="center"/>
          </w:tcPr>
          <w:p>
            <w:pPr>
              <w:spacing w:line="192" w:lineRule="auto"/>
              <w:jc w:val="center"/>
              <w:rPr>
                <w:rFonts w:ascii="华文中宋" w:hAnsi="华文中宋" w:eastAsia="华文中宋" w:cs="华文中宋"/>
                <w:szCs w:val="21"/>
              </w:rPr>
            </w:pPr>
            <w:r>
              <w:rPr>
                <w:rFonts w:hint="eastAsia" w:ascii="华文中宋" w:hAnsi="华文中宋" w:eastAsia="华文中宋" w:cs="华文中宋"/>
                <w:szCs w:val="21"/>
              </w:rPr>
              <w:t>用水量指标</w:t>
            </w:r>
          </w:p>
          <w:p>
            <w:pPr>
              <w:spacing w:line="192" w:lineRule="auto"/>
              <w:jc w:val="center"/>
              <w:rPr>
                <w:rFonts w:ascii="华文中宋" w:hAnsi="华文中宋" w:eastAsia="华文中宋" w:cs="华文中宋"/>
                <w:szCs w:val="21"/>
              </w:rPr>
            </w:pPr>
            <w:r>
              <w:rPr>
                <w:rFonts w:hint="eastAsia" w:ascii="华文中宋" w:hAnsi="华文中宋" w:eastAsia="华文中宋" w:cs="华文中宋"/>
                <w:szCs w:val="21"/>
              </w:rPr>
              <w:t>（立方米/（公顷.日））</w:t>
            </w:r>
          </w:p>
        </w:tc>
        <w:tc>
          <w:tcPr>
            <w:tcW w:w="1348" w:type="pct"/>
            <w:tcBorders>
              <w:bottom w:val="single" w:color="auto" w:sz="4" w:space="0"/>
            </w:tcBorders>
            <w:vAlign w:val="center"/>
          </w:tcPr>
          <w:p>
            <w:pPr>
              <w:spacing w:line="192" w:lineRule="auto"/>
              <w:jc w:val="center"/>
              <w:rPr>
                <w:rFonts w:ascii="华文中宋" w:hAnsi="华文中宋" w:eastAsia="华文中宋" w:cs="华文中宋"/>
                <w:szCs w:val="21"/>
              </w:rPr>
            </w:pPr>
            <w:r>
              <w:rPr>
                <w:rFonts w:hint="eastAsia" w:ascii="华文中宋" w:hAnsi="华文中宋" w:eastAsia="华文中宋" w:cs="华文中宋"/>
                <w:szCs w:val="21"/>
              </w:rPr>
              <w:t>用水量</w:t>
            </w:r>
          </w:p>
          <w:p>
            <w:pPr>
              <w:spacing w:line="192" w:lineRule="auto"/>
              <w:jc w:val="center"/>
              <w:rPr>
                <w:rFonts w:ascii="华文中宋" w:hAnsi="华文中宋" w:eastAsia="华文中宋" w:cs="华文中宋"/>
                <w:szCs w:val="21"/>
              </w:rPr>
            </w:pPr>
            <w:r>
              <w:rPr>
                <w:rFonts w:hint="eastAsia" w:ascii="华文中宋" w:hAnsi="华文中宋" w:eastAsia="华文中宋" w:cs="华文中宋"/>
                <w:szCs w:val="21"/>
              </w:rPr>
              <w:t>（万立方米/日）</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104" w:type="pct"/>
            <w:vAlign w:val="center"/>
          </w:tcPr>
          <w:p>
            <w:pPr>
              <w:spacing w:line="192" w:lineRule="auto"/>
              <w:jc w:val="center"/>
              <w:rPr>
                <w:rFonts w:ascii="华文中宋" w:hAnsi="华文中宋" w:eastAsia="华文中宋" w:cs="华文中宋"/>
                <w:szCs w:val="21"/>
              </w:rPr>
            </w:pPr>
            <w:r>
              <w:rPr>
                <w:rFonts w:hint="eastAsia" w:ascii="华文中宋" w:hAnsi="华文中宋" w:eastAsia="华文中宋" w:cs="华文中宋"/>
                <w:szCs w:val="21"/>
              </w:rPr>
              <w:t>工业用地</w:t>
            </w:r>
          </w:p>
        </w:tc>
        <w:tc>
          <w:tcPr>
            <w:tcW w:w="1079" w:type="pct"/>
            <w:vAlign w:val="center"/>
          </w:tcPr>
          <w:p>
            <w:pPr>
              <w:spacing w:line="192" w:lineRule="auto"/>
              <w:jc w:val="center"/>
              <w:rPr>
                <w:rFonts w:ascii="华文中宋" w:hAnsi="华文中宋" w:eastAsia="华文中宋" w:cs="华文中宋"/>
                <w:szCs w:val="21"/>
              </w:rPr>
            </w:pPr>
            <w:r>
              <w:rPr>
                <w:rFonts w:hint="eastAsia" w:ascii="华文中宋" w:hAnsi="华文中宋" w:eastAsia="华文中宋" w:cs="华文中宋"/>
                <w:szCs w:val="21"/>
              </w:rPr>
              <w:t>29</w:t>
            </w:r>
            <w:r>
              <w:rPr>
                <w:rFonts w:ascii="华文中宋" w:hAnsi="华文中宋" w:eastAsia="华文中宋" w:cs="华文中宋"/>
                <w:szCs w:val="21"/>
              </w:rPr>
              <w:t>1.39</w:t>
            </w:r>
          </w:p>
        </w:tc>
        <w:tc>
          <w:tcPr>
            <w:tcW w:w="1469" w:type="pct"/>
            <w:vAlign w:val="center"/>
          </w:tcPr>
          <w:p>
            <w:pPr>
              <w:spacing w:line="192" w:lineRule="auto"/>
              <w:jc w:val="center"/>
              <w:rPr>
                <w:rFonts w:ascii="华文中宋" w:hAnsi="华文中宋" w:eastAsia="华文中宋" w:cs="华文中宋"/>
                <w:szCs w:val="21"/>
              </w:rPr>
            </w:pPr>
            <w:r>
              <w:rPr>
                <w:rFonts w:hint="eastAsia" w:ascii="华文中宋" w:hAnsi="华文中宋" w:eastAsia="华文中宋" w:cs="华文中宋"/>
                <w:szCs w:val="21"/>
              </w:rPr>
              <w:t>70</w:t>
            </w:r>
          </w:p>
        </w:tc>
        <w:tc>
          <w:tcPr>
            <w:tcW w:w="1348" w:type="pct"/>
            <w:tcBorders>
              <w:bottom w:val="single" w:color="auto" w:sz="4" w:space="0"/>
            </w:tcBorders>
            <w:vAlign w:val="center"/>
          </w:tcPr>
          <w:p>
            <w:pPr>
              <w:spacing w:line="192" w:lineRule="auto"/>
              <w:jc w:val="center"/>
              <w:rPr>
                <w:rFonts w:ascii="华文中宋" w:hAnsi="华文中宋" w:eastAsia="华文中宋" w:cs="华文中宋"/>
                <w:szCs w:val="21"/>
              </w:rPr>
            </w:pPr>
            <w:r>
              <w:rPr>
                <w:rFonts w:hint="eastAsia" w:ascii="华文中宋" w:hAnsi="华文中宋" w:eastAsia="华文中宋" w:cs="华文中宋"/>
                <w:szCs w:val="21"/>
              </w:rPr>
              <w:t>2.0</w:t>
            </w:r>
            <w:r>
              <w:rPr>
                <w:rFonts w:ascii="华文中宋" w:hAnsi="华文中宋" w:eastAsia="华文中宋" w:cs="华文中宋"/>
                <w:szCs w:val="21"/>
              </w:rPr>
              <w:t>4</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3652" w:type="pct"/>
            <w:gridSpan w:val="3"/>
            <w:vAlign w:val="center"/>
          </w:tcPr>
          <w:p>
            <w:pPr>
              <w:spacing w:line="192" w:lineRule="auto"/>
              <w:jc w:val="center"/>
              <w:rPr>
                <w:rFonts w:ascii="华文中宋" w:hAnsi="华文中宋" w:eastAsia="华文中宋" w:cs="华文中宋"/>
                <w:szCs w:val="21"/>
              </w:rPr>
            </w:pPr>
            <w:r>
              <w:rPr>
                <w:rFonts w:hint="eastAsia" w:ascii="华文中宋" w:hAnsi="华文中宋" w:eastAsia="华文中宋" w:cs="华文中宋"/>
                <w:szCs w:val="21"/>
              </w:rPr>
              <w:t>合计</w:t>
            </w:r>
          </w:p>
        </w:tc>
        <w:tc>
          <w:tcPr>
            <w:tcW w:w="1348" w:type="pct"/>
            <w:vAlign w:val="center"/>
          </w:tcPr>
          <w:p>
            <w:pPr>
              <w:spacing w:line="192" w:lineRule="auto"/>
              <w:jc w:val="center"/>
              <w:rPr>
                <w:rFonts w:ascii="华文中宋" w:hAnsi="华文中宋" w:eastAsia="华文中宋" w:cs="华文中宋"/>
                <w:szCs w:val="21"/>
              </w:rPr>
            </w:pPr>
            <w:r>
              <w:rPr>
                <w:rFonts w:hint="eastAsia" w:ascii="华文中宋" w:hAnsi="华文中宋" w:eastAsia="华文中宋" w:cs="华文中宋"/>
                <w:szCs w:val="21"/>
              </w:rPr>
              <w:t>2.0</w:t>
            </w:r>
            <w:r>
              <w:rPr>
                <w:rFonts w:ascii="华文中宋" w:hAnsi="华文中宋" w:eastAsia="华文中宋" w:cs="华文中宋"/>
                <w:szCs w:val="21"/>
              </w:rPr>
              <w:t>4</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5000" w:type="pct"/>
            <w:gridSpan w:val="4"/>
            <w:vAlign w:val="center"/>
          </w:tcPr>
          <w:p>
            <w:pPr>
              <w:spacing w:line="192" w:lineRule="auto"/>
              <w:jc w:val="left"/>
              <w:rPr>
                <w:rFonts w:ascii="华文中宋" w:hAnsi="华文中宋" w:eastAsia="华文中宋" w:cs="华文中宋"/>
                <w:szCs w:val="21"/>
              </w:rPr>
            </w:pPr>
            <w:r>
              <w:rPr>
                <w:rFonts w:hint="eastAsia" w:ascii="华文中宋" w:hAnsi="华文中宋" w:eastAsia="华文中宋" w:cs="华文中宋"/>
                <w:szCs w:val="21"/>
              </w:rPr>
              <w:t>注：本指标已包括管网漏失水量。</w:t>
            </w:r>
          </w:p>
        </w:tc>
      </w:tr>
    </w:tbl>
    <w:p>
      <w:pPr>
        <w:spacing w:line="360" w:lineRule="auto"/>
        <w:rPr>
          <w:rFonts w:ascii="华文中宋" w:hAnsi="华文中宋" w:eastAsia="华文中宋" w:cs="华文中宋"/>
          <w:b/>
          <w:bCs/>
          <w:sz w:val="28"/>
          <w:szCs w:val="28"/>
        </w:rPr>
      </w:pPr>
      <w:r>
        <w:rPr>
          <w:rFonts w:hint="eastAsia" w:ascii="华文中宋" w:hAnsi="华文中宋" w:eastAsia="华文中宋" w:cs="华文中宋"/>
          <w:b/>
          <w:bCs/>
          <w:sz w:val="28"/>
          <w:szCs w:val="28"/>
        </w:rPr>
        <w:t>4.1.2.3 其他用水量</w:t>
      </w:r>
    </w:p>
    <w:p>
      <w:pPr>
        <w:spacing w:line="360" w:lineRule="auto"/>
        <w:ind w:firstLine="560" w:firstLineChars="200"/>
        <w:rPr>
          <w:rFonts w:ascii="华文中宋" w:hAnsi="华文中宋" w:eastAsia="华文中宋" w:cs="华文中宋"/>
          <w:sz w:val="28"/>
          <w:szCs w:val="28"/>
        </w:rPr>
      </w:pPr>
      <w:r>
        <w:rPr>
          <w:rFonts w:hint="eastAsia" w:ascii="华文中宋" w:hAnsi="华文中宋" w:eastAsia="华文中宋" w:cs="华文中宋"/>
          <w:sz w:val="28"/>
          <w:szCs w:val="28"/>
        </w:rPr>
        <w:t>规划按照《城市给水工程规划规范》（GB50282-2016）和《内蒙古自治区行业用水定额》（2020年）的相关用水标准，确定道路浇洒用水量指标取2升/平方米.日，绿地与广场浇洒用水量指标取1升/平方米.日，市政公用设施用水量指标取3升/平方米.日，未预见水量按用水量的8%取值，则预测A片区其他用水量为0.</w:t>
      </w:r>
      <w:r>
        <w:rPr>
          <w:rFonts w:ascii="华文中宋" w:hAnsi="华文中宋" w:eastAsia="华文中宋" w:cs="华文中宋"/>
          <w:sz w:val="28"/>
          <w:szCs w:val="28"/>
        </w:rPr>
        <w:t>09</w:t>
      </w:r>
      <w:r>
        <w:rPr>
          <w:rFonts w:hint="eastAsia" w:ascii="华文中宋" w:hAnsi="华文中宋" w:eastAsia="华文中宋" w:cs="华文中宋"/>
          <w:sz w:val="28"/>
          <w:szCs w:val="28"/>
        </w:rPr>
        <w:t>万立方米/日。</w:t>
      </w:r>
    </w:p>
    <w:p>
      <w:pPr>
        <w:spacing w:line="360" w:lineRule="auto"/>
        <w:ind w:firstLine="480" w:firstLineChars="200"/>
        <w:jc w:val="center"/>
        <w:rPr>
          <w:rFonts w:ascii="华文中宋" w:hAnsi="华文中宋" w:eastAsia="华文中宋" w:cs="华文中宋"/>
          <w:sz w:val="24"/>
          <w:szCs w:val="24"/>
        </w:rPr>
      </w:pPr>
      <w:r>
        <w:rPr>
          <w:rFonts w:hint="eastAsia" w:ascii="华文中宋" w:hAnsi="华文中宋" w:eastAsia="华文中宋" w:cs="华文中宋"/>
          <w:sz w:val="24"/>
          <w:szCs w:val="24"/>
        </w:rPr>
        <w:t>表4-1-2  A片区其他用水量预测表</w:t>
      </w:r>
    </w:p>
    <w:tbl>
      <w:tblPr>
        <w:tblStyle w:val="32"/>
        <w:tblW w:w="5000"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2279"/>
        <w:gridCol w:w="2228"/>
        <w:gridCol w:w="3033"/>
        <w:gridCol w:w="2783"/>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104" w:type="pct"/>
            <w:vAlign w:val="center"/>
          </w:tcPr>
          <w:p>
            <w:pPr>
              <w:spacing w:line="192" w:lineRule="auto"/>
              <w:jc w:val="center"/>
              <w:rPr>
                <w:rFonts w:ascii="华文中宋" w:hAnsi="华文中宋" w:eastAsia="华文中宋" w:cs="华文中宋"/>
                <w:szCs w:val="21"/>
              </w:rPr>
            </w:pPr>
            <w:r>
              <w:rPr>
                <w:rFonts w:hint="eastAsia" w:ascii="华文中宋" w:hAnsi="华文中宋" w:eastAsia="华文中宋" w:cs="华文中宋"/>
                <w:szCs w:val="21"/>
              </w:rPr>
              <w:t>用地名称</w:t>
            </w:r>
          </w:p>
        </w:tc>
        <w:tc>
          <w:tcPr>
            <w:tcW w:w="1079" w:type="pct"/>
            <w:vAlign w:val="center"/>
          </w:tcPr>
          <w:p>
            <w:pPr>
              <w:spacing w:line="192" w:lineRule="auto"/>
              <w:jc w:val="center"/>
              <w:rPr>
                <w:rFonts w:ascii="华文中宋" w:hAnsi="华文中宋" w:eastAsia="华文中宋" w:cs="华文中宋"/>
                <w:szCs w:val="21"/>
              </w:rPr>
            </w:pPr>
            <w:r>
              <w:rPr>
                <w:rFonts w:hint="eastAsia" w:ascii="华文中宋" w:hAnsi="华文中宋" w:eastAsia="华文中宋" w:cs="华文中宋"/>
                <w:szCs w:val="21"/>
              </w:rPr>
              <w:t>面积（公顷）</w:t>
            </w:r>
          </w:p>
        </w:tc>
        <w:tc>
          <w:tcPr>
            <w:tcW w:w="1469" w:type="pct"/>
            <w:tcBorders>
              <w:bottom w:val="single" w:color="auto" w:sz="4" w:space="0"/>
            </w:tcBorders>
            <w:vAlign w:val="center"/>
          </w:tcPr>
          <w:p>
            <w:pPr>
              <w:spacing w:line="192" w:lineRule="auto"/>
              <w:jc w:val="center"/>
              <w:rPr>
                <w:rFonts w:ascii="华文中宋" w:hAnsi="华文中宋" w:eastAsia="华文中宋" w:cs="华文中宋"/>
                <w:szCs w:val="21"/>
              </w:rPr>
            </w:pPr>
            <w:r>
              <w:rPr>
                <w:rFonts w:hint="eastAsia" w:ascii="华文中宋" w:hAnsi="华文中宋" w:eastAsia="华文中宋" w:cs="华文中宋"/>
                <w:szCs w:val="21"/>
              </w:rPr>
              <w:t>用水量指标</w:t>
            </w:r>
          </w:p>
          <w:p>
            <w:pPr>
              <w:spacing w:line="192" w:lineRule="auto"/>
              <w:jc w:val="center"/>
              <w:rPr>
                <w:rFonts w:ascii="华文中宋" w:hAnsi="华文中宋" w:eastAsia="华文中宋" w:cs="华文中宋"/>
                <w:szCs w:val="21"/>
              </w:rPr>
            </w:pPr>
            <w:r>
              <w:rPr>
                <w:rFonts w:hint="eastAsia" w:ascii="华文中宋" w:hAnsi="华文中宋" w:eastAsia="华文中宋" w:cs="华文中宋"/>
                <w:szCs w:val="21"/>
              </w:rPr>
              <w:t>（升/（平方米.日））</w:t>
            </w:r>
          </w:p>
        </w:tc>
        <w:tc>
          <w:tcPr>
            <w:tcW w:w="1348" w:type="pct"/>
            <w:tcBorders>
              <w:bottom w:val="single" w:color="auto" w:sz="4" w:space="0"/>
            </w:tcBorders>
            <w:vAlign w:val="center"/>
          </w:tcPr>
          <w:p>
            <w:pPr>
              <w:spacing w:line="192" w:lineRule="auto"/>
              <w:jc w:val="center"/>
              <w:rPr>
                <w:rFonts w:ascii="华文中宋" w:hAnsi="华文中宋" w:eastAsia="华文中宋" w:cs="华文中宋"/>
                <w:szCs w:val="21"/>
              </w:rPr>
            </w:pPr>
            <w:r>
              <w:rPr>
                <w:rFonts w:hint="eastAsia" w:ascii="华文中宋" w:hAnsi="华文中宋" w:eastAsia="华文中宋" w:cs="华文中宋"/>
                <w:szCs w:val="21"/>
              </w:rPr>
              <w:t>用水量</w:t>
            </w:r>
          </w:p>
          <w:p>
            <w:pPr>
              <w:spacing w:line="192" w:lineRule="auto"/>
              <w:jc w:val="center"/>
              <w:rPr>
                <w:rFonts w:ascii="华文中宋" w:hAnsi="华文中宋" w:eastAsia="华文中宋" w:cs="华文中宋"/>
                <w:szCs w:val="21"/>
              </w:rPr>
            </w:pPr>
            <w:r>
              <w:rPr>
                <w:rFonts w:hint="eastAsia" w:ascii="华文中宋" w:hAnsi="华文中宋" w:eastAsia="华文中宋" w:cs="华文中宋"/>
                <w:szCs w:val="21"/>
              </w:rPr>
              <w:t>（万立方米/日）</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104" w:type="pct"/>
            <w:vAlign w:val="center"/>
          </w:tcPr>
          <w:p>
            <w:pPr>
              <w:spacing w:line="192" w:lineRule="auto"/>
              <w:jc w:val="center"/>
              <w:rPr>
                <w:rFonts w:ascii="华文中宋" w:hAnsi="华文中宋" w:eastAsia="华文中宋" w:cs="华文中宋"/>
                <w:szCs w:val="21"/>
              </w:rPr>
            </w:pPr>
            <w:r>
              <w:rPr>
                <w:rFonts w:hint="eastAsia" w:ascii="华文中宋" w:hAnsi="华文中宋" w:eastAsia="华文中宋" w:cs="华文中宋"/>
                <w:szCs w:val="21"/>
              </w:rPr>
              <w:t>市政公用设施用地</w:t>
            </w:r>
          </w:p>
        </w:tc>
        <w:tc>
          <w:tcPr>
            <w:tcW w:w="1079" w:type="pct"/>
            <w:vAlign w:val="center"/>
          </w:tcPr>
          <w:p>
            <w:pPr>
              <w:spacing w:line="192" w:lineRule="auto"/>
              <w:jc w:val="center"/>
              <w:rPr>
                <w:rFonts w:ascii="华文中宋" w:hAnsi="华文中宋" w:eastAsia="华文中宋" w:cs="华文中宋"/>
                <w:szCs w:val="21"/>
              </w:rPr>
            </w:pPr>
            <w:r>
              <w:rPr>
                <w:rFonts w:hint="eastAsia" w:ascii="华文中宋" w:hAnsi="华文中宋" w:eastAsia="华文中宋" w:cs="华文中宋"/>
                <w:szCs w:val="21"/>
              </w:rPr>
              <w:t>5.16</w:t>
            </w:r>
          </w:p>
        </w:tc>
        <w:tc>
          <w:tcPr>
            <w:tcW w:w="1469" w:type="pct"/>
            <w:vAlign w:val="center"/>
          </w:tcPr>
          <w:p>
            <w:pPr>
              <w:spacing w:line="192" w:lineRule="auto"/>
              <w:jc w:val="center"/>
              <w:rPr>
                <w:rFonts w:ascii="华文中宋" w:hAnsi="华文中宋" w:eastAsia="华文中宋" w:cs="华文中宋"/>
                <w:szCs w:val="21"/>
              </w:rPr>
            </w:pPr>
            <w:r>
              <w:rPr>
                <w:rFonts w:hint="eastAsia" w:ascii="华文中宋" w:hAnsi="华文中宋" w:eastAsia="华文中宋" w:cs="华文中宋"/>
                <w:szCs w:val="21"/>
              </w:rPr>
              <w:t>3</w:t>
            </w:r>
          </w:p>
        </w:tc>
        <w:tc>
          <w:tcPr>
            <w:tcW w:w="1348" w:type="pct"/>
            <w:tcBorders>
              <w:bottom w:val="single" w:color="auto" w:sz="4" w:space="0"/>
            </w:tcBorders>
            <w:vAlign w:val="center"/>
          </w:tcPr>
          <w:p>
            <w:pPr>
              <w:spacing w:line="192" w:lineRule="auto"/>
              <w:jc w:val="center"/>
              <w:rPr>
                <w:rFonts w:ascii="华文中宋" w:hAnsi="华文中宋" w:eastAsia="华文中宋" w:cs="华文中宋"/>
                <w:szCs w:val="21"/>
              </w:rPr>
            </w:pPr>
            <w:r>
              <w:rPr>
                <w:rFonts w:hint="eastAsia" w:ascii="华文中宋" w:hAnsi="华文中宋" w:eastAsia="华文中宋" w:cs="华文中宋"/>
                <w:szCs w:val="21"/>
              </w:rPr>
              <w:t>0.02</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104" w:type="pct"/>
            <w:vAlign w:val="center"/>
          </w:tcPr>
          <w:p>
            <w:pPr>
              <w:spacing w:line="192" w:lineRule="auto"/>
              <w:jc w:val="center"/>
              <w:rPr>
                <w:rFonts w:ascii="华文中宋" w:hAnsi="华文中宋" w:eastAsia="华文中宋" w:cs="华文中宋"/>
                <w:szCs w:val="21"/>
              </w:rPr>
            </w:pPr>
            <w:r>
              <w:rPr>
                <w:rFonts w:hint="eastAsia" w:ascii="华文中宋" w:hAnsi="华文中宋" w:eastAsia="华文中宋" w:cs="华文中宋"/>
                <w:szCs w:val="21"/>
              </w:rPr>
              <w:t>道路与交通设施用地</w:t>
            </w:r>
          </w:p>
        </w:tc>
        <w:tc>
          <w:tcPr>
            <w:tcW w:w="1079" w:type="pct"/>
            <w:vAlign w:val="center"/>
          </w:tcPr>
          <w:p>
            <w:pPr>
              <w:spacing w:line="192" w:lineRule="auto"/>
              <w:jc w:val="center"/>
              <w:rPr>
                <w:rFonts w:ascii="华文中宋" w:hAnsi="华文中宋" w:eastAsia="华文中宋" w:cs="华文中宋"/>
                <w:szCs w:val="21"/>
              </w:rPr>
            </w:pPr>
            <w:r>
              <w:rPr>
                <w:rFonts w:ascii="华文中宋" w:hAnsi="华文中宋" w:eastAsia="华文中宋" w:cs="华文中宋"/>
                <w:szCs w:val="21"/>
              </w:rPr>
              <w:t>17.22</w:t>
            </w:r>
          </w:p>
        </w:tc>
        <w:tc>
          <w:tcPr>
            <w:tcW w:w="1469" w:type="pct"/>
            <w:vAlign w:val="center"/>
          </w:tcPr>
          <w:p>
            <w:pPr>
              <w:spacing w:line="192" w:lineRule="auto"/>
              <w:jc w:val="center"/>
              <w:rPr>
                <w:rFonts w:ascii="华文中宋" w:hAnsi="华文中宋" w:eastAsia="华文中宋" w:cs="华文中宋"/>
                <w:szCs w:val="21"/>
              </w:rPr>
            </w:pPr>
            <w:r>
              <w:rPr>
                <w:rFonts w:hint="eastAsia" w:ascii="华文中宋" w:hAnsi="华文中宋" w:eastAsia="华文中宋" w:cs="华文中宋"/>
                <w:szCs w:val="21"/>
              </w:rPr>
              <w:t>2</w:t>
            </w:r>
          </w:p>
        </w:tc>
        <w:tc>
          <w:tcPr>
            <w:tcW w:w="1348" w:type="pct"/>
            <w:tcBorders>
              <w:top w:val="single" w:color="auto" w:sz="4" w:space="0"/>
            </w:tcBorders>
            <w:vAlign w:val="center"/>
          </w:tcPr>
          <w:p>
            <w:pPr>
              <w:spacing w:line="192" w:lineRule="auto"/>
              <w:jc w:val="center"/>
              <w:rPr>
                <w:rFonts w:ascii="华文中宋" w:hAnsi="华文中宋" w:eastAsia="华文中宋" w:cs="华文中宋"/>
                <w:szCs w:val="21"/>
              </w:rPr>
            </w:pPr>
            <w:r>
              <w:rPr>
                <w:rFonts w:hint="eastAsia" w:ascii="华文中宋" w:hAnsi="华文中宋" w:eastAsia="华文中宋" w:cs="华文中宋"/>
                <w:szCs w:val="21"/>
              </w:rPr>
              <w:t>0.0</w:t>
            </w:r>
            <w:r>
              <w:rPr>
                <w:rFonts w:ascii="华文中宋" w:hAnsi="华文中宋" w:eastAsia="华文中宋" w:cs="华文中宋"/>
                <w:szCs w:val="21"/>
              </w:rPr>
              <w:t>3</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1104" w:type="pct"/>
            <w:vAlign w:val="center"/>
          </w:tcPr>
          <w:p>
            <w:pPr>
              <w:spacing w:line="192" w:lineRule="auto"/>
              <w:jc w:val="center"/>
              <w:rPr>
                <w:rFonts w:ascii="华文中宋" w:hAnsi="华文中宋" w:eastAsia="华文中宋" w:cs="华文中宋"/>
                <w:szCs w:val="21"/>
              </w:rPr>
            </w:pPr>
            <w:r>
              <w:rPr>
                <w:rFonts w:hint="eastAsia" w:ascii="华文中宋" w:hAnsi="华文中宋" w:eastAsia="华文中宋" w:cs="华文中宋"/>
                <w:szCs w:val="21"/>
              </w:rPr>
              <w:t>绿地与广场用地</w:t>
            </w:r>
          </w:p>
        </w:tc>
        <w:tc>
          <w:tcPr>
            <w:tcW w:w="1079" w:type="pct"/>
            <w:vAlign w:val="center"/>
          </w:tcPr>
          <w:p>
            <w:pPr>
              <w:spacing w:line="192" w:lineRule="auto"/>
              <w:jc w:val="center"/>
              <w:rPr>
                <w:rFonts w:ascii="华文中宋" w:hAnsi="华文中宋" w:eastAsia="华文中宋" w:cs="华文中宋"/>
                <w:szCs w:val="21"/>
              </w:rPr>
            </w:pPr>
            <w:r>
              <w:rPr>
                <w:rFonts w:ascii="华文中宋" w:hAnsi="华文中宋" w:eastAsia="华文中宋" w:cs="华文中宋"/>
                <w:szCs w:val="21"/>
              </w:rPr>
              <w:t>27.11</w:t>
            </w:r>
          </w:p>
        </w:tc>
        <w:tc>
          <w:tcPr>
            <w:tcW w:w="1469" w:type="pct"/>
            <w:vAlign w:val="center"/>
          </w:tcPr>
          <w:p>
            <w:pPr>
              <w:spacing w:line="192" w:lineRule="auto"/>
              <w:jc w:val="center"/>
              <w:rPr>
                <w:rFonts w:ascii="华文中宋" w:hAnsi="华文中宋" w:eastAsia="华文中宋" w:cs="华文中宋"/>
                <w:szCs w:val="21"/>
              </w:rPr>
            </w:pPr>
            <w:r>
              <w:rPr>
                <w:rFonts w:hint="eastAsia" w:ascii="华文中宋" w:hAnsi="华文中宋" w:eastAsia="华文中宋" w:cs="华文中宋"/>
                <w:szCs w:val="21"/>
              </w:rPr>
              <w:t>1</w:t>
            </w:r>
          </w:p>
        </w:tc>
        <w:tc>
          <w:tcPr>
            <w:tcW w:w="1348" w:type="pct"/>
            <w:vAlign w:val="center"/>
          </w:tcPr>
          <w:p>
            <w:pPr>
              <w:spacing w:line="192" w:lineRule="auto"/>
              <w:jc w:val="center"/>
              <w:rPr>
                <w:rFonts w:ascii="华文中宋" w:hAnsi="华文中宋" w:eastAsia="华文中宋" w:cs="华文中宋"/>
                <w:szCs w:val="21"/>
              </w:rPr>
            </w:pPr>
            <w:r>
              <w:rPr>
                <w:rFonts w:hint="eastAsia" w:ascii="华文中宋" w:hAnsi="华文中宋" w:eastAsia="华文中宋" w:cs="华文中宋"/>
                <w:szCs w:val="21"/>
              </w:rPr>
              <w:t>0.03</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3652" w:type="pct"/>
            <w:gridSpan w:val="3"/>
            <w:vAlign w:val="center"/>
          </w:tcPr>
          <w:p>
            <w:pPr>
              <w:spacing w:line="192" w:lineRule="auto"/>
              <w:jc w:val="center"/>
              <w:rPr>
                <w:rFonts w:ascii="华文中宋" w:hAnsi="华文中宋" w:eastAsia="华文中宋" w:cs="华文中宋"/>
                <w:szCs w:val="21"/>
              </w:rPr>
            </w:pPr>
            <w:r>
              <w:rPr>
                <w:rFonts w:hint="eastAsia" w:ascii="华文中宋" w:hAnsi="华文中宋" w:eastAsia="华文中宋" w:cs="华文中宋"/>
                <w:szCs w:val="21"/>
              </w:rPr>
              <w:t>合计</w:t>
            </w:r>
          </w:p>
        </w:tc>
        <w:tc>
          <w:tcPr>
            <w:tcW w:w="1348" w:type="pct"/>
            <w:vAlign w:val="center"/>
          </w:tcPr>
          <w:p>
            <w:pPr>
              <w:spacing w:line="192" w:lineRule="auto"/>
              <w:jc w:val="center"/>
              <w:rPr>
                <w:rFonts w:ascii="华文中宋" w:hAnsi="华文中宋" w:eastAsia="华文中宋" w:cs="华文中宋"/>
                <w:szCs w:val="21"/>
              </w:rPr>
            </w:pPr>
            <w:r>
              <w:rPr>
                <w:rFonts w:hint="eastAsia" w:ascii="华文中宋" w:hAnsi="华文中宋" w:eastAsia="华文中宋" w:cs="华文中宋"/>
                <w:szCs w:val="21"/>
              </w:rPr>
              <w:t>0.</w:t>
            </w:r>
            <w:r>
              <w:rPr>
                <w:rFonts w:ascii="华文中宋" w:hAnsi="华文中宋" w:eastAsia="华文中宋" w:cs="华文中宋"/>
                <w:szCs w:val="21"/>
              </w:rPr>
              <w:t>08</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340" w:hRule="atLeast"/>
          <w:jc w:val="center"/>
        </w:trPr>
        <w:tc>
          <w:tcPr>
            <w:tcW w:w="5000" w:type="pct"/>
            <w:gridSpan w:val="4"/>
            <w:vAlign w:val="center"/>
          </w:tcPr>
          <w:p>
            <w:pPr>
              <w:spacing w:line="192" w:lineRule="auto"/>
              <w:jc w:val="left"/>
              <w:rPr>
                <w:rFonts w:ascii="华文中宋" w:hAnsi="华文中宋" w:eastAsia="华文中宋" w:cs="华文中宋"/>
                <w:szCs w:val="21"/>
              </w:rPr>
            </w:pPr>
            <w:r>
              <w:rPr>
                <w:rFonts w:hint="eastAsia" w:ascii="华文中宋" w:hAnsi="华文中宋" w:eastAsia="华文中宋" w:cs="华文中宋"/>
                <w:szCs w:val="21"/>
              </w:rPr>
              <w:t>注：本指标已包括管网漏失水量。</w:t>
            </w:r>
          </w:p>
        </w:tc>
      </w:tr>
    </w:tbl>
    <w:p>
      <w:pPr>
        <w:spacing w:line="360" w:lineRule="auto"/>
        <w:rPr>
          <w:rFonts w:ascii="华文中宋" w:hAnsi="华文中宋" w:eastAsia="华文中宋" w:cs="华文中宋"/>
          <w:b/>
          <w:bCs/>
          <w:sz w:val="28"/>
          <w:szCs w:val="28"/>
        </w:rPr>
      </w:pPr>
      <w:r>
        <w:rPr>
          <w:rFonts w:hint="eastAsia" w:ascii="华文中宋" w:hAnsi="华文中宋" w:eastAsia="华文中宋" w:cs="华文中宋"/>
          <w:b/>
          <w:bCs/>
          <w:sz w:val="28"/>
          <w:szCs w:val="28"/>
        </w:rPr>
        <w:t>4.1.2.4 消防用水量</w:t>
      </w:r>
    </w:p>
    <w:p>
      <w:pPr>
        <w:spacing w:line="360" w:lineRule="auto"/>
        <w:ind w:firstLine="560" w:firstLineChars="200"/>
        <w:rPr>
          <w:rFonts w:ascii="华文中宋" w:hAnsi="华文中宋" w:eastAsia="华文中宋" w:cs="华文中宋"/>
          <w:sz w:val="28"/>
          <w:szCs w:val="28"/>
        </w:rPr>
      </w:pPr>
      <w:r>
        <w:rPr>
          <w:rFonts w:hint="eastAsia" w:ascii="华文中宋" w:hAnsi="华文中宋" w:eastAsia="华文中宋" w:cs="华文中宋"/>
          <w:sz w:val="28"/>
          <w:szCs w:val="28"/>
        </w:rPr>
        <w:t>根据《建筑设计防火规范》（GB50016-2014）（2018版）的规定，工业园区的市政消防给水设计流量，宜根据规划区域的规模和同一时间的火灾起数，以及规划中的各类建筑室内外同时作用的水灭火系统设计流量之和经计算分析确定。本次规划由于基础资料缺乏，不作详细计算。</w:t>
      </w:r>
    </w:p>
    <w:p>
      <w:pPr>
        <w:spacing w:line="360" w:lineRule="auto"/>
        <w:rPr>
          <w:rFonts w:ascii="华文中宋" w:hAnsi="华文中宋" w:eastAsia="华文中宋" w:cs="华文中宋"/>
          <w:b/>
          <w:bCs/>
          <w:sz w:val="28"/>
          <w:szCs w:val="28"/>
        </w:rPr>
      </w:pPr>
      <w:r>
        <w:rPr>
          <w:rFonts w:hint="eastAsia" w:ascii="华文中宋" w:hAnsi="华文中宋" w:eastAsia="华文中宋" w:cs="华文中宋"/>
          <w:b/>
          <w:bCs/>
          <w:sz w:val="28"/>
          <w:szCs w:val="28"/>
        </w:rPr>
        <w:t>4.1.2.5 总用水量</w:t>
      </w:r>
    </w:p>
    <w:p>
      <w:pPr>
        <w:spacing w:line="360" w:lineRule="auto"/>
        <w:ind w:firstLine="560" w:firstLineChars="200"/>
        <w:rPr>
          <w:rFonts w:ascii="华文中宋" w:hAnsi="华文中宋" w:eastAsia="华文中宋" w:cs="华文中宋"/>
          <w:sz w:val="28"/>
          <w:szCs w:val="28"/>
        </w:rPr>
      </w:pPr>
      <w:r>
        <w:rPr>
          <w:rFonts w:hint="eastAsia" w:ascii="华文中宋" w:hAnsi="华文中宋" w:eastAsia="华文中宋" w:cs="华文中宋"/>
          <w:sz w:val="28"/>
          <w:szCs w:val="28"/>
        </w:rPr>
        <w:t>综上所述，规划预测A片区最高日总需水量为6.</w:t>
      </w:r>
      <w:r>
        <w:rPr>
          <w:rFonts w:ascii="华文中宋" w:hAnsi="华文中宋" w:eastAsia="华文中宋" w:cs="华文中宋"/>
          <w:sz w:val="28"/>
          <w:szCs w:val="28"/>
        </w:rPr>
        <w:t>17</w:t>
      </w:r>
      <w:r>
        <w:rPr>
          <w:rFonts w:hint="eastAsia" w:ascii="华文中宋" w:hAnsi="华文中宋" w:eastAsia="华文中宋" w:cs="华文中宋"/>
          <w:sz w:val="28"/>
          <w:szCs w:val="28"/>
        </w:rPr>
        <w:t>万立方米/日。</w:t>
      </w:r>
    </w:p>
    <w:p>
      <w:pPr>
        <w:pStyle w:val="5"/>
        <w:spacing w:before="0" w:after="0"/>
        <w:rPr>
          <w:rFonts w:ascii="华文中宋" w:hAnsi="华文中宋" w:eastAsia="华文中宋" w:cs="华文中宋"/>
          <w:sz w:val="28"/>
          <w:szCs w:val="28"/>
        </w:rPr>
      </w:pPr>
      <w:r>
        <w:rPr>
          <w:rFonts w:hint="eastAsia" w:ascii="华文中宋" w:hAnsi="华文中宋" w:eastAsia="华文中宋" w:cs="华文中宋"/>
          <w:sz w:val="28"/>
          <w:szCs w:val="28"/>
        </w:rPr>
        <w:t>4.1.3 用户对水质、水压的要求</w:t>
      </w:r>
    </w:p>
    <w:p>
      <w:pPr>
        <w:spacing w:line="360" w:lineRule="auto"/>
        <w:ind w:firstLine="560" w:firstLineChars="200"/>
        <w:rPr>
          <w:rFonts w:ascii="华文中宋" w:hAnsi="华文中宋" w:eastAsia="华文中宋" w:cs="华文中宋"/>
          <w:sz w:val="28"/>
          <w:szCs w:val="28"/>
        </w:rPr>
      </w:pPr>
      <w:r>
        <w:rPr>
          <w:rFonts w:hint="eastAsia" w:ascii="华文中宋" w:hAnsi="华文中宋" w:eastAsia="华文中宋" w:cs="华文中宋"/>
          <w:sz w:val="28"/>
          <w:szCs w:val="28"/>
        </w:rPr>
        <w:t>（1）工业园区的职工生活用水水质应符合国家现行标准《生活饮用水卫生标准》（GB5749-2022）的规定。</w:t>
      </w:r>
    </w:p>
    <w:p>
      <w:pPr>
        <w:spacing w:line="360" w:lineRule="auto"/>
        <w:ind w:firstLine="560" w:firstLineChars="200"/>
        <w:textAlignment w:val="bottom"/>
        <w:rPr>
          <w:rFonts w:ascii="华文中宋" w:hAnsi="华文中宋" w:eastAsia="华文中宋" w:cs="华文中宋"/>
          <w:sz w:val="28"/>
          <w:szCs w:val="28"/>
        </w:rPr>
      </w:pPr>
      <w:r>
        <w:rPr>
          <w:rFonts w:hint="eastAsia" w:ascii="华文中宋" w:hAnsi="华文中宋" w:eastAsia="华文中宋" w:cs="华文中宋"/>
          <w:kern w:val="0"/>
          <w:sz w:val="28"/>
          <w:szCs w:val="28"/>
        </w:rPr>
        <w:t>（2）</w:t>
      </w:r>
      <w:r>
        <w:rPr>
          <w:rFonts w:hint="eastAsia" w:ascii="华文中宋" w:hAnsi="华文中宋" w:eastAsia="华文中宋" w:cs="华文中宋"/>
          <w:sz w:val="28"/>
          <w:szCs w:val="28"/>
        </w:rPr>
        <w:t>工业园区</w:t>
      </w:r>
      <w:r>
        <w:rPr>
          <w:rFonts w:hint="eastAsia" w:ascii="华文中宋" w:hAnsi="华文中宋" w:eastAsia="华文中宋" w:cs="华文中宋"/>
          <w:kern w:val="0"/>
          <w:sz w:val="28"/>
          <w:szCs w:val="28"/>
        </w:rPr>
        <w:t>的配水管网供水水压宜满足用户接管处服务水头28米的要求。规划范围内的高层建筑以及对压力有特殊要求的用户，应设局部加压系统。本工程采用生活及消防统一给水系统，消防采用低压消防制，其管网压力应保证灭火时最不利点消火栓的水压不小于10米水柱。</w:t>
      </w:r>
    </w:p>
    <w:p>
      <w:pPr>
        <w:pStyle w:val="5"/>
        <w:spacing w:before="0" w:after="0"/>
        <w:rPr>
          <w:rFonts w:ascii="华文中宋" w:hAnsi="华文中宋" w:eastAsia="华文中宋" w:cs="华文中宋"/>
          <w:sz w:val="28"/>
          <w:szCs w:val="28"/>
        </w:rPr>
      </w:pPr>
      <w:r>
        <w:rPr>
          <w:rFonts w:hint="eastAsia" w:ascii="华文中宋" w:hAnsi="华文中宋" w:eastAsia="华文中宋" w:cs="华文中宋"/>
          <w:sz w:val="28"/>
          <w:szCs w:val="28"/>
        </w:rPr>
        <w:t>4.1.4 水源规划</w:t>
      </w:r>
    </w:p>
    <w:p>
      <w:pPr>
        <w:spacing w:line="360" w:lineRule="auto"/>
        <w:ind w:firstLine="480"/>
        <w:rPr>
          <w:rFonts w:ascii="华文中宋" w:hAnsi="华文中宋" w:eastAsia="华文中宋" w:cs="华文中宋"/>
          <w:sz w:val="28"/>
          <w:szCs w:val="28"/>
        </w:rPr>
      </w:pPr>
      <w:r>
        <w:rPr>
          <w:rFonts w:hint="eastAsia" w:ascii="华文中宋" w:hAnsi="华文中宋" w:eastAsia="华文中宋" w:cs="华文中宋"/>
          <w:sz w:val="28"/>
          <w:szCs w:val="28"/>
        </w:rPr>
        <w:t>目前园区共有给水厂2座。其中，乌达区水务集团配水厂在B片区化工路南侧，占地面积2.81公顷。该水厂日供水设计能力为8万吨/日，水源以地下水为主，主要用于满足园区内职工生活用水和部分企业生产用水。黄河水配水厂位于A片区的东侧，占地面积7.62公顷。该水厂设计供水能力为12万吨/日，主要用于满足园区部分企业生产用水。</w:t>
      </w:r>
    </w:p>
    <w:p>
      <w:pPr>
        <w:spacing w:line="360" w:lineRule="auto"/>
        <w:ind w:firstLine="480"/>
        <w:rPr>
          <w:rFonts w:ascii="华文中宋" w:hAnsi="华文中宋" w:eastAsia="华文中宋" w:cs="华文中宋"/>
          <w:sz w:val="28"/>
          <w:szCs w:val="28"/>
        </w:rPr>
      </w:pPr>
      <w:r>
        <w:rPr>
          <w:rFonts w:hint="eastAsia" w:ascii="华文中宋" w:hAnsi="华文中宋" w:eastAsia="华文中宋" w:cs="华文中宋"/>
          <w:sz w:val="28"/>
          <w:szCs w:val="28"/>
        </w:rPr>
        <w:t>规划考虑为避免长期大量取用地下水导致地下水水位下降，形成地下水漏斗，建议工业园区将部分企业生产使用的地下水进行地表水置换。另外，污水处理厂处理回用的再生水可作为片区企业生产、绿化等的供水水源。</w:t>
      </w:r>
    </w:p>
    <w:p>
      <w:pPr>
        <w:pStyle w:val="5"/>
        <w:spacing w:before="0" w:after="0"/>
        <w:rPr>
          <w:rFonts w:ascii="华文中宋" w:hAnsi="华文中宋" w:eastAsia="华文中宋" w:cs="华文中宋"/>
          <w:sz w:val="28"/>
          <w:szCs w:val="28"/>
        </w:rPr>
      </w:pPr>
      <w:r>
        <w:rPr>
          <w:rFonts w:hint="eastAsia" w:ascii="华文中宋" w:hAnsi="华文中宋" w:eastAsia="华文中宋" w:cs="华文中宋"/>
          <w:sz w:val="28"/>
          <w:szCs w:val="28"/>
        </w:rPr>
        <w:t>4.1.5 给水管网布局</w:t>
      </w:r>
    </w:p>
    <w:p>
      <w:pPr>
        <w:spacing w:line="360" w:lineRule="auto"/>
        <w:ind w:firstLine="480"/>
        <w:rPr>
          <w:rFonts w:ascii="华文中宋" w:hAnsi="华文中宋" w:eastAsia="华文中宋" w:cs="华文中宋"/>
          <w:sz w:val="28"/>
          <w:szCs w:val="28"/>
        </w:rPr>
      </w:pPr>
      <w:r>
        <w:rPr>
          <w:rFonts w:hint="eastAsia" w:ascii="华文中宋" w:hAnsi="华文中宋" w:eastAsia="华文中宋" w:cs="华文中宋"/>
          <w:sz w:val="28"/>
          <w:szCs w:val="28"/>
        </w:rPr>
        <w:t>为确保A片区供水管网实施的经济性和安全性，结合上位规划中管网的布置情况，确定本次规划供水管网采用环状和枝状结合的布置形式。</w:t>
      </w:r>
    </w:p>
    <w:p>
      <w:pPr>
        <w:spacing w:line="360" w:lineRule="auto"/>
        <w:rPr>
          <w:rFonts w:ascii="华文中宋" w:hAnsi="华文中宋" w:eastAsia="华文中宋" w:cs="华文中宋"/>
          <w:b/>
          <w:bCs/>
          <w:sz w:val="28"/>
          <w:szCs w:val="28"/>
        </w:rPr>
      </w:pPr>
      <w:r>
        <w:rPr>
          <w:rFonts w:hint="eastAsia" w:ascii="华文中宋" w:hAnsi="华文中宋" w:eastAsia="华文中宋" w:cs="华文中宋"/>
          <w:b/>
          <w:bCs/>
          <w:sz w:val="28"/>
          <w:szCs w:val="28"/>
        </w:rPr>
        <w:t>4.1.5.1 水务集团配水管网</w:t>
      </w:r>
    </w:p>
    <w:p>
      <w:pPr>
        <w:spacing w:line="360" w:lineRule="auto"/>
        <w:ind w:firstLine="560" w:firstLineChars="200"/>
        <w:rPr>
          <w:rFonts w:ascii="华文中宋" w:hAnsi="华文中宋" w:eastAsia="华文中宋" w:cs="华文中宋"/>
          <w:sz w:val="28"/>
          <w:szCs w:val="28"/>
        </w:rPr>
      </w:pPr>
      <w:r>
        <w:rPr>
          <w:rFonts w:hint="eastAsia" w:ascii="华文中宋" w:hAnsi="华文中宋" w:eastAsia="华文中宋" w:cs="华文中宋"/>
          <w:sz w:val="28"/>
          <w:szCs w:val="28"/>
        </w:rPr>
        <w:t>规划以A片区未来水量增长为设计基础，结合现状供水管线铺设情况，通过对最高时、事故时、消防时供水水量和水压的平差计算，更新管径较小、老化及与规划道路有矛盾的供水管道。确定水务集团在A片区内的配水管网管径为DN200~DN300。管线覆土深度应大于当地冰冻线。</w:t>
      </w:r>
    </w:p>
    <w:p>
      <w:pPr>
        <w:spacing w:line="360" w:lineRule="auto"/>
        <w:rPr>
          <w:rFonts w:ascii="华文中宋" w:hAnsi="华文中宋" w:eastAsia="华文中宋" w:cs="华文中宋"/>
          <w:b/>
          <w:bCs/>
          <w:sz w:val="28"/>
          <w:szCs w:val="28"/>
        </w:rPr>
      </w:pPr>
      <w:r>
        <w:rPr>
          <w:rFonts w:hint="eastAsia" w:ascii="华文中宋" w:hAnsi="华文中宋" w:eastAsia="华文中宋" w:cs="华文中宋"/>
          <w:b/>
          <w:bCs/>
          <w:sz w:val="28"/>
          <w:szCs w:val="28"/>
        </w:rPr>
        <w:t>4.1.5.2 黄水配水管网</w:t>
      </w:r>
    </w:p>
    <w:p>
      <w:pPr>
        <w:spacing w:line="360" w:lineRule="auto"/>
        <w:ind w:firstLine="560" w:firstLineChars="200"/>
        <w:rPr>
          <w:rFonts w:ascii="华文中宋" w:hAnsi="华文中宋" w:eastAsia="华文中宋" w:cs="华文中宋"/>
          <w:sz w:val="28"/>
          <w:szCs w:val="28"/>
        </w:rPr>
      </w:pPr>
      <w:r>
        <w:rPr>
          <w:rFonts w:hint="eastAsia" w:ascii="华文中宋" w:hAnsi="华文中宋" w:eastAsia="华文中宋" w:cs="华文中宋"/>
          <w:sz w:val="28"/>
          <w:szCs w:val="28"/>
        </w:rPr>
        <w:t>园区黄水现状供水管网以沃尔特沟分南北侧分别供水：</w:t>
      </w:r>
    </w:p>
    <w:p>
      <w:pPr>
        <w:spacing w:line="360" w:lineRule="auto"/>
        <w:ind w:firstLine="560" w:firstLineChars="200"/>
        <w:rPr>
          <w:rFonts w:ascii="华文中宋" w:hAnsi="华文中宋" w:eastAsia="华文中宋" w:cs="华文中宋"/>
          <w:sz w:val="28"/>
          <w:szCs w:val="28"/>
        </w:rPr>
      </w:pPr>
      <w:r>
        <w:rPr>
          <w:rFonts w:hint="eastAsia" w:ascii="华文中宋" w:hAnsi="华文中宋" w:eastAsia="华文中宋" w:cs="华文中宋"/>
          <w:sz w:val="28"/>
          <w:szCs w:val="28"/>
        </w:rPr>
        <w:t>南侧由两根700mm的铸铁管接入规划区，接口管径为700mm；区内主干管管径为DN200-DN700；现状管材大多采用铸铁和PE管及钢管，现状在五虎山路北侧设一座加压站顺运煤通道为DN400管供西侧矿区，共计40.2公里，埋设深度约为1.8米。</w:t>
      </w:r>
    </w:p>
    <w:p>
      <w:pPr>
        <w:spacing w:line="360" w:lineRule="auto"/>
        <w:ind w:firstLine="480"/>
        <w:rPr>
          <w:rFonts w:ascii="华文中宋" w:hAnsi="华文中宋" w:eastAsia="华文中宋" w:cs="华文中宋"/>
          <w:sz w:val="28"/>
          <w:szCs w:val="28"/>
        </w:rPr>
      </w:pPr>
      <w:r>
        <w:rPr>
          <w:rFonts w:hint="eastAsia" w:ascii="华文中宋" w:hAnsi="华文中宋" w:eastAsia="华文中宋" w:cs="华文中宋"/>
          <w:sz w:val="28"/>
          <w:szCs w:val="28"/>
        </w:rPr>
        <w:t>北侧由城区900mm玻璃钢管沿沃尔特沟及东源路进入东源科技。区内主干管管径为DN400-DN900；现状管材大多采用玻璃钢管，共计5.2公里，埋设深度约为2.2米。</w:t>
      </w:r>
    </w:p>
    <w:p>
      <w:pPr>
        <w:spacing w:line="360" w:lineRule="auto"/>
        <w:ind w:firstLine="480"/>
        <w:rPr>
          <w:rFonts w:ascii="华文中宋" w:hAnsi="华文中宋" w:eastAsia="华文中宋" w:cs="华文中宋"/>
          <w:sz w:val="28"/>
          <w:szCs w:val="28"/>
        </w:rPr>
      </w:pPr>
      <w:r>
        <w:rPr>
          <w:rFonts w:hint="eastAsia" w:ascii="华文中宋" w:hAnsi="华文中宋" w:eastAsia="华文中宋" w:cs="华文中宋"/>
          <w:sz w:val="28"/>
          <w:szCs w:val="28"/>
        </w:rPr>
        <w:t>本次规划A片区黄水给水管材为PE100管，局部地形复杂地段采用钢管，规划管径为DN300-DN900。管线覆土深度应大于当地冰冻线。</w:t>
      </w:r>
    </w:p>
    <w:p>
      <w:pPr>
        <w:pStyle w:val="4"/>
        <w:spacing w:before="260" w:after="260"/>
        <w:rPr>
          <w:rFonts w:ascii="华文中宋" w:hAnsi="华文中宋" w:eastAsia="华文中宋" w:cs="华文中宋"/>
        </w:rPr>
      </w:pPr>
      <w:bookmarkStart w:id="76" w:name="_Toc12982980"/>
      <w:bookmarkStart w:id="77" w:name="_Toc31206"/>
      <w:r>
        <w:rPr>
          <w:rFonts w:hint="eastAsia" w:ascii="华文中宋" w:hAnsi="华文中宋" w:eastAsia="华文中宋" w:cs="华文中宋"/>
        </w:rPr>
        <w:t>4.2 污水工程规划</w:t>
      </w:r>
      <w:bookmarkEnd w:id="76"/>
      <w:bookmarkEnd w:id="77"/>
    </w:p>
    <w:p>
      <w:pPr>
        <w:pStyle w:val="5"/>
        <w:spacing w:before="0" w:after="0"/>
        <w:rPr>
          <w:rFonts w:ascii="华文中宋" w:hAnsi="华文中宋" w:eastAsia="华文中宋" w:cs="华文中宋"/>
          <w:sz w:val="28"/>
          <w:szCs w:val="28"/>
        </w:rPr>
      </w:pPr>
      <w:r>
        <w:rPr>
          <w:rFonts w:hint="eastAsia" w:ascii="华文中宋" w:hAnsi="华文中宋" w:eastAsia="华文中宋" w:cs="华文中宋"/>
          <w:sz w:val="28"/>
          <w:szCs w:val="28"/>
        </w:rPr>
        <w:t>4.2.1 编制依据</w:t>
      </w:r>
    </w:p>
    <w:p>
      <w:pPr>
        <w:spacing w:line="360" w:lineRule="auto"/>
        <w:ind w:firstLine="560" w:firstLineChars="200"/>
        <w:rPr>
          <w:rFonts w:ascii="华文中宋" w:hAnsi="华文中宋" w:eastAsia="华文中宋" w:cs="华文中宋"/>
          <w:sz w:val="28"/>
          <w:szCs w:val="28"/>
        </w:rPr>
      </w:pPr>
      <w:bookmarkStart w:id="78" w:name="_Hlk58790910"/>
      <w:r>
        <w:rPr>
          <w:rFonts w:hint="eastAsia" w:ascii="华文中宋" w:hAnsi="华文中宋" w:eastAsia="华文中宋" w:cs="华文中宋"/>
          <w:sz w:val="28"/>
          <w:szCs w:val="28"/>
        </w:rPr>
        <w:t>（1）《城市排水工程规划规范》（GB50318-2017）</w:t>
      </w:r>
    </w:p>
    <w:bookmarkEnd w:id="78"/>
    <w:p>
      <w:pPr>
        <w:spacing w:line="360" w:lineRule="auto"/>
        <w:ind w:firstLine="560" w:firstLineChars="200"/>
        <w:rPr>
          <w:rFonts w:ascii="华文中宋" w:hAnsi="华文中宋" w:eastAsia="华文中宋" w:cs="华文中宋"/>
          <w:sz w:val="28"/>
          <w:szCs w:val="28"/>
        </w:rPr>
      </w:pPr>
      <w:r>
        <w:rPr>
          <w:rFonts w:hint="eastAsia" w:ascii="华文中宋" w:hAnsi="华文中宋" w:eastAsia="华文中宋" w:cs="华文中宋"/>
          <w:sz w:val="28"/>
          <w:szCs w:val="28"/>
        </w:rPr>
        <w:t>（2）《室外排水设计标准》（GB50014-2021）</w:t>
      </w:r>
    </w:p>
    <w:p>
      <w:pPr>
        <w:spacing w:line="360" w:lineRule="auto"/>
        <w:ind w:firstLine="560" w:firstLineChars="200"/>
        <w:rPr>
          <w:rFonts w:ascii="华文中宋" w:hAnsi="华文中宋" w:eastAsia="华文中宋" w:cs="华文中宋"/>
          <w:sz w:val="28"/>
          <w:szCs w:val="28"/>
        </w:rPr>
      </w:pPr>
      <w:r>
        <w:rPr>
          <w:rFonts w:hint="eastAsia" w:ascii="华文中宋" w:hAnsi="华文中宋" w:eastAsia="华文中宋" w:cs="华文中宋"/>
          <w:sz w:val="28"/>
          <w:szCs w:val="28"/>
        </w:rPr>
        <w:t>（3）《城镇污水处理厂污染物排放标准》（GB18918-2002）</w:t>
      </w:r>
    </w:p>
    <w:p>
      <w:pPr>
        <w:spacing w:line="360" w:lineRule="auto"/>
        <w:ind w:firstLine="560" w:firstLineChars="200"/>
        <w:rPr>
          <w:rFonts w:ascii="华文中宋" w:hAnsi="华文中宋" w:eastAsia="华文中宋" w:cs="华文中宋"/>
          <w:sz w:val="28"/>
          <w:szCs w:val="28"/>
        </w:rPr>
      </w:pPr>
      <w:r>
        <w:rPr>
          <w:rFonts w:hint="eastAsia" w:ascii="华文中宋" w:hAnsi="华文中宋" w:eastAsia="华文中宋" w:cs="华文中宋"/>
          <w:sz w:val="28"/>
          <w:szCs w:val="28"/>
        </w:rPr>
        <w:t>（4）《污水排入城镇下水道水质标准》(GB/T31962-2015)</w:t>
      </w:r>
    </w:p>
    <w:p>
      <w:pPr>
        <w:spacing w:line="360" w:lineRule="auto"/>
        <w:ind w:firstLine="560" w:firstLineChars="200"/>
        <w:rPr>
          <w:rFonts w:ascii="华文中宋" w:hAnsi="华文中宋" w:eastAsia="华文中宋" w:cs="华文中宋"/>
          <w:sz w:val="28"/>
          <w:szCs w:val="28"/>
        </w:rPr>
      </w:pPr>
      <w:r>
        <w:rPr>
          <w:rFonts w:hint="eastAsia" w:ascii="华文中宋" w:hAnsi="华文中宋" w:eastAsia="华文中宋" w:cs="华文中宋"/>
          <w:sz w:val="28"/>
          <w:szCs w:val="28"/>
        </w:rPr>
        <w:t>（5）《污水综合排放标准》（GB8978-1996）</w:t>
      </w:r>
    </w:p>
    <w:p>
      <w:pPr>
        <w:spacing w:line="360" w:lineRule="auto"/>
        <w:ind w:firstLine="560" w:firstLineChars="200"/>
        <w:rPr>
          <w:rFonts w:ascii="华文中宋" w:hAnsi="华文中宋" w:eastAsia="华文中宋" w:cs="华文中宋"/>
          <w:sz w:val="28"/>
          <w:szCs w:val="28"/>
        </w:rPr>
      </w:pPr>
      <w:r>
        <w:rPr>
          <w:rFonts w:hint="eastAsia" w:ascii="华文中宋" w:hAnsi="华文中宋" w:eastAsia="华文中宋" w:cs="华文中宋"/>
          <w:sz w:val="28"/>
          <w:szCs w:val="28"/>
        </w:rPr>
        <w:t>（6）《工业循环冷却水处理设计规范》（GB50050-2017）</w:t>
      </w:r>
    </w:p>
    <w:p>
      <w:pPr>
        <w:pStyle w:val="5"/>
        <w:spacing w:before="0" w:after="0"/>
        <w:rPr>
          <w:rFonts w:ascii="华文中宋" w:hAnsi="华文中宋" w:eastAsia="华文中宋" w:cs="华文中宋"/>
          <w:sz w:val="28"/>
          <w:szCs w:val="28"/>
        </w:rPr>
      </w:pPr>
      <w:r>
        <w:rPr>
          <w:rFonts w:hint="eastAsia" w:ascii="华文中宋" w:hAnsi="华文中宋" w:eastAsia="华文中宋" w:cs="华文中宋"/>
          <w:sz w:val="28"/>
          <w:szCs w:val="28"/>
        </w:rPr>
        <w:t>4.2.2 现状分析</w:t>
      </w:r>
    </w:p>
    <w:p>
      <w:pPr>
        <w:spacing w:line="360" w:lineRule="auto"/>
        <w:rPr>
          <w:rFonts w:ascii="华文中宋" w:hAnsi="华文中宋" w:eastAsia="华文中宋" w:cs="华文中宋"/>
          <w:b/>
          <w:bCs/>
          <w:sz w:val="28"/>
          <w:szCs w:val="28"/>
        </w:rPr>
      </w:pPr>
      <w:r>
        <w:rPr>
          <w:rFonts w:hint="eastAsia" w:ascii="华文中宋" w:hAnsi="华文中宋" w:eastAsia="华文中宋" w:cs="华文中宋"/>
          <w:b/>
          <w:bCs/>
          <w:sz w:val="28"/>
          <w:szCs w:val="28"/>
        </w:rPr>
        <w:t>4.2.2.1 污水处理厂现状</w:t>
      </w:r>
    </w:p>
    <w:p>
      <w:pPr>
        <w:spacing w:line="360" w:lineRule="auto"/>
        <w:ind w:firstLine="560" w:firstLineChars="200"/>
        <w:rPr>
          <w:rFonts w:ascii="华文中宋" w:hAnsi="华文中宋" w:eastAsia="华文中宋" w:cs="华文中宋"/>
          <w:sz w:val="28"/>
          <w:szCs w:val="28"/>
        </w:rPr>
      </w:pPr>
      <w:r>
        <w:rPr>
          <w:rFonts w:hint="eastAsia" w:ascii="华文中宋" w:hAnsi="华文中宋" w:eastAsia="华文中宋" w:cs="华文中宋"/>
          <w:sz w:val="28"/>
          <w:szCs w:val="28"/>
        </w:rPr>
        <w:t>园区污水处理厂位于乌达园区东北角，靠近沃尔特沟，设计规模为4.5万立方米/日，主要接收乌达工业园区内工业生产、生活废水，目前已全部运行。园区污水处理厂出水达到《城镇污水处理厂污染物排放标准》（GB18918-2002）一级标准A标准，处理后回用于园区生产。</w:t>
      </w:r>
    </w:p>
    <w:p>
      <w:pPr>
        <w:spacing w:line="360" w:lineRule="auto"/>
        <w:ind w:firstLine="560" w:firstLineChars="200"/>
        <w:rPr>
          <w:rFonts w:ascii="华文中宋" w:hAnsi="华文中宋" w:eastAsia="华文中宋" w:cs="华文中宋"/>
          <w:sz w:val="28"/>
          <w:szCs w:val="28"/>
        </w:rPr>
      </w:pPr>
      <w:r>
        <w:rPr>
          <w:rFonts w:hint="eastAsia" w:ascii="华文中宋" w:hAnsi="华文中宋" w:eastAsia="华文中宋" w:cs="华文中宋"/>
          <w:sz w:val="28"/>
          <w:szCs w:val="28"/>
        </w:rPr>
        <w:t>目前园区污水处理厂日处理能力3.2万吨，其中轻污染废水系统（中水回用系统）处理能力1.2万吨/天，重污染系统出水稳定在一级A水平，回用水每日2.5万吨。</w:t>
      </w:r>
    </w:p>
    <w:p>
      <w:pPr>
        <w:spacing w:line="360" w:lineRule="auto"/>
        <w:ind w:firstLine="560" w:firstLineChars="200"/>
        <w:rPr>
          <w:rFonts w:ascii="华文中宋" w:hAnsi="华文中宋" w:eastAsia="华文中宋" w:cs="华文中宋"/>
          <w:sz w:val="28"/>
          <w:szCs w:val="28"/>
        </w:rPr>
      </w:pPr>
      <w:r>
        <w:rPr>
          <w:rFonts w:hint="eastAsia" w:ascii="华文中宋" w:hAnsi="华文中宋" w:eastAsia="华文中宋" w:cs="华文中宋"/>
          <w:sz w:val="28"/>
          <w:szCs w:val="28"/>
        </w:rPr>
        <w:t>为满足园区精细化工产业发展需要，2017年，乌达区政府以BOT的模式委托北京倍杰特环保科技有限公司实施园区污水处理厂改扩建及回用水工程，一期工程已完工。2018年，乌达区逐渐形成了城区污水处理厂与工业园区污水处理厂联动运营的模式，解决了园区污水处理厂现存的一系列问题。</w:t>
      </w:r>
    </w:p>
    <w:p>
      <w:pPr>
        <w:spacing w:line="360" w:lineRule="auto"/>
        <w:rPr>
          <w:rFonts w:ascii="华文中宋" w:hAnsi="华文中宋" w:eastAsia="华文中宋" w:cs="华文中宋"/>
          <w:b/>
          <w:bCs/>
          <w:sz w:val="28"/>
          <w:szCs w:val="28"/>
        </w:rPr>
      </w:pPr>
      <w:r>
        <w:rPr>
          <w:rFonts w:hint="eastAsia" w:ascii="华文中宋" w:hAnsi="华文中宋" w:eastAsia="华文中宋" w:cs="华文中宋"/>
          <w:b/>
          <w:bCs/>
          <w:sz w:val="28"/>
          <w:szCs w:val="28"/>
        </w:rPr>
        <w:t>4.2.2.2 污水处理工艺</w:t>
      </w:r>
    </w:p>
    <w:p>
      <w:pPr>
        <w:spacing w:line="360" w:lineRule="auto"/>
        <w:ind w:firstLine="560" w:firstLineChars="200"/>
        <w:rPr>
          <w:rFonts w:ascii="华文中宋" w:hAnsi="华文中宋" w:eastAsia="华文中宋" w:cs="华文中宋"/>
          <w:sz w:val="28"/>
          <w:szCs w:val="28"/>
        </w:rPr>
      </w:pPr>
      <w:r>
        <w:rPr>
          <w:rFonts w:hint="eastAsia" w:ascii="华文中宋" w:hAnsi="华文中宋" w:eastAsia="华文中宋" w:cs="华文中宋"/>
          <w:sz w:val="28"/>
          <w:szCs w:val="28"/>
        </w:rPr>
        <w:t>目前污水处理厂在前端与其他污水处理厂处理工艺一致的基础上，采用“絮凝沉淀+活性吸附及沙滤+气浮”工艺进行处理，同时增加和改进了高级氧化芬顿反应池，大大提高了处理能力和处理标准。</w:t>
      </w:r>
    </w:p>
    <w:p>
      <w:pPr>
        <w:spacing w:line="360" w:lineRule="auto"/>
        <w:ind w:firstLine="560" w:firstLineChars="200"/>
        <w:rPr>
          <w:rFonts w:ascii="华文中宋" w:hAnsi="华文中宋" w:eastAsia="华文中宋" w:cs="华文中宋"/>
          <w:sz w:val="28"/>
          <w:szCs w:val="28"/>
        </w:rPr>
      </w:pPr>
      <w:r>
        <w:rPr>
          <w:rFonts w:hint="eastAsia" w:ascii="华文中宋" w:hAnsi="华文中宋" w:eastAsia="华文中宋" w:cs="华文中宋"/>
          <w:sz w:val="28"/>
          <w:szCs w:val="28"/>
        </w:rPr>
        <w:t>目前园区处理后的中水作为环卫公司喷洒道路降尘用水、绿化用水使用。经处理后的轻污染水用于企业生产，重污染水用于矿山降尘、企业洗煤等。</w:t>
      </w:r>
    </w:p>
    <w:p>
      <w:pPr>
        <w:pStyle w:val="5"/>
        <w:spacing w:before="0" w:after="0"/>
        <w:rPr>
          <w:rFonts w:ascii="华文中宋" w:hAnsi="华文中宋" w:eastAsia="华文中宋" w:cs="华文中宋"/>
          <w:sz w:val="28"/>
          <w:szCs w:val="28"/>
        </w:rPr>
      </w:pPr>
      <w:r>
        <w:rPr>
          <w:rFonts w:hint="eastAsia" w:ascii="华文中宋" w:hAnsi="华文中宋" w:eastAsia="华文中宋" w:cs="华文中宋"/>
          <w:sz w:val="28"/>
          <w:szCs w:val="28"/>
        </w:rPr>
        <w:t>4.2.3 排水体制的选择</w:t>
      </w:r>
    </w:p>
    <w:p>
      <w:pPr>
        <w:spacing w:line="360" w:lineRule="auto"/>
        <w:ind w:firstLine="560" w:firstLineChars="200"/>
        <w:rPr>
          <w:rFonts w:ascii="华文中宋" w:hAnsi="华文中宋" w:eastAsia="华文中宋" w:cs="华文中宋"/>
          <w:sz w:val="28"/>
          <w:szCs w:val="28"/>
        </w:rPr>
      </w:pPr>
      <w:r>
        <w:rPr>
          <w:rFonts w:hint="eastAsia" w:ascii="华文中宋" w:hAnsi="华文中宋" w:eastAsia="华文中宋" w:cs="华文中宋"/>
          <w:sz w:val="28"/>
          <w:szCs w:val="28"/>
        </w:rPr>
        <w:t>规划A片区排水体制确定为雨污分流制。</w:t>
      </w:r>
    </w:p>
    <w:p>
      <w:pPr>
        <w:pStyle w:val="5"/>
        <w:spacing w:before="0" w:after="0"/>
        <w:rPr>
          <w:rFonts w:ascii="华文中宋" w:hAnsi="华文中宋" w:eastAsia="华文中宋" w:cs="华文中宋"/>
          <w:sz w:val="28"/>
          <w:szCs w:val="28"/>
        </w:rPr>
      </w:pPr>
      <w:r>
        <w:rPr>
          <w:rFonts w:hint="eastAsia" w:ascii="华文中宋" w:hAnsi="华文中宋" w:eastAsia="华文中宋" w:cs="华文中宋"/>
          <w:sz w:val="28"/>
          <w:szCs w:val="28"/>
        </w:rPr>
        <w:t>4.2.4 污水量预测与计算</w:t>
      </w:r>
    </w:p>
    <w:p>
      <w:pPr>
        <w:spacing w:line="360" w:lineRule="auto"/>
        <w:ind w:firstLine="480"/>
        <w:rPr>
          <w:rFonts w:ascii="华文中宋" w:hAnsi="华文中宋" w:eastAsia="华文中宋" w:cs="华文中宋"/>
          <w:sz w:val="28"/>
          <w:szCs w:val="28"/>
        </w:rPr>
      </w:pPr>
      <w:r>
        <w:rPr>
          <w:rFonts w:hint="eastAsia" w:ascii="华文中宋" w:hAnsi="华文中宋" w:eastAsia="华文中宋" w:cs="华文中宋"/>
          <w:sz w:val="28"/>
          <w:szCs w:val="28"/>
        </w:rPr>
        <w:t>A片区污水量可根据供水量折算确定，根据《城市排水工程规划规范》（GB50318-2017）的要求，综合生活污水排放系数取0.8，工业污水排放系数取0.7，则预测A片区总污水量为3.3万立方米/日。</w:t>
      </w:r>
    </w:p>
    <w:p>
      <w:pPr>
        <w:pStyle w:val="5"/>
        <w:spacing w:before="0" w:after="0"/>
        <w:rPr>
          <w:rFonts w:ascii="华文中宋" w:hAnsi="华文中宋" w:eastAsia="华文中宋" w:cs="华文中宋"/>
          <w:sz w:val="28"/>
          <w:szCs w:val="28"/>
        </w:rPr>
      </w:pPr>
      <w:r>
        <w:rPr>
          <w:rFonts w:hint="eastAsia" w:ascii="华文中宋" w:hAnsi="华文中宋" w:eastAsia="华文中宋" w:cs="华文中宋"/>
          <w:sz w:val="28"/>
          <w:szCs w:val="28"/>
        </w:rPr>
        <w:t>4.2.5 污水处理厂规划</w:t>
      </w:r>
    </w:p>
    <w:p>
      <w:pPr>
        <w:spacing w:line="360" w:lineRule="auto"/>
        <w:ind w:firstLine="560" w:firstLineChars="200"/>
        <w:rPr>
          <w:rFonts w:ascii="华文中宋" w:hAnsi="华文中宋" w:eastAsia="华文中宋" w:cs="华文中宋"/>
          <w:sz w:val="28"/>
          <w:szCs w:val="28"/>
        </w:rPr>
      </w:pPr>
      <w:r>
        <w:rPr>
          <w:rFonts w:hint="eastAsia" w:ascii="华文中宋" w:hAnsi="华文中宋" w:eastAsia="华文中宋" w:cs="华文中宋"/>
          <w:sz w:val="28"/>
          <w:szCs w:val="28"/>
        </w:rPr>
        <w:t>乌达工业园区现状污水处理厂设计规模为4.5万立方米/日，不能满足远期A片区污水处理量增长需求。该污水处理厂需根据未来整个乌达工业园区污水量增长情况逐渐进行适宜性扩建。</w:t>
      </w:r>
    </w:p>
    <w:p>
      <w:pPr>
        <w:spacing w:line="360" w:lineRule="auto"/>
        <w:ind w:firstLine="560" w:firstLineChars="200"/>
        <w:rPr>
          <w:rFonts w:hint="eastAsia" w:ascii="华文中宋" w:hAnsi="华文中宋" w:eastAsia="华文中宋" w:cs="华文中宋"/>
          <w:sz w:val="28"/>
          <w:szCs w:val="28"/>
        </w:rPr>
      </w:pPr>
      <w:r>
        <w:rPr>
          <w:rFonts w:hint="eastAsia" w:ascii="华文中宋" w:hAnsi="华文中宋" w:eastAsia="华文中宋" w:cs="华文中宋"/>
          <w:sz w:val="28"/>
          <w:szCs w:val="28"/>
        </w:rPr>
        <w:t>规划A片区污水按重污染、轻污染分别排至污水处理厂进行集中处理。污水处理厂出水水质应达到《城镇污水处理厂污染物排放标准》（GB18918-2002）中一级A标准要求。回用污水应经进一步深度处理达标后再利用。</w:t>
      </w:r>
    </w:p>
    <w:p>
      <w:pPr>
        <w:pStyle w:val="2"/>
      </w:pPr>
    </w:p>
    <w:p>
      <w:pPr>
        <w:pStyle w:val="5"/>
        <w:spacing w:before="0" w:after="0"/>
        <w:rPr>
          <w:rFonts w:ascii="华文中宋" w:hAnsi="华文中宋" w:eastAsia="华文中宋" w:cs="华文中宋"/>
          <w:sz w:val="28"/>
          <w:szCs w:val="28"/>
        </w:rPr>
      </w:pPr>
      <w:r>
        <w:rPr>
          <w:rFonts w:hint="eastAsia" w:ascii="华文中宋" w:hAnsi="华文中宋" w:eastAsia="华文中宋" w:cs="华文中宋"/>
          <w:sz w:val="28"/>
          <w:szCs w:val="28"/>
        </w:rPr>
        <w:t>4.2.6 污水管网系统布局</w:t>
      </w:r>
    </w:p>
    <w:p>
      <w:pPr>
        <w:spacing w:line="360" w:lineRule="auto"/>
        <w:rPr>
          <w:rFonts w:ascii="华文中宋" w:hAnsi="华文中宋" w:eastAsia="华文中宋" w:cs="华文中宋"/>
          <w:b/>
          <w:bCs/>
          <w:sz w:val="28"/>
          <w:szCs w:val="28"/>
        </w:rPr>
      </w:pPr>
      <w:r>
        <w:rPr>
          <w:rFonts w:hint="eastAsia" w:ascii="华文中宋" w:hAnsi="华文中宋" w:eastAsia="华文中宋" w:cs="华文中宋"/>
          <w:b/>
          <w:bCs/>
          <w:sz w:val="28"/>
          <w:szCs w:val="28"/>
        </w:rPr>
        <w:t>4.2.6.1 污水收集系统</w:t>
      </w:r>
    </w:p>
    <w:p>
      <w:pPr>
        <w:spacing w:line="360" w:lineRule="auto"/>
        <w:ind w:firstLine="480"/>
        <w:rPr>
          <w:rFonts w:ascii="华文中宋" w:hAnsi="华文中宋" w:eastAsia="华文中宋" w:cs="华文中宋"/>
          <w:sz w:val="28"/>
          <w:szCs w:val="28"/>
        </w:rPr>
      </w:pPr>
      <w:r>
        <w:rPr>
          <w:rFonts w:hint="eastAsia" w:ascii="华文中宋" w:hAnsi="华文中宋" w:eastAsia="华文中宋" w:cs="华文中宋"/>
          <w:sz w:val="28"/>
          <w:szCs w:val="28"/>
        </w:rPr>
        <w:t xml:space="preserve">（1）片区内废水采用统一收集、集中处理，排水采用清污分流制，将废水分为重污染废水和轻污染废水两种类别分类回收，建成全覆盖的收集、排放、处理系统。 </w:t>
      </w:r>
    </w:p>
    <w:p>
      <w:pPr>
        <w:spacing w:line="360" w:lineRule="auto"/>
        <w:ind w:firstLine="480"/>
        <w:rPr>
          <w:rFonts w:ascii="华文中宋" w:hAnsi="华文中宋" w:eastAsia="华文中宋" w:cs="华文中宋"/>
          <w:sz w:val="28"/>
          <w:szCs w:val="28"/>
        </w:rPr>
      </w:pPr>
      <w:r>
        <w:rPr>
          <w:rFonts w:hint="eastAsia" w:ascii="华文中宋" w:hAnsi="华文中宋" w:eastAsia="华文中宋" w:cs="华文中宋"/>
          <w:sz w:val="28"/>
          <w:szCs w:val="28"/>
        </w:rPr>
        <w:t>（2）针对医药化工和农药化工废水水质复杂的特点，在精细化工园区医药、农药企业集中地块设置废水监控池，设置在线监控设施对各医药和农药企业排入的COD和部分特征指标进行监控，超标废水一律不接入污水处理厂。</w:t>
      </w:r>
    </w:p>
    <w:p>
      <w:pPr>
        <w:spacing w:line="360" w:lineRule="auto"/>
        <w:ind w:firstLine="480"/>
        <w:rPr>
          <w:rFonts w:ascii="华文中宋" w:hAnsi="华文中宋" w:eastAsia="华文中宋" w:cs="华文中宋"/>
          <w:sz w:val="28"/>
          <w:szCs w:val="28"/>
        </w:rPr>
      </w:pPr>
      <w:r>
        <w:rPr>
          <w:rFonts w:hint="eastAsia" w:ascii="华文中宋" w:hAnsi="华文中宋" w:eastAsia="华文中宋" w:cs="华文中宋"/>
          <w:sz w:val="28"/>
          <w:szCs w:val="28"/>
        </w:rPr>
        <w:t>（3）为了便于对园区废水实施监控，本规划针对乌达工业园化工产业的特点，采取“一企一管+区域废水监控池”的模式进行规划，以便在进水水质超标时及时排查超标企业及原因。</w:t>
      </w:r>
    </w:p>
    <w:p>
      <w:pPr>
        <w:spacing w:line="360" w:lineRule="auto"/>
        <w:ind w:firstLine="480"/>
        <w:rPr>
          <w:rFonts w:ascii="华文中宋" w:hAnsi="华文中宋" w:eastAsia="华文中宋" w:cs="华文中宋"/>
          <w:sz w:val="28"/>
          <w:szCs w:val="28"/>
        </w:rPr>
      </w:pPr>
      <w:r>
        <w:rPr>
          <w:rFonts w:hint="eastAsia" w:ascii="华文中宋" w:hAnsi="华文中宋" w:eastAsia="华文中宋" w:cs="华文中宋"/>
          <w:sz w:val="28"/>
          <w:szCs w:val="28"/>
        </w:rPr>
        <w:t>（4）重污染废水处理设计进水水质参照《污水排入城镇下水道水质标准》(GB/T31962-2015)和《污水综合排放标准》（GB8978-1996）三级标准。</w:t>
      </w:r>
    </w:p>
    <w:p>
      <w:pPr>
        <w:spacing w:line="360" w:lineRule="auto"/>
        <w:ind w:firstLine="480"/>
        <w:rPr>
          <w:rFonts w:ascii="华文中宋" w:hAnsi="华文中宋" w:eastAsia="华文中宋" w:cs="华文中宋"/>
          <w:sz w:val="28"/>
          <w:szCs w:val="28"/>
        </w:rPr>
      </w:pPr>
      <w:r>
        <w:rPr>
          <w:rFonts w:hint="eastAsia" w:ascii="华文中宋" w:hAnsi="华文中宋" w:eastAsia="华文中宋" w:cs="华文中宋"/>
          <w:sz w:val="28"/>
          <w:szCs w:val="28"/>
        </w:rPr>
        <w:t>（5）轻污染废水处理与回用工程进水为纯水制备废水、循环冷却水排污水等接管排放污水，进水水质参考《工业循环冷却水处理设计规范》（GB50050-2017）中相关循环冷却水指标，并考虑锅炉用纯水制备等因素。</w:t>
      </w:r>
    </w:p>
    <w:p>
      <w:pPr>
        <w:spacing w:line="360" w:lineRule="auto"/>
        <w:rPr>
          <w:rFonts w:ascii="华文中宋" w:hAnsi="华文中宋" w:eastAsia="华文中宋" w:cs="华文中宋"/>
          <w:b/>
          <w:bCs/>
          <w:sz w:val="28"/>
          <w:szCs w:val="28"/>
        </w:rPr>
      </w:pPr>
      <w:r>
        <w:rPr>
          <w:rFonts w:hint="eastAsia" w:ascii="华文中宋" w:hAnsi="华文中宋" w:eastAsia="华文中宋" w:cs="华文中宋"/>
          <w:b/>
          <w:bCs/>
          <w:sz w:val="28"/>
          <w:szCs w:val="28"/>
        </w:rPr>
        <w:t>4.2.6.2 污水管网布局</w:t>
      </w:r>
    </w:p>
    <w:p>
      <w:pPr>
        <w:spacing w:line="360" w:lineRule="auto"/>
        <w:ind w:firstLine="480"/>
        <w:rPr>
          <w:rFonts w:ascii="华文中宋" w:hAnsi="华文中宋" w:eastAsia="华文中宋" w:cs="华文中宋"/>
          <w:sz w:val="28"/>
          <w:szCs w:val="28"/>
        </w:rPr>
      </w:pPr>
      <w:r>
        <w:rPr>
          <w:rFonts w:hint="eastAsia" w:ascii="华文中宋" w:hAnsi="华文中宋" w:eastAsia="华文中宋" w:cs="华文中宋"/>
          <w:sz w:val="28"/>
          <w:szCs w:val="28"/>
        </w:rPr>
        <w:t>本次规划充分利用片区地形地势，尽量以重力流的形式沿规划道路布置污水管网。通过对片区污水管网进行综合性竖向分析，</w:t>
      </w:r>
      <w:bookmarkStart w:id="79" w:name="_Hlk127279252"/>
      <w:r>
        <w:rPr>
          <w:rFonts w:hint="eastAsia" w:ascii="华文中宋" w:hAnsi="华文中宋" w:eastAsia="华文中宋" w:cs="华文中宋"/>
          <w:sz w:val="28"/>
          <w:szCs w:val="28"/>
        </w:rPr>
        <w:t>整体规划重污染污水管径为DN400-DN800，规划轻污染污水管径为DN200-DN300，</w:t>
      </w:r>
      <w:bookmarkEnd w:id="79"/>
      <w:r>
        <w:rPr>
          <w:rFonts w:hint="eastAsia" w:ascii="华文中宋" w:hAnsi="华文中宋" w:eastAsia="华文中宋" w:cs="华文中宋"/>
          <w:sz w:val="28"/>
          <w:szCs w:val="28"/>
        </w:rPr>
        <w:t>管材为钢筋混凝土管，管道接口采用橡胶连接。管网覆土应大于当地冰冻线。</w:t>
      </w:r>
    </w:p>
    <w:p>
      <w:pPr>
        <w:spacing w:line="360" w:lineRule="auto"/>
        <w:ind w:firstLine="480"/>
        <w:rPr>
          <w:rFonts w:ascii="华文中宋" w:hAnsi="华文中宋" w:eastAsia="华文中宋" w:cs="华文中宋"/>
          <w:sz w:val="28"/>
          <w:szCs w:val="28"/>
        </w:rPr>
      </w:pPr>
      <w:r>
        <w:rPr>
          <w:rFonts w:hint="eastAsia" w:ascii="华文中宋" w:hAnsi="华文中宋" w:eastAsia="华文中宋" w:cs="华文中宋"/>
          <w:sz w:val="28"/>
          <w:szCs w:val="28"/>
        </w:rPr>
        <w:t>本次规划在片区内布置重污染污水提升泵站2座。</w:t>
      </w:r>
    </w:p>
    <w:p>
      <w:pPr>
        <w:pStyle w:val="4"/>
        <w:spacing w:before="260" w:after="260"/>
        <w:rPr>
          <w:rFonts w:ascii="华文中宋" w:hAnsi="华文中宋" w:eastAsia="华文中宋" w:cs="华文中宋"/>
        </w:rPr>
      </w:pPr>
      <w:bookmarkStart w:id="80" w:name="_Toc12982981"/>
      <w:bookmarkStart w:id="81" w:name="_Toc30104"/>
      <w:r>
        <w:rPr>
          <w:rFonts w:hint="eastAsia" w:ascii="华文中宋" w:hAnsi="华文中宋" w:eastAsia="华文中宋" w:cs="华文中宋"/>
        </w:rPr>
        <w:t>4.3 雨水工程规划</w:t>
      </w:r>
      <w:bookmarkEnd w:id="80"/>
      <w:bookmarkEnd w:id="81"/>
    </w:p>
    <w:p>
      <w:pPr>
        <w:pStyle w:val="5"/>
        <w:spacing w:before="0" w:after="0"/>
        <w:rPr>
          <w:rFonts w:ascii="华文中宋" w:hAnsi="华文中宋" w:eastAsia="华文中宋" w:cs="华文中宋"/>
          <w:sz w:val="28"/>
          <w:szCs w:val="28"/>
        </w:rPr>
      </w:pPr>
      <w:r>
        <w:rPr>
          <w:rFonts w:hint="eastAsia" w:ascii="华文中宋" w:hAnsi="华文中宋" w:eastAsia="华文中宋" w:cs="华文中宋"/>
          <w:sz w:val="28"/>
          <w:szCs w:val="28"/>
        </w:rPr>
        <w:t>4.3.1 雨水量预测</w:t>
      </w:r>
    </w:p>
    <w:p>
      <w:pPr>
        <w:spacing w:line="360" w:lineRule="auto"/>
        <w:ind w:firstLine="560" w:firstLineChars="200"/>
        <w:rPr>
          <w:rFonts w:ascii="华文中宋" w:hAnsi="华文中宋" w:eastAsia="华文中宋" w:cs="华文中宋"/>
          <w:sz w:val="28"/>
          <w:szCs w:val="28"/>
        </w:rPr>
      </w:pPr>
      <w:r>
        <w:rPr>
          <w:rFonts w:hint="eastAsia" w:ascii="华文中宋" w:hAnsi="华文中宋" w:eastAsia="华文中宋" w:cs="华文中宋"/>
          <w:sz w:val="28"/>
          <w:szCs w:val="28"/>
        </w:rPr>
        <w:t>（1）雨水流量按下式计算</w:t>
      </w:r>
    </w:p>
    <w:p>
      <w:pPr>
        <w:spacing w:line="360" w:lineRule="auto"/>
        <w:ind w:firstLine="560" w:firstLineChars="200"/>
        <w:jc w:val="center"/>
        <w:rPr>
          <w:rFonts w:ascii="华文中宋" w:hAnsi="华文中宋" w:eastAsia="华文中宋" w:cs="华文中宋"/>
          <w:sz w:val="28"/>
          <w:szCs w:val="28"/>
        </w:rPr>
      </w:pPr>
      <w:r>
        <w:rPr>
          <w:rFonts w:hint="eastAsia" w:ascii="华文中宋" w:hAnsi="华文中宋" w:eastAsia="华文中宋" w:cs="华文中宋"/>
          <w:sz w:val="28"/>
          <w:szCs w:val="28"/>
        </w:rPr>
        <w:t>Q=q •F •Ψ</w:t>
      </w:r>
    </w:p>
    <w:p>
      <w:pPr>
        <w:spacing w:line="360" w:lineRule="auto"/>
        <w:ind w:firstLine="560" w:firstLineChars="200"/>
        <w:rPr>
          <w:rFonts w:ascii="华文中宋" w:hAnsi="华文中宋" w:eastAsia="华文中宋" w:cs="华文中宋"/>
          <w:sz w:val="28"/>
          <w:szCs w:val="28"/>
        </w:rPr>
      </w:pPr>
      <w:r>
        <w:rPr>
          <w:rFonts w:hint="eastAsia" w:ascii="华文中宋" w:hAnsi="华文中宋" w:eastAsia="华文中宋" w:cs="华文中宋"/>
          <w:sz w:val="28"/>
          <w:szCs w:val="28"/>
        </w:rPr>
        <w:t>式中：Q—雨水流量(升/秒)；</w:t>
      </w:r>
    </w:p>
    <w:p>
      <w:pPr>
        <w:spacing w:line="360" w:lineRule="auto"/>
        <w:ind w:firstLine="560" w:firstLineChars="200"/>
        <w:rPr>
          <w:rFonts w:ascii="华文中宋" w:hAnsi="华文中宋" w:eastAsia="华文中宋" w:cs="华文中宋"/>
          <w:sz w:val="28"/>
          <w:szCs w:val="28"/>
        </w:rPr>
      </w:pPr>
      <w:r>
        <w:rPr>
          <w:rFonts w:hint="eastAsia" w:ascii="华文中宋" w:hAnsi="华文中宋" w:eastAsia="华文中宋" w:cs="华文中宋"/>
          <w:sz w:val="28"/>
          <w:szCs w:val="28"/>
        </w:rPr>
        <w:t xml:space="preserve">      q—暴雨强度(升/(秒.公顷))；</w:t>
      </w:r>
    </w:p>
    <w:p>
      <w:pPr>
        <w:spacing w:line="360" w:lineRule="auto"/>
        <w:ind w:firstLine="1400" w:firstLineChars="500"/>
        <w:rPr>
          <w:rFonts w:ascii="华文中宋" w:hAnsi="华文中宋" w:eastAsia="华文中宋" w:cs="华文中宋"/>
          <w:sz w:val="28"/>
          <w:szCs w:val="28"/>
        </w:rPr>
      </w:pPr>
      <w:r>
        <w:rPr>
          <w:rFonts w:hint="eastAsia" w:ascii="华文中宋" w:hAnsi="华文中宋" w:eastAsia="华文中宋" w:cs="华文中宋"/>
          <w:sz w:val="28"/>
          <w:szCs w:val="28"/>
        </w:rPr>
        <w:t>F—汇水面积(公顷)；</w:t>
      </w:r>
    </w:p>
    <w:p>
      <w:pPr>
        <w:spacing w:line="360" w:lineRule="auto"/>
        <w:ind w:firstLine="560" w:firstLineChars="200"/>
        <w:rPr>
          <w:rFonts w:ascii="华文中宋" w:hAnsi="华文中宋" w:eastAsia="华文中宋" w:cs="华文中宋"/>
          <w:sz w:val="28"/>
          <w:szCs w:val="28"/>
        </w:rPr>
      </w:pPr>
      <w:r>
        <w:rPr>
          <w:rFonts w:hint="eastAsia" w:ascii="华文中宋" w:hAnsi="华文中宋" w:eastAsia="华文中宋" w:cs="华文中宋"/>
          <w:sz w:val="28"/>
          <w:szCs w:val="28"/>
        </w:rPr>
        <w:t xml:space="preserve">      Ψ—径流系数；</w:t>
      </w:r>
    </w:p>
    <w:p>
      <w:pPr>
        <w:spacing w:line="360" w:lineRule="auto"/>
        <w:ind w:firstLine="560" w:firstLineChars="200"/>
        <w:rPr>
          <w:rFonts w:ascii="华文中宋" w:hAnsi="华文中宋" w:eastAsia="华文中宋" w:cs="华文中宋"/>
          <w:sz w:val="28"/>
          <w:szCs w:val="28"/>
        </w:rPr>
      </w:pPr>
      <w:r>
        <w:rPr>
          <w:rFonts w:hint="eastAsia" w:ascii="华文中宋" w:hAnsi="华文中宋" w:eastAsia="华文中宋" w:cs="华文中宋"/>
          <w:sz w:val="28"/>
          <w:szCs w:val="28"/>
        </w:rPr>
        <w:t>工业园区暴雨强度公式：</w:t>
      </w:r>
    </w:p>
    <w:p>
      <w:pPr>
        <w:spacing w:line="360" w:lineRule="auto"/>
        <w:ind w:firstLine="480" w:firstLineChars="200"/>
        <w:jc w:val="center"/>
        <w:rPr>
          <w:rFonts w:ascii="华文中宋" w:hAnsi="华文中宋" w:eastAsia="华文中宋" w:cs="华文中宋"/>
          <w:sz w:val="24"/>
          <w:szCs w:val="24"/>
        </w:rPr>
      </w:pPr>
      <m:oMathPara>
        <m:oMath>
          <m:r>
            <m:rPr>
              <m:sty m:val="p"/>
            </m:rPr>
            <w:rPr>
              <w:rFonts w:hint="eastAsia" w:ascii="Cambria Math" w:hAnsi="Cambria Math" w:eastAsia="华文中宋" w:cs="华文中宋"/>
              <w:sz w:val="24"/>
              <w:szCs w:val="24"/>
            </w:rPr>
            <m:t>q=</m:t>
          </m:r>
          <m:f>
            <m:fPr>
              <m:ctrlPr>
                <w:rPr>
                  <w:rFonts w:hint="eastAsia" w:ascii="Cambria Math" w:hAnsi="Cambria Math" w:eastAsia="华文中宋" w:cs="华文中宋"/>
                  <w:sz w:val="24"/>
                  <w:szCs w:val="24"/>
                </w:rPr>
              </m:ctrlPr>
            </m:fPr>
            <m:num>
              <m:r>
                <m:rPr/>
                <w:rPr>
                  <w:rFonts w:hint="eastAsia" w:ascii="Cambria Math" w:hAnsi="Cambria Math" w:eastAsia="华文中宋" w:cs="华文中宋"/>
                  <w:sz w:val="24"/>
                  <w:szCs w:val="24"/>
                </w:rPr>
                <m:t>242</m:t>
              </m:r>
              <m:d>
                <m:dPr>
                  <m:ctrlPr>
                    <w:rPr>
                      <w:rFonts w:hint="eastAsia" w:ascii="Cambria Math" w:hAnsi="Cambria Math" w:eastAsia="华文中宋" w:cs="华文中宋"/>
                      <w:i/>
                      <w:sz w:val="24"/>
                      <w:szCs w:val="24"/>
                    </w:rPr>
                  </m:ctrlPr>
                </m:dPr>
                <m:e>
                  <m:r>
                    <m:rPr/>
                    <w:rPr>
                      <w:rFonts w:hint="eastAsia" w:ascii="Cambria Math" w:hAnsi="Cambria Math" w:eastAsia="华文中宋" w:cs="华文中宋"/>
                      <w:sz w:val="24"/>
                      <w:szCs w:val="24"/>
                    </w:rPr>
                    <m:t>1+0.831lgP</m:t>
                  </m:r>
                  <m:ctrlPr>
                    <w:rPr>
                      <w:rFonts w:hint="eastAsia" w:ascii="Cambria Math" w:hAnsi="Cambria Math" w:eastAsia="华文中宋" w:cs="华文中宋"/>
                      <w:i/>
                      <w:sz w:val="24"/>
                      <w:szCs w:val="24"/>
                    </w:rPr>
                  </m:ctrlPr>
                </m:e>
              </m:d>
              <m:ctrlPr>
                <w:rPr>
                  <w:rFonts w:hint="eastAsia" w:ascii="Cambria Math" w:hAnsi="Cambria Math" w:eastAsia="华文中宋" w:cs="华文中宋"/>
                  <w:sz w:val="24"/>
                  <w:szCs w:val="24"/>
                </w:rPr>
              </m:ctrlPr>
            </m:num>
            <m:den>
              <m:sSup>
                <m:sSupPr>
                  <m:ctrlPr>
                    <w:rPr>
                      <w:rFonts w:hint="eastAsia" w:ascii="Cambria Math" w:hAnsi="Cambria Math" w:eastAsia="华文中宋" w:cs="华文中宋"/>
                      <w:i/>
                      <w:sz w:val="24"/>
                      <w:szCs w:val="24"/>
                    </w:rPr>
                  </m:ctrlPr>
                </m:sSupPr>
                <m:e>
                  <m:r>
                    <m:rPr/>
                    <w:rPr>
                      <w:rFonts w:hint="eastAsia" w:ascii="Cambria Math" w:hAnsi="Cambria Math" w:eastAsia="华文中宋" w:cs="华文中宋"/>
                      <w:sz w:val="24"/>
                      <w:szCs w:val="24"/>
                    </w:rPr>
                    <m:t>t</m:t>
                  </m:r>
                  <m:ctrlPr>
                    <w:rPr>
                      <w:rFonts w:hint="eastAsia" w:ascii="Cambria Math" w:hAnsi="Cambria Math" w:eastAsia="华文中宋" w:cs="华文中宋"/>
                      <w:sz w:val="24"/>
                      <w:szCs w:val="24"/>
                    </w:rPr>
                  </m:ctrlPr>
                </m:e>
                <m:sup>
                  <m:r>
                    <m:rPr/>
                    <w:rPr>
                      <w:rFonts w:hint="eastAsia" w:ascii="Cambria Math" w:hAnsi="Cambria Math" w:eastAsia="华文中宋" w:cs="华文中宋"/>
                      <w:sz w:val="24"/>
                      <w:szCs w:val="24"/>
                    </w:rPr>
                    <m:t>0.477</m:t>
                  </m:r>
                  <m:ctrlPr>
                    <w:rPr>
                      <w:rFonts w:hint="eastAsia" w:ascii="Cambria Math" w:hAnsi="Cambria Math" w:eastAsia="华文中宋" w:cs="华文中宋"/>
                      <w:i/>
                      <w:sz w:val="24"/>
                      <w:szCs w:val="24"/>
                    </w:rPr>
                  </m:ctrlPr>
                </m:sup>
              </m:sSup>
              <m:ctrlPr>
                <w:rPr>
                  <w:rFonts w:hint="eastAsia" w:ascii="Cambria Math" w:hAnsi="Cambria Math" w:eastAsia="华文中宋" w:cs="华文中宋"/>
                  <w:sz w:val="24"/>
                  <w:szCs w:val="24"/>
                </w:rPr>
              </m:ctrlPr>
            </m:den>
          </m:f>
        </m:oMath>
      </m:oMathPara>
    </w:p>
    <w:p>
      <w:pPr>
        <w:spacing w:line="360" w:lineRule="auto"/>
        <w:ind w:firstLine="560" w:firstLineChars="200"/>
        <w:rPr>
          <w:rFonts w:ascii="华文中宋" w:hAnsi="华文中宋" w:eastAsia="华文中宋" w:cs="华文中宋"/>
          <w:sz w:val="28"/>
          <w:szCs w:val="28"/>
        </w:rPr>
      </w:pPr>
      <w:r>
        <w:rPr>
          <w:rFonts w:hint="eastAsia" w:ascii="华文中宋" w:hAnsi="华文中宋" w:eastAsia="华文中宋" w:cs="华文中宋"/>
          <w:sz w:val="28"/>
          <w:szCs w:val="28"/>
        </w:rPr>
        <w:t>式中，雨水管渠的设计重现期应根据汇水地区性质、地形特点和气象特点等因素确定，本次雨水工程设计重现期采用P=2年。</w:t>
      </w:r>
    </w:p>
    <w:p>
      <w:pPr>
        <w:spacing w:line="360" w:lineRule="auto"/>
        <w:ind w:firstLine="560" w:firstLineChars="200"/>
        <w:rPr>
          <w:rFonts w:ascii="华文中宋" w:hAnsi="华文中宋" w:eastAsia="华文中宋" w:cs="华文中宋"/>
          <w:sz w:val="28"/>
          <w:szCs w:val="28"/>
        </w:rPr>
      </w:pPr>
      <w:r>
        <w:rPr>
          <w:rFonts w:hint="eastAsia" w:ascii="华文中宋" w:hAnsi="华文中宋" w:eastAsia="华文中宋" w:cs="华文中宋"/>
          <w:sz w:val="28"/>
          <w:szCs w:val="28"/>
        </w:rPr>
        <w:t>（2）径流系数Ψ</w:t>
      </w:r>
    </w:p>
    <w:p>
      <w:pPr>
        <w:spacing w:line="360" w:lineRule="auto"/>
        <w:ind w:firstLine="560" w:firstLineChars="200"/>
        <w:rPr>
          <w:rFonts w:ascii="华文中宋" w:hAnsi="华文中宋" w:eastAsia="华文中宋" w:cs="华文中宋"/>
          <w:sz w:val="28"/>
          <w:szCs w:val="28"/>
        </w:rPr>
      </w:pPr>
      <w:r>
        <w:rPr>
          <w:rFonts w:hint="eastAsia" w:ascii="华文中宋" w:hAnsi="华文中宋" w:eastAsia="华文中宋" w:cs="华文中宋"/>
          <w:sz w:val="28"/>
          <w:szCs w:val="28"/>
        </w:rPr>
        <w:t>影响Ψ值的主要因素为地面覆盖情况、地面坡度以及建筑密度的分布等，规划建设区Ψ=0.6。</w:t>
      </w:r>
    </w:p>
    <w:p>
      <w:pPr>
        <w:spacing w:line="360" w:lineRule="auto"/>
        <w:ind w:firstLine="560" w:firstLineChars="200"/>
        <w:rPr>
          <w:rFonts w:ascii="华文中宋" w:hAnsi="华文中宋" w:eastAsia="华文中宋" w:cs="华文中宋"/>
          <w:sz w:val="28"/>
          <w:szCs w:val="28"/>
        </w:rPr>
      </w:pPr>
      <w:r>
        <w:rPr>
          <w:rFonts w:hint="eastAsia" w:ascii="华文中宋" w:hAnsi="华文中宋" w:eastAsia="华文中宋" w:cs="华文中宋"/>
          <w:sz w:val="28"/>
          <w:szCs w:val="28"/>
        </w:rPr>
        <w:t>（3）集水时间</w:t>
      </w:r>
    </w:p>
    <w:p>
      <w:pPr>
        <w:spacing w:line="360" w:lineRule="auto"/>
        <w:ind w:firstLine="560" w:firstLineChars="200"/>
        <w:jc w:val="center"/>
        <w:rPr>
          <w:rFonts w:ascii="华文中宋" w:hAnsi="华文中宋" w:eastAsia="华文中宋" w:cs="华文中宋"/>
          <w:sz w:val="28"/>
          <w:szCs w:val="28"/>
        </w:rPr>
      </w:pPr>
      <w:r>
        <w:rPr>
          <w:rFonts w:hint="eastAsia" w:ascii="华文中宋" w:hAnsi="华文中宋" w:eastAsia="华文中宋" w:cs="华文中宋"/>
          <w:sz w:val="28"/>
          <w:szCs w:val="28"/>
        </w:rPr>
        <w:t>t=t</w:t>
      </w:r>
      <w:r>
        <w:rPr>
          <w:rFonts w:hint="eastAsia" w:ascii="华文中宋" w:hAnsi="华文中宋" w:eastAsia="华文中宋" w:cs="华文中宋"/>
          <w:sz w:val="28"/>
          <w:szCs w:val="28"/>
          <w:vertAlign w:val="subscript"/>
        </w:rPr>
        <w:t>1</w:t>
      </w:r>
      <w:r>
        <w:rPr>
          <w:rFonts w:hint="eastAsia" w:ascii="华文中宋" w:hAnsi="华文中宋" w:eastAsia="华文中宋" w:cs="华文中宋"/>
          <w:sz w:val="28"/>
          <w:szCs w:val="28"/>
        </w:rPr>
        <w:t>+t</w:t>
      </w:r>
      <w:r>
        <w:rPr>
          <w:rFonts w:hint="eastAsia" w:ascii="华文中宋" w:hAnsi="华文中宋" w:eastAsia="华文中宋" w:cs="华文中宋"/>
          <w:sz w:val="28"/>
          <w:szCs w:val="28"/>
          <w:vertAlign w:val="subscript"/>
        </w:rPr>
        <w:t>2</w:t>
      </w:r>
    </w:p>
    <w:p>
      <w:pPr>
        <w:spacing w:line="360" w:lineRule="auto"/>
        <w:ind w:firstLine="560" w:firstLineChars="200"/>
        <w:rPr>
          <w:rFonts w:ascii="华文中宋" w:hAnsi="华文中宋" w:eastAsia="华文中宋" w:cs="华文中宋"/>
          <w:sz w:val="28"/>
          <w:szCs w:val="28"/>
        </w:rPr>
      </w:pPr>
      <w:r>
        <w:rPr>
          <w:rFonts w:hint="eastAsia" w:ascii="华文中宋" w:hAnsi="华文中宋" w:eastAsia="华文中宋" w:cs="华文中宋"/>
          <w:sz w:val="28"/>
          <w:szCs w:val="28"/>
        </w:rPr>
        <w:t>式中：t</w:t>
      </w:r>
      <w:r>
        <w:rPr>
          <w:rFonts w:hint="eastAsia" w:ascii="华文中宋" w:hAnsi="华文中宋" w:eastAsia="华文中宋" w:cs="华文中宋"/>
          <w:sz w:val="28"/>
          <w:szCs w:val="28"/>
          <w:vertAlign w:val="subscript"/>
        </w:rPr>
        <w:t>1</w:t>
      </w:r>
      <w:r>
        <w:rPr>
          <w:rFonts w:hint="eastAsia" w:ascii="华文中宋" w:hAnsi="华文中宋" w:eastAsia="华文中宋" w:cs="华文中宋"/>
          <w:sz w:val="28"/>
          <w:szCs w:val="28"/>
        </w:rPr>
        <w:t>：地面集水时间（分钟），应根据汇水距离、地形坡度和地面种类通过计算确定，取t</w:t>
      </w:r>
      <w:r>
        <w:rPr>
          <w:rFonts w:hint="eastAsia" w:ascii="华文中宋" w:hAnsi="华文中宋" w:eastAsia="华文中宋" w:cs="华文中宋"/>
          <w:sz w:val="28"/>
          <w:szCs w:val="28"/>
          <w:vertAlign w:val="subscript"/>
        </w:rPr>
        <w:t>1</w:t>
      </w:r>
      <w:r>
        <w:rPr>
          <w:rFonts w:hint="eastAsia" w:ascii="华文中宋" w:hAnsi="华文中宋" w:eastAsia="华文中宋" w:cs="华文中宋"/>
          <w:sz w:val="28"/>
          <w:szCs w:val="28"/>
        </w:rPr>
        <w:t>=5-15分钟；t</w:t>
      </w:r>
      <w:r>
        <w:rPr>
          <w:rFonts w:hint="eastAsia" w:ascii="华文中宋" w:hAnsi="华文中宋" w:eastAsia="华文中宋" w:cs="华文中宋"/>
          <w:sz w:val="28"/>
          <w:szCs w:val="28"/>
          <w:vertAlign w:val="subscript"/>
        </w:rPr>
        <w:t>2</w:t>
      </w:r>
      <w:r>
        <w:rPr>
          <w:rFonts w:hint="eastAsia" w:ascii="华文中宋" w:hAnsi="华文中宋" w:eastAsia="华文中宋" w:cs="华文中宋"/>
          <w:sz w:val="28"/>
          <w:szCs w:val="28"/>
        </w:rPr>
        <w:t>：管渠内雨水流行时间。</w:t>
      </w:r>
    </w:p>
    <w:p>
      <w:pPr>
        <w:pStyle w:val="5"/>
        <w:spacing w:before="0" w:after="0"/>
        <w:rPr>
          <w:rFonts w:ascii="华文中宋" w:hAnsi="华文中宋" w:eastAsia="华文中宋" w:cs="华文中宋"/>
          <w:sz w:val="28"/>
          <w:szCs w:val="28"/>
        </w:rPr>
      </w:pPr>
      <w:r>
        <w:rPr>
          <w:rFonts w:hint="eastAsia" w:ascii="华文中宋" w:hAnsi="华文中宋" w:eastAsia="华文中宋" w:cs="华文中宋"/>
          <w:sz w:val="28"/>
          <w:szCs w:val="28"/>
        </w:rPr>
        <w:t>4.3.2 雨水管网规划</w:t>
      </w:r>
    </w:p>
    <w:p>
      <w:pPr>
        <w:spacing w:line="360" w:lineRule="auto"/>
        <w:ind w:firstLine="560" w:firstLineChars="200"/>
        <w:rPr>
          <w:rFonts w:ascii="华文中宋" w:hAnsi="华文中宋" w:eastAsia="华文中宋" w:cs="华文中宋"/>
          <w:sz w:val="28"/>
          <w:szCs w:val="28"/>
        </w:rPr>
      </w:pPr>
      <w:r>
        <w:rPr>
          <w:rFonts w:hint="eastAsia" w:ascii="华文中宋" w:hAnsi="华文中宋" w:eastAsia="华文中宋" w:cs="华文中宋"/>
          <w:sz w:val="28"/>
          <w:szCs w:val="28"/>
        </w:rPr>
        <w:t>根据国家《化工建设项目环境保护工程设计标准》（GB/T50483-2019）的相关规定，工业企业厂区内排出的雨水均需监测合格后再排放至厂区外。</w:t>
      </w:r>
    </w:p>
    <w:p>
      <w:pPr>
        <w:spacing w:line="360" w:lineRule="auto"/>
        <w:ind w:firstLine="560" w:firstLineChars="200"/>
        <w:rPr>
          <w:rFonts w:ascii="华文中宋" w:hAnsi="华文中宋" w:eastAsia="华文中宋" w:cs="华文中宋"/>
          <w:sz w:val="28"/>
          <w:szCs w:val="28"/>
        </w:rPr>
      </w:pPr>
      <w:r>
        <w:rPr>
          <w:rFonts w:hint="eastAsia" w:ascii="华文中宋" w:hAnsi="华文中宋" w:eastAsia="华文中宋" w:cs="华文中宋"/>
          <w:sz w:val="28"/>
          <w:szCs w:val="28"/>
        </w:rPr>
        <w:t>规划A片区内雨水经管网收集后，就近排入附近的河流内。本次共规划雨水排水口4个，规划雨水管径为DN500~DN1200。规划雨水管管材为钢筋混凝土管，管道接口采用橡胶连接。</w:t>
      </w:r>
    </w:p>
    <w:p>
      <w:pPr>
        <w:pStyle w:val="4"/>
        <w:spacing w:before="260" w:after="260"/>
        <w:rPr>
          <w:rFonts w:ascii="华文中宋" w:hAnsi="华文中宋" w:eastAsia="华文中宋" w:cs="华文中宋"/>
        </w:rPr>
      </w:pPr>
      <w:bookmarkStart w:id="82" w:name="_Toc12982982"/>
      <w:bookmarkStart w:id="83" w:name="_Toc18718"/>
      <w:r>
        <w:rPr>
          <w:rFonts w:hint="eastAsia" w:ascii="华文中宋" w:hAnsi="华文中宋" w:eastAsia="华文中宋" w:cs="华文中宋"/>
        </w:rPr>
        <w:t>4.4 再生水利用规划</w:t>
      </w:r>
      <w:bookmarkEnd w:id="82"/>
      <w:bookmarkEnd w:id="83"/>
    </w:p>
    <w:p>
      <w:pPr>
        <w:pStyle w:val="5"/>
        <w:spacing w:before="0" w:after="0"/>
        <w:rPr>
          <w:rFonts w:ascii="华文中宋" w:hAnsi="华文中宋" w:eastAsia="华文中宋" w:cs="华文中宋"/>
          <w:sz w:val="28"/>
          <w:szCs w:val="28"/>
        </w:rPr>
      </w:pPr>
      <w:r>
        <w:rPr>
          <w:rFonts w:hint="eastAsia" w:ascii="华文中宋" w:hAnsi="华文中宋" w:eastAsia="华文中宋" w:cs="华文中宋"/>
          <w:sz w:val="28"/>
          <w:szCs w:val="28"/>
        </w:rPr>
        <w:t>4.4.1 再生水水量预测</w:t>
      </w:r>
    </w:p>
    <w:p>
      <w:pPr>
        <w:spacing w:line="360" w:lineRule="auto"/>
        <w:ind w:firstLine="560" w:firstLineChars="200"/>
        <w:rPr>
          <w:rFonts w:ascii="华文中宋" w:hAnsi="华文中宋" w:eastAsia="华文中宋" w:cs="华文中宋"/>
          <w:sz w:val="28"/>
          <w:szCs w:val="28"/>
        </w:rPr>
      </w:pPr>
      <w:r>
        <w:rPr>
          <w:rFonts w:hint="eastAsia" w:ascii="华文中宋" w:hAnsi="华文中宋" w:eastAsia="华文中宋" w:cs="华文中宋"/>
          <w:sz w:val="28"/>
          <w:szCs w:val="28"/>
        </w:rPr>
        <w:t>再生水回用量可根据污水量进行预测。</w:t>
      </w:r>
    </w:p>
    <w:p>
      <w:pPr>
        <w:spacing w:line="360" w:lineRule="auto"/>
        <w:ind w:firstLine="560" w:firstLineChars="200"/>
        <w:rPr>
          <w:rFonts w:ascii="华文中宋" w:hAnsi="华文中宋" w:eastAsia="华文中宋" w:cs="华文中宋"/>
          <w:sz w:val="28"/>
          <w:szCs w:val="28"/>
        </w:rPr>
      </w:pPr>
      <w:r>
        <w:rPr>
          <w:rFonts w:hint="eastAsia" w:ascii="华文中宋" w:hAnsi="华文中宋" w:eastAsia="华文中宋" w:cs="华文中宋"/>
          <w:sz w:val="28"/>
          <w:szCs w:val="28"/>
        </w:rPr>
        <w:t>规划期末，A片区总污水处理规模为3.3万立方米/日，为保障水资源供给，再生水回用率取90%，则产生再生水量为2.97万立方米/日。该部分水量可用于满足园区部分企业生产、绿化浇洒、降尘等用水。</w:t>
      </w:r>
    </w:p>
    <w:p>
      <w:pPr>
        <w:pStyle w:val="5"/>
        <w:spacing w:before="0" w:after="0"/>
        <w:rPr>
          <w:rFonts w:ascii="华文中宋" w:hAnsi="华文中宋" w:eastAsia="华文中宋" w:cs="华文中宋"/>
          <w:sz w:val="28"/>
          <w:szCs w:val="28"/>
        </w:rPr>
      </w:pPr>
      <w:r>
        <w:rPr>
          <w:rFonts w:hint="eastAsia" w:ascii="华文中宋" w:hAnsi="华文中宋" w:eastAsia="华文中宋" w:cs="华文中宋"/>
          <w:sz w:val="28"/>
          <w:szCs w:val="28"/>
        </w:rPr>
        <w:t>4.4.2 再生水水厂布置</w:t>
      </w:r>
    </w:p>
    <w:p>
      <w:pPr>
        <w:spacing w:line="360" w:lineRule="auto"/>
        <w:ind w:firstLine="560" w:firstLineChars="200"/>
        <w:rPr>
          <w:rFonts w:ascii="华文中宋" w:hAnsi="华文中宋" w:eastAsia="华文中宋" w:cs="华文中宋"/>
          <w:sz w:val="28"/>
          <w:szCs w:val="28"/>
        </w:rPr>
      </w:pPr>
      <w:r>
        <w:rPr>
          <w:rFonts w:hint="eastAsia" w:ascii="华文中宋" w:hAnsi="华文中宋" w:eastAsia="华文中宋" w:cs="华文中宋"/>
          <w:sz w:val="28"/>
          <w:szCs w:val="28"/>
        </w:rPr>
        <w:t>规划再生水水厂与污水处理厂合建。</w:t>
      </w:r>
    </w:p>
    <w:p>
      <w:pPr>
        <w:spacing w:line="360" w:lineRule="auto"/>
        <w:ind w:firstLine="560" w:firstLineChars="200"/>
        <w:rPr>
          <w:rFonts w:ascii="华文中宋" w:hAnsi="华文中宋" w:eastAsia="华文中宋" w:cs="华文中宋"/>
          <w:sz w:val="28"/>
          <w:szCs w:val="28"/>
        </w:rPr>
      </w:pPr>
      <w:bookmarkStart w:id="84" w:name="_Hlk126937691"/>
      <w:r>
        <w:rPr>
          <w:rFonts w:hint="eastAsia" w:ascii="华文中宋" w:hAnsi="华文中宋" w:eastAsia="华文中宋" w:cs="华文中宋"/>
          <w:sz w:val="28"/>
          <w:szCs w:val="28"/>
        </w:rPr>
        <w:t xml:space="preserve">再生水回用系统出水水质需达到《城镇污水再生利用工程设计规范》（GB50335－2016）规定的“再生水用作冷却用水的水质控制指标”及《城市污水再生利用城市杂用水水质》（GB/T 18920-2020）相关要求。 </w:t>
      </w:r>
    </w:p>
    <w:bookmarkEnd w:id="84"/>
    <w:p>
      <w:pPr>
        <w:pStyle w:val="5"/>
        <w:spacing w:before="0" w:after="0"/>
        <w:rPr>
          <w:rFonts w:ascii="华文中宋" w:hAnsi="华文中宋" w:eastAsia="华文中宋" w:cs="华文中宋"/>
          <w:sz w:val="28"/>
          <w:szCs w:val="28"/>
        </w:rPr>
      </w:pPr>
      <w:r>
        <w:rPr>
          <w:rFonts w:hint="eastAsia" w:ascii="华文中宋" w:hAnsi="华文中宋" w:eastAsia="华文中宋" w:cs="华文中宋"/>
          <w:sz w:val="28"/>
          <w:szCs w:val="28"/>
        </w:rPr>
        <w:t>4.4.3 再生水系统布局</w:t>
      </w:r>
    </w:p>
    <w:p>
      <w:pPr>
        <w:spacing w:line="360" w:lineRule="auto"/>
        <w:ind w:firstLine="560" w:firstLineChars="200"/>
        <w:rPr>
          <w:rFonts w:ascii="华文中宋" w:hAnsi="华文中宋" w:eastAsia="华文中宋" w:cs="华文中宋"/>
          <w:sz w:val="28"/>
          <w:szCs w:val="28"/>
        </w:rPr>
      </w:pPr>
      <w:r>
        <w:rPr>
          <w:rFonts w:hint="eastAsia" w:ascii="华文中宋" w:hAnsi="华文中宋" w:eastAsia="华文中宋" w:cs="华文中宋"/>
          <w:sz w:val="28"/>
          <w:szCs w:val="28"/>
        </w:rPr>
        <w:t>规划考虑A片区再生水管网建设的经济性和合理性，再生水配水系统采用环状与枝状相结合的布置形式。规划再生水干管管径为DN200-DN500。</w:t>
      </w:r>
    </w:p>
    <w:p>
      <w:pPr>
        <w:spacing w:line="360" w:lineRule="auto"/>
        <w:ind w:firstLine="560" w:firstLineChars="200"/>
        <w:rPr>
          <w:rFonts w:ascii="华文中宋" w:hAnsi="华文中宋" w:eastAsia="华文中宋" w:cs="华文中宋"/>
          <w:sz w:val="28"/>
          <w:szCs w:val="28"/>
        </w:rPr>
      </w:pPr>
      <w:bookmarkStart w:id="85" w:name="_Hlk126937741"/>
      <w:r>
        <w:rPr>
          <w:rFonts w:hint="eastAsia" w:ascii="华文中宋" w:hAnsi="华文中宋" w:eastAsia="华文中宋" w:cs="华文中宋"/>
          <w:sz w:val="28"/>
          <w:szCs w:val="28"/>
        </w:rPr>
        <w:t>再生水管网应设置明显标志，确保同自来水管网的区分。</w:t>
      </w:r>
    </w:p>
    <w:bookmarkEnd w:id="85"/>
    <w:p>
      <w:pPr>
        <w:pStyle w:val="4"/>
        <w:spacing w:before="260" w:after="260"/>
        <w:rPr>
          <w:rFonts w:ascii="华文中宋" w:hAnsi="华文中宋" w:eastAsia="华文中宋" w:cs="华文中宋"/>
        </w:rPr>
      </w:pPr>
      <w:bookmarkStart w:id="86" w:name="_Toc12982983"/>
      <w:bookmarkStart w:id="87" w:name="_Toc4584"/>
      <w:r>
        <w:rPr>
          <w:rFonts w:hint="eastAsia" w:ascii="华文中宋" w:hAnsi="华文中宋" w:eastAsia="华文中宋" w:cs="华文中宋"/>
        </w:rPr>
        <w:t>4.5 电力工程规划</w:t>
      </w:r>
      <w:bookmarkEnd w:id="86"/>
      <w:bookmarkEnd w:id="87"/>
    </w:p>
    <w:p>
      <w:pPr>
        <w:pStyle w:val="5"/>
        <w:spacing w:before="0" w:after="0"/>
        <w:rPr>
          <w:rFonts w:ascii="华文中宋" w:hAnsi="华文中宋" w:eastAsia="华文中宋" w:cs="华文中宋"/>
          <w:sz w:val="28"/>
          <w:szCs w:val="28"/>
        </w:rPr>
      </w:pPr>
      <w:r>
        <w:rPr>
          <w:rFonts w:hint="eastAsia" w:ascii="华文中宋" w:hAnsi="华文中宋" w:eastAsia="华文中宋" w:cs="华文中宋"/>
          <w:sz w:val="28"/>
          <w:szCs w:val="28"/>
        </w:rPr>
        <w:t>4.5.1 编制依据</w:t>
      </w:r>
    </w:p>
    <w:p>
      <w:pPr>
        <w:spacing w:line="360" w:lineRule="auto"/>
        <w:ind w:firstLine="560" w:firstLineChars="200"/>
        <w:rPr>
          <w:rFonts w:ascii="华文中宋" w:hAnsi="华文中宋" w:eastAsia="华文中宋" w:cs="华文中宋"/>
          <w:sz w:val="28"/>
          <w:szCs w:val="28"/>
        </w:rPr>
      </w:pPr>
      <w:r>
        <w:rPr>
          <w:rFonts w:hint="eastAsia" w:ascii="华文中宋" w:hAnsi="华文中宋" w:eastAsia="华文中宋" w:cs="华文中宋"/>
          <w:sz w:val="28"/>
          <w:szCs w:val="28"/>
        </w:rPr>
        <w:t>（1）《城市电力规划规范》（GB/T50293-2014）</w:t>
      </w:r>
    </w:p>
    <w:p>
      <w:pPr>
        <w:spacing w:line="360" w:lineRule="auto"/>
        <w:ind w:firstLine="560" w:firstLineChars="200"/>
        <w:rPr>
          <w:rFonts w:ascii="华文中宋" w:hAnsi="华文中宋" w:eastAsia="华文中宋" w:cs="华文中宋"/>
          <w:sz w:val="28"/>
          <w:szCs w:val="28"/>
        </w:rPr>
      </w:pPr>
      <w:r>
        <w:rPr>
          <w:rFonts w:hint="eastAsia" w:ascii="华文中宋" w:hAnsi="华文中宋" w:eastAsia="华文中宋" w:cs="华文中宋"/>
          <w:sz w:val="28"/>
          <w:szCs w:val="28"/>
        </w:rPr>
        <w:t>（2）《供配电系统设计规范》（GB50052-2009）</w:t>
      </w:r>
    </w:p>
    <w:p>
      <w:pPr>
        <w:pStyle w:val="5"/>
        <w:spacing w:before="0" w:after="0"/>
        <w:rPr>
          <w:rFonts w:ascii="华文中宋" w:hAnsi="华文中宋" w:eastAsia="华文中宋" w:cs="华文中宋"/>
          <w:sz w:val="28"/>
          <w:szCs w:val="28"/>
        </w:rPr>
      </w:pPr>
      <w:r>
        <w:rPr>
          <w:rFonts w:hint="eastAsia" w:ascii="华文中宋" w:hAnsi="华文中宋" w:eastAsia="华文中宋" w:cs="华文中宋"/>
          <w:sz w:val="28"/>
          <w:szCs w:val="28"/>
        </w:rPr>
        <w:t>4.5.2 现状电源</w:t>
      </w:r>
    </w:p>
    <w:p>
      <w:pPr>
        <w:spacing w:line="360" w:lineRule="auto"/>
        <w:ind w:firstLine="560" w:firstLineChars="200"/>
        <w:rPr>
          <w:rFonts w:ascii="华文中宋" w:hAnsi="华文中宋" w:eastAsia="华文中宋" w:cs="华文中宋"/>
          <w:sz w:val="28"/>
          <w:szCs w:val="28"/>
        </w:rPr>
      </w:pPr>
      <w:r>
        <w:rPr>
          <w:rFonts w:hint="eastAsia" w:ascii="华文中宋" w:hAnsi="华文中宋" w:eastAsia="华文中宋" w:cs="华文中宋"/>
          <w:sz w:val="28"/>
          <w:szCs w:val="28"/>
        </w:rPr>
        <w:t>园区内现有110KV及以上变电站9座，其中企业变电站6座，分别为君正化工220KV变电站、君正惠通220KV变电站、宜化220KV变电站、东源220KV变电站、宜化110KV变电站、恒业成110KV变电站。公网变电站3座，分别为五福220KV变电站、顺达220KV变电站、新华110KV变电站。</w:t>
      </w:r>
    </w:p>
    <w:p>
      <w:pPr>
        <w:pStyle w:val="5"/>
        <w:spacing w:before="0" w:after="0"/>
        <w:rPr>
          <w:rFonts w:ascii="华文中宋" w:hAnsi="华文中宋" w:eastAsia="华文中宋" w:cs="华文中宋"/>
          <w:sz w:val="28"/>
          <w:szCs w:val="28"/>
        </w:rPr>
      </w:pPr>
      <w:r>
        <w:rPr>
          <w:rFonts w:hint="eastAsia" w:ascii="华文中宋" w:hAnsi="华文中宋" w:eastAsia="华文中宋" w:cs="华文中宋"/>
          <w:sz w:val="28"/>
          <w:szCs w:val="28"/>
        </w:rPr>
        <w:t>4.5.3 负荷预测</w:t>
      </w:r>
    </w:p>
    <w:p>
      <w:pPr>
        <w:spacing w:line="360" w:lineRule="auto"/>
        <w:ind w:firstLine="560" w:firstLineChars="200"/>
        <w:rPr>
          <w:rFonts w:ascii="华文中宋" w:hAnsi="华文中宋" w:eastAsia="华文中宋" w:cs="华文中宋"/>
          <w:sz w:val="28"/>
          <w:szCs w:val="28"/>
        </w:rPr>
      </w:pPr>
      <w:r>
        <w:rPr>
          <w:rFonts w:hint="eastAsia" w:ascii="华文中宋" w:hAnsi="华文中宋" w:eastAsia="华文中宋" w:cs="华文中宋"/>
          <w:sz w:val="28"/>
          <w:szCs w:val="28"/>
        </w:rPr>
        <w:t>数据显示，内蒙古协鑫东立硅材料科技发展有限公司年产20万吨颗粒硅及配套项目最大用电负荷为1184MW，占地面积约233公顷。A片区内其余建设用地用电负荷采用单位建设用地负荷密度法预测。参照《城市电力规划规范》（GB50293-2014）推荐的指标，并结合本地实际情况选取各类用地的用电负荷密度指标，</w:t>
      </w:r>
      <w:bookmarkStart w:id="88" w:name="_Hlk126937757"/>
      <w:r>
        <w:rPr>
          <w:rFonts w:hint="eastAsia" w:ascii="华文中宋" w:hAnsi="华文中宋" w:eastAsia="华文中宋" w:cs="华文中宋"/>
          <w:sz w:val="28"/>
          <w:szCs w:val="28"/>
        </w:rPr>
        <w:t>预测A片区总用电负荷为1266.67兆瓦。</w:t>
      </w:r>
    </w:p>
    <w:bookmarkEnd w:id="88"/>
    <w:p>
      <w:pPr>
        <w:spacing w:line="360" w:lineRule="auto"/>
        <w:ind w:firstLine="480" w:firstLineChars="200"/>
        <w:jc w:val="center"/>
        <w:rPr>
          <w:rFonts w:ascii="华文中宋" w:hAnsi="华文中宋" w:eastAsia="华文中宋" w:cs="华文中宋"/>
          <w:sz w:val="24"/>
          <w:szCs w:val="24"/>
        </w:rPr>
      </w:pPr>
      <w:r>
        <w:rPr>
          <w:rFonts w:hint="eastAsia" w:ascii="华文中宋" w:hAnsi="华文中宋" w:eastAsia="华文中宋" w:cs="华文中宋"/>
          <w:sz w:val="24"/>
          <w:szCs w:val="24"/>
        </w:rPr>
        <w:t>表4-5-1  A片区电力负荷预测表</w:t>
      </w:r>
    </w:p>
    <w:tbl>
      <w:tblPr>
        <w:tblStyle w:val="32"/>
        <w:tblW w:w="5000" w:type="pct"/>
        <w:jc w:val="center"/>
        <w:tblLayout w:type="autofit"/>
        <w:tblCellMar>
          <w:top w:w="0" w:type="dxa"/>
          <w:left w:w="108" w:type="dxa"/>
          <w:bottom w:w="0" w:type="dxa"/>
          <w:right w:w="108" w:type="dxa"/>
        </w:tblCellMar>
      </w:tblPr>
      <w:tblGrid>
        <w:gridCol w:w="962"/>
        <w:gridCol w:w="2463"/>
        <w:gridCol w:w="2347"/>
        <w:gridCol w:w="2484"/>
        <w:gridCol w:w="2067"/>
      </w:tblGrid>
      <w:tr>
        <w:trPr>
          <w:trHeight w:val="340" w:hRule="atLeast"/>
          <w:tblHeader/>
          <w:jc w:val="center"/>
        </w:trPr>
        <w:tc>
          <w:tcPr>
            <w:tcW w:w="1659" w:type="pct"/>
            <w:gridSpan w:val="2"/>
            <w:tcBorders>
              <w:top w:val="single" w:color="auto" w:sz="4" w:space="0"/>
              <w:left w:val="single" w:color="auto" w:sz="4" w:space="0"/>
              <w:bottom w:val="single" w:color="auto" w:sz="4" w:space="0"/>
              <w:right w:val="single" w:color="auto" w:sz="4" w:space="0"/>
            </w:tcBorders>
            <w:shd w:val="clear" w:color="000000" w:fill="FFFFFF"/>
            <w:vAlign w:val="center"/>
          </w:tcPr>
          <w:p>
            <w:pPr>
              <w:spacing w:line="312" w:lineRule="auto"/>
              <w:jc w:val="center"/>
              <w:rPr>
                <w:rFonts w:ascii="华文中宋" w:hAnsi="华文中宋" w:eastAsia="华文中宋" w:cs="华文中宋"/>
                <w:szCs w:val="21"/>
              </w:rPr>
            </w:pPr>
            <w:r>
              <w:rPr>
                <w:rFonts w:hint="eastAsia" w:ascii="华文中宋" w:hAnsi="华文中宋" w:eastAsia="华文中宋" w:cs="华文中宋"/>
                <w:szCs w:val="21"/>
              </w:rPr>
              <w:t>用地性质</w:t>
            </w:r>
          </w:p>
        </w:tc>
        <w:tc>
          <w:tcPr>
            <w:tcW w:w="1137" w:type="pct"/>
            <w:tcBorders>
              <w:top w:val="single" w:color="auto" w:sz="4" w:space="0"/>
              <w:left w:val="single" w:color="auto" w:sz="4" w:space="0"/>
              <w:bottom w:val="single" w:color="auto" w:sz="4" w:space="0"/>
              <w:right w:val="single" w:color="auto" w:sz="4" w:space="0"/>
            </w:tcBorders>
            <w:shd w:val="clear" w:color="000000" w:fill="FFFFFF"/>
            <w:vAlign w:val="center"/>
          </w:tcPr>
          <w:p>
            <w:pPr>
              <w:spacing w:line="312" w:lineRule="auto"/>
              <w:jc w:val="center"/>
              <w:rPr>
                <w:rFonts w:ascii="华文中宋" w:hAnsi="华文中宋" w:eastAsia="华文中宋" w:cs="华文中宋"/>
                <w:szCs w:val="21"/>
              </w:rPr>
            </w:pPr>
            <w:r>
              <w:rPr>
                <w:rFonts w:hint="eastAsia" w:ascii="华文中宋" w:hAnsi="华文中宋" w:eastAsia="华文中宋" w:cs="华文中宋"/>
                <w:szCs w:val="21"/>
              </w:rPr>
              <w:t>建筑面积（平方米）</w:t>
            </w:r>
          </w:p>
        </w:tc>
        <w:tc>
          <w:tcPr>
            <w:tcW w:w="1203" w:type="pct"/>
            <w:tcBorders>
              <w:top w:val="single" w:color="auto" w:sz="4" w:space="0"/>
              <w:left w:val="single" w:color="auto" w:sz="4" w:space="0"/>
              <w:bottom w:val="single" w:color="auto" w:sz="4" w:space="0"/>
              <w:right w:val="single" w:color="auto" w:sz="4" w:space="0"/>
            </w:tcBorders>
            <w:shd w:val="clear" w:color="000000" w:fill="FFFFFF"/>
            <w:vAlign w:val="center"/>
          </w:tcPr>
          <w:p>
            <w:pPr>
              <w:spacing w:line="312" w:lineRule="auto"/>
              <w:jc w:val="center"/>
              <w:rPr>
                <w:rFonts w:ascii="华文中宋" w:hAnsi="华文中宋" w:eastAsia="华文中宋" w:cs="华文中宋"/>
                <w:szCs w:val="21"/>
              </w:rPr>
            </w:pPr>
            <w:r>
              <w:rPr>
                <w:rFonts w:hint="eastAsia" w:ascii="华文中宋" w:hAnsi="华文中宋" w:eastAsia="华文中宋" w:cs="华文中宋"/>
                <w:szCs w:val="21"/>
              </w:rPr>
              <w:t>用电指标（瓦/平方米）</w:t>
            </w:r>
          </w:p>
        </w:tc>
        <w:tc>
          <w:tcPr>
            <w:tcW w:w="1001" w:type="pct"/>
            <w:tcBorders>
              <w:top w:val="single" w:color="auto" w:sz="4" w:space="0"/>
              <w:left w:val="single" w:color="auto" w:sz="4" w:space="0"/>
              <w:bottom w:val="single" w:color="auto" w:sz="4" w:space="0"/>
              <w:right w:val="single" w:color="auto" w:sz="4" w:space="0"/>
            </w:tcBorders>
            <w:shd w:val="clear" w:color="000000" w:fill="FFFFFF"/>
            <w:vAlign w:val="center"/>
          </w:tcPr>
          <w:p>
            <w:pPr>
              <w:spacing w:line="312" w:lineRule="auto"/>
              <w:jc w:val="center"/>
              <w:rPr>
                <w:rFonts w:ascii="华文中宋" w:hAnsi="华文中宋" w:eastAsia="华文中宋" w:cs="华文中宋"/>
                <w:szCs w:val="21"/>
              </w:rPr>
            </w:pPr>
            <w:r>
              <w:rPr>
                <w:rFonts w:hint="eastAsia" w:ascii="华文中宋" w:hAnsi="华文中宋" w:eastAsia="华文中宋" w:cs="华文中宋"/>
                <w:szCs w:val="21"/>
              </w:rPr>
              <w:t>用电负荷（兆瓦）</w:t>
            </w:r>
          </w:p>
        </w:tc>
      </w:tr>
      <w:tr>
        <w:tblPrEx>
          <w:tblCellMar>
            <w:top w:w="0" w:type="dxa"/>
            <w:left w:w="108" w:type="dxa"/>
            <w:bottom w:w="0" w:type="dxa"/>
            <w:right w:w="108" w:type="dxa"/>
          </w:tblCellMar>
        </w:tblPrEx>
        <w:trPr>
          <w:trHeight w:val="340" w:hRule="atLeast"/>
          <w:jc w:val="center"/>
        </w:trPr>
        <w:tc>
          <w:tcPr>
            <w:tcW w:w="466" w:type="pct"/>
            <w:tcBorders>
              <w:top w:val="single" w:color="auto" w:sz="4" w:space="0"/>
              <w:left w:val="single" w:color="auto" w:sz="4" w:space="0"/>
              <w:bottom w:val="single" w:color="auto" w:sz="4" w:space="0"/>
              <w:right w:val="single" w:color="auto" w:sz="4" w:space="0"/>
            </w:tcBorders>
            <w:shd w:val="clear" w:color="auto" w:fill="auto"/>
            <w:vAlign w:val="center"/>
          </w:tcPr>
          <w:p>
            <w:pPr>
              <w:spacing w:line="312" w:lineRule="auto"/>
              <w:jc w:val="center"/>
              <w:rPr>
                <w:rFonts w:ascii="华文中宋" w:hAnsi="华文中宋" w:eastAsia="华文中宋" w:cs="华文中宋"/>
                <w:szCs w:val="21"/>
              </w:rPr>
            </w:pPr>
            <w:r>
              <w:rPr>
                <w:rFonts w:hint="eastAsia" w:ascii="华文中宋" w:hAnsi="华文中宋" w:eastAsia="华文中宋" w:cs="华文中宋"/>
                <w:szCs w:val="21"/>
              </w:rPr>
              <w:t>M</w:t>
            </w:r>
          </w:p>
        </w:tc>
        <w:tc>
          <w:tcPr>
            <w:tcW w:w="1193" w:type="pct"/>
            <w:tcBorders>
              <w:top w:val="single" w:color="auto" w:sz="4" w:space="0"/>
              <w:left w:val="single" w:color="auto" w:sz="4" w:space="0"/>
              <w:bottom w:val="single" w:color="auto" w:sz="4" w:space="0"/>
              <w:right w:val="single" w:color="auto" w:sz="4" w:space="0"/>
            </w:tcBorders>
            <w:shd w:val="clear" w:color="auto" w:fill="auto"/>
            <w:vAlign w:val="center"/>
          </w:tcPr>
          <w:p>
            <w:pPr>
              <w:spacing w:line="312" w:lineRule="auto"/>
              <w:jc w:val="center"/>
              <w:rPr>
                <w:rFonts w:ascii="华文中宋" w:hAnsi="华文中宋" w:eastAsia="华文中宋" w:cs="华文中宋"/>
                <w:szCs w:val="21"/>
              </w:rPr>
            </w:pPr>
            <w:r>
              <w:rPr>
                <w:rFonts w:hint="eastAsia" w:ascii="华文中宋" w:hAnsi="华文中宋" w:eastAsia="华文中宋" w:cs="华文中宋"/>
                <w:szCs w:val="21"/>
              </w:rPr>
              <w:t>工业建筑</w:t>
            </w:r>
          </w:p>
        </w:tc>
        <w:tc>
          <w:tcPr>
            <w:tcW w:w="1137" w:type="pct"/>
            <w:tcBorders>
              <w:top w:val="single" w:color="auto" w:sz="4" w:space="0"/>
              <w:left w:val="single" w:color="auto" w:sz="4" w:space="0"/>
              <w:bottom w:val="single" w:color="auto" w:sz="4" w:space="0"/>
              <w:right w:val="single" w:color="auto" w:sz="4" w:space="0"/>
            </w:tcBorders>
            <w:shd w:val="clear" w:color="auto" w:fill="auto"/>
            <w:vAlign w:val="center"/>
          </w:tcPr>
          <w:p>
            <w:pPr>
              <w:spacing w:line="312" w:lineRule="auto"/>
              <w:jc w:val="center"/>
              <w:rPr>
                <w:rFonts w:ascii="华文中宋" w:hAnsi="华文中宋" w:eastAsia="华文中宋" w:cs="华文中宋"/>
                <w:szCs w:val="21"/>
              </w:rPr>
            </w:pPr>
            <w:r>
              <w:rPr>
                <w:rFonts w:hint="eastAsia" w:ascii="华文中宋" w:hAnsi="华文中宋" w:eastAsia="华文中宋" w:cs="华文中宋"/>
                <w:szCs w:val="21"/>
              </w:rPr>
              <w:t>1951760</w:t>
            </w:r>
          </w:p>
        </w:tc>
        <w:tc>
          <w:tcPr>
            <w:tcW w:w="1203" w:type="pct"/>
            <w:tcBorders>
              <w:top w:val="single" w:color="auto" w:sz="4" w:space="0"/>
              <w:left w:val="single" w:color="auto" w:sz="4" w:space="0"/>
              <w:bottom w:val="single" w:color="auto" w:sz="4" w:space="0"/>
              <w:right w:val="single" w:color="auto" w:sz="4" w:space="0"/>
            </w:tcBorders>
            <w:shd w:val="clear" w:color="auto" w:fill="auto"/>
            <w:vAlign w:val="center"/>
          </w:tcPr>
          <w:p>
            <w:pPr>
              <w:spacing w:line="312" w:lineRule="auto"/>
              <w:jc w:val="center"/>
              <w:rPr>
                <w:rFonts w:ascii="华文中宋" w:hAnsi="华文中宋" w:eastAsia="华文中宋" w:cs="华文中宋"/>
                <w:szCs w:val="21"/>
              </w:rPr>
            </w:pPr>
            <w:r>
              <w:rPr>
                <w:rFonts w:hint="eastAsia" w:ascii="华文中宋" w:hAnsi="华文中宋" w:eastAsia="华文中宋" w:cs="华文中宋"/>
                <w:szCs w:val="21"/>
              </w:rPr>
              <w:t>60</w:t>
            </w:r>
          </w:p>
        </w:tc>
        <w:tc>
          <w:tcPr>
            <w:tcW w:w="1001" w:type="pct"/>
            <w:tcBorders>
              <w:top w:val="single" w:color="auto" w:sz="4" w:space="0"/>
              <w:left w:val="single" w:color="auto" w:sz="4" w:space="0"/>
              <w:bottom w:val="single" w:color="auto" w:sz="4" w:space="0"/>
              <w:right w:val="single" w:color="auto" w:sz="4" w:space="0"/>
            </w:tcBorders>
            <w:shd w:val="clear" w:color="auto" w:fill="auto"/>
            <w:vAlign w:val="center"/>
          </w:tcPr>
          <w:p>
            <w:pPr>
              <w:spacing w:line="312" w:lineRule="auto"/>
              <w:jc w:val="center"/>
              <w:rPr>
                <w:rFonts w:ascii="华文中宋" w:hAnsi="华文中宋" w:eastAsia="华文中宋" w:cs="华文中宋"/>
                <w:szCs w:val="21"/>
              </w:rPr>
            </w:pPr>
            <w:r>
              <w:rPr>
                <w:rFonts w:hint="eastAsia" w:ascii="华文中宋" w:hAnsi="华文中宋" w:eastAsia="华文中宋" w:cs="华文中宋"/>
                <w:szCs w:val="21"/>
              </w:rPr>
              <w:t xml:space="preserve">81.97 </w:t>
            </w:r>
          </w:p>
        </w:tc>
      </w:tr>
      <w:tr>
        <w:tblPrEx>
          <w:tblCellMar>
            <w:top w:w="0" w:type="dxa"/>
            <w:left w:w="108" w:type="dxa"/>
            <w:bottom w:w="0" w:type="dxa"/>
            <w:right w:w="108" w:type="dxa"/>
          </w:tblCellMar>
        </w:tblPrEx>
        <w:trPr>
          <w:trHeight w:val="340" w:hRule="atLeast"/>
          <w:jc w:val="center"/>
        </w:trPr>
        <w:tc>
          <w:tcPr>
            <w:tcW w:w="466" w:type="pct"/>
            <w:tcBorders>
              <w:top w:val="single" w:color="auto" w:sz="4" w:space="0"/>
              <w:left w:val="single" w:color="auto" w:sz="4" w:space="0"/>
              <w:bottom w:val="single" w:color="auto" w:sz="4" w:space="0"/>
              <w:right w:val="single" w:color="auto" w:sz="4" w:space="0"/>
            </w:tcBorders>
            <w:shd w:val="clear" w:color="auto" w:fill="auto"/>
            <w:vAlign w:val="center"/>
          </w:tcPr>
          <w:p>
            <w:pPr>
              <w:spacing w:line="312" w:lineRule="auto"/>
              <w:jc w:val="center"/>
              <w:rPr>
                <w:rFonts w:ascii="华文中宋" w:hAnsi="华文中宋" w:eastAsia="华文中宋" w:cs="华文中宋"/>
                <w:szCs w:val="21"/>
              </w:rPr>
            </w:pPr>
            <w:r>
              <w:rPr>
                <w:rFonts w:hint="eastAsia" w:ascii="华文中宋" w:hAnsi="华文中宋" w:eastAsia="华文中宋" w:cs="华文中宋"/>
                <w:szCs w:val="21"/>
              </w:rPr>
              <w:t>U</w:t>
            </w:r>
          </w:p>
        </w:tc>
        <w:tc>
          <w:tcPr>
            <w:tcW w:w="1193" w:type="pct"/>
            <w:tcBorders>
              <w:top w:val="single" w:color="auto" w:sz="4" w:space="0"/>
              <w:left w:val="single" w:color="auto" w:sz="4" w:space="0"/>
              <w:bottom w:val="single" w:color="auto" w:sz="4" w:space="0"/>
              <w:right w:val="single" w:color="auto" w:sz="4" w:space="0"/>
            </w:tcBorders>
            <w:shd w:val="clear" w:color="auto" w:fill="auto"/>
            <w:vAlign w:val="center"/>
          </w:tcPr>
          <w:p>
            <w:pPr>
              <w:spacing w:line="312" w:lineRule="auto"/>
              <w:jc w:val="center"/>
              <w:rPr>
                <w:rFonts w:ascii="华文中宋" w:hAnsi="华文中宋" w:eastAsia="华文中宋" w:cs="华文中宋"/>
                <w:szCs w:val="21"/>
              </w:rPr>
            </w:pPr>
            <w:r>
              <w:rPr>
                <w:rFonts w:hint="eastAsia" w:ascii="华文中宋" w:hAnsi="华文中宋" w:eastAsia="华文中宋" w:cs="华文中宋"/>
                <w:szCs w:val="21"/>
              </w:rPr>
              <w:t>市政设施建筑</w:t>
            </w:r>
          </w:p>
        </w:tc>
        <w:tc>
          <w:tcPr>
            <w:tcW w:w="1137" w:type="pct"/>
            <w:tcBorders>
              <w:top w:val="single" w:color="auto" w:sz="4" w:space="0"/>
              <w:left w:val="single" w:color="auto" w:sz="4" w:space="0"/>
              <w:bottom w:val="single" w:color="auto" w:sz="4" w:space="0"/>
              <w:right w:val="single" w:color="auto" w:sz="4" w:space="0"/>
            </w:tcBorders>
            <w:shd w:val="clear" w:color="auto" w:fill="auto"/>
            <w:vAlign w:val="center"/>
          </w:tcPr>
          <w:p>
            <w:pPr>
              <w:spacing w:line="312" w:lineRule="auto"/>
              <w:jc w:val="center"/>
              <w:rPr>
                <w:rFonts w:ascii="华文中宋" w:hAnsi="华文中宋" w:eastAsia="华文中宋" w:cs="华文中宋"/>
                <w:szCs w:val="21"/>
              </w:rPr>
            </w:pPr>
            <w:r>
              <w:rPr>
                <w:rFonts w:hint="eastAsia" w:ascii="华文中宋" w:hAnsi="华文中宋" w:eastAsia="华文中宋" w:cs="华文中宋"/>
                <w:szCs w:val="21"/>
              </w:rPr>
              <w:t>40197.8</w:t>
            </w:r>
          </w:p>
        </w:tc>
        <w:tc>
          <w:tcPr>
            <w:tcW w:w="1203" w:type="pct"/>
            <w:tcBorders>
              <w:top w:val="single" w:color="auto" w:sz="4" w:space="0"/>
              <w:left w:val="single" w:color="auto" w:sz="4" w:space="0"/>
              <w:bottom w:val="single" w:color="auto" w:sz="4" w:space="0"/>
              <w:right w:val="single" w:color="auto" w:sz="4" w:space="0"/>
            </w:tcBorders>
            <w:shd w:val="clear" w:color="auto" w:fill="auto"/>
            <w:vAlign w:val="center"/>
          </w:tcPr>
          <w:p>
            <w:pPr>
              <w:spacing w:line="312" w:lineRule="auto"/>
              <w:jc w:val="center"/>
              <w:rPr>
                <w:rFonts w:ascii="华文中宋" w:hAnsi="华文中宋" w:eastAsia="华文中宋" w:cs="华文中宋"/>
                <w:szCs w:val="21"/>
              </w:rPr>
            </w:pPr>
            <w:r>
              <w:rPr>
                <w:rFonts w:hint="eastAsia" w:ascii="华文中宋" w:hAnsi="华文中宋" w:eastAsia="华文中宋" w:cs="华文中宋"/>
                <w:szCs w:val="21"/>
              </w:rPr>
              <w:t>25</w:t>
            </w:r>
          </w:p>
        </w:tc>
        <w:tc>
          <w:tcPr>
            <w:tcW w:w="1001" w:type="pct"/>
            <w:tcBorders>
              <w:top w:val="single" w:color="auto" w:sz="4" w:space="0"/>
              <w:left w:val="single" w:color="auto" w:sz="4" w:space="0"/>
              <w:bottom w:val="single" w:color="auto" w:sz="4" w:space="0"/>
              <w:right w:val="single" w:color="auto" w:sz="4" w:space="0"/>
            </w:tcBorders>
            <w:shd w:val="clear" w:color="auto" w:fill="auto"/>
            <w:vAlign w:val="center"/>
          </w:tcPr>
          <w:p>
            <w:pPr>
              <w:spacing w:line="312" w:lineRule="auto"/>
              <w:jc w:val="center"/>
              <w:rPr>
                <w:rFonts w:ascii="华文中宋" w:hAnsi="华文中宋" w:eastAsia="华文中宋" w:cs="华文中宋"/>
                <w:szCs w:val="21"/>
              </w:rPr>
            </w:pPr>
            <w:r>
              <w:rPr>
                <w:rFonts w:hint="eastAsia" w:ascii="华文中宋" w:hAnsi="华文中宋" w:eastAsia="华文中宋" w:cs="华文中宋"/>
                <w:szCs w:val="21"/>
              </w:rPr>
              <w:t xml:space="preserve">0.70 </w:t>
            </w:r>
          </w:p>
        </w:tc>
      </w:tr>
      <w:tr>
        <w:tblPrEx>
          <w:tblCellMar>
            <w:top w:w="0" w:type="dxa"/>
            <w:left w:w="108" w:type="dxa"/>
            <w:bottom w:w="0" w:type="dxa"/>
            <w:right w:w="108" w:type="dxa"/>
          </w:tblCellMar>
        </w:tblPrEx>
        <w:trPr>
          <w:trHeight w:val="340" w:hRule="atLeast"/>
          <w:jc w:val="center"/>
        </w:trPr>
        <w:tc>
          <w:tcPr>
            <w:tcW w:w="3999" w:type="pct"/>
            <w:gridSpan w:val="4"/>
            <w:tcBorders>
              <w:top w:val="single" w:color="auto" w:sz="4" w:space="0"/>
              <w:left w:val="single" w:color="auto" w:sz="4" w:space="0"/>
              <w:bottom w:val="single" w:color="auto" w:sz="4" w:space="0"/>
              <w:right w:val="single" w:color="auto" w:sz="4" w:space="0"/>
            </w:tcBorders>
            <w:shd w:val="clear" w:color="auto" w:fill="auto"/>
            <w:vAlign w:val="center"/>
          </w:tcPr>
          <w:p>
            <w:pPr>
              <w:spacing w:line="312" w:lineRule="auto"/>
              <w:jc w:val="center"/>
              <w:rPr>
                <w:rFonts w:ascii="华文中宋" w:hAnsi="华文中宋" w:eastAsia="华文中宋" w:cs="华文中宋"/>
                <w:szCs w:val="21"/>
              </w:rPr>
            </w:pPr>
            <w:r>
              <w:rPr>
                <w:rFonts w:hint="eastAsia" w:ascii="华文中宋" w:hAnsi="华文中宋" w:eastAsia="华文中宋" w:cs="华文中宋"/>
                <w:szCs w:val="21"/>
              </w:rPr>
              <w:t>合计</w:t>
            </w:r>
          </w:p>
        </w:tc>
        <w:tc>
          <w:tcPr>
            <w:tcW w:w="1001" w:type="pct"/>
            <w:tcBorders>
              <w:top w:val="single" w:color="auto" w:sz="4" w:space="0"/>
              <w:left w:val="single" w:color="auto" w:sz="4" w:space="0"/>
              <w:bottom w:val="single" w:color="auto" w:sz="4" w:space="0"/>
              <w:right w:val="single" w:color="auto" w:sz="4" w:space="0"/>
            </w:tcBorders>
            <w:shd w:val="clear" w:color="auto" w:fill="auto"/>
            <w:vAlign w:val="center"/>
          </w:tcPr>
          <w:p>
            <w:pPr>
              <w:spacing w:line="312" w:lineRule="auto"/>
              <w:jc w:val="center"/>
              <w:rPr>
                <w:rFonts w:ascii="华文中宋" w:hAnsi="华文中宋" w:eastAsia="华文中宋" w:cs="华文中宋"/>
                <w:szCs w:val="21"/>
              </w:rPr>
            </w:pPr>
            <w:r>
              <w:rPr>
                <w:rFonts w:hint="eastAsia" w:ascii="华文中宋" w:hAnsi="华文中宋" w:eastAsia="华文中宋" w:cs="华文中宋"/>
                <w:szCs w:val="21"/>
              </w:rPr>
              <w:t>82.67</w:t>
            </w:r>
          </w:p>
        </w:tc>
      </w:tr>
    </w:tbl>
    <w:p>
      <w:pPr>
        <w:pStyle w:val="5"/>
        <w:spacing w:before="0" w:after="0"/>
        <w:rPr>
          <w:rFonts w:ascii="华文中宋" w:hAnsi="华文中宋" w:eastAsia="华文中宋" w:cs="华文中宋"/>
          <w:sz w:val="28"/>
          <w:szCs w:val="28"/>
        </w:rPr>
      </w:pPr>
      <w:r>
        <w:rPr>
          <w:rFonts w:hint="eastAsia" w:ascii="华文中宋" w:hAnsi="华文中宋" w:eastAsia="华文中宋" w:cs="华文中宋"/>
          <w:sz w:val="28"/>
          <w:szCs w:val="28"/>
        </w:rPr>
        <w:t>4.5.4 电源规划</w:t>
      </w:r>
    </w:p>
    <w:p>
      <w:pPr>
        <w:spacing w:line="360" w:lineRule="auto"/>
        <w:ind w:firstLine="480"/>
        <w:rPr>
          <w:rFonts w:ascii="华文中宋" w:hAnsi="华文中宋" w:eastAsia="华文中宋" w:cs="华文中宋"/>
          <w:sz w:val="28"/>
          <w:szCs w:val="28"/>
        </w:rPr>
      </w:pPr>
      <w:bookmarkStart w:id="89" w:name="_Hlk126937779"/>
      <w:r>
        <w:rPr>
          <w:rFonts w:hint="eastAsia" w:ascii="华文中宋" w:hAnsi="华文中宋" w:eastAsia="华文中宋" w:cs="华文中宋"/>
          <w:sz w:val="28"/>
          <w:szCs w:val="28"/>
        </w:rPr>
        <w:t>根据园区电力系统的相关规划，园区范围内电力电源布置如下：</w:t>
      </w:r>
    </w:p>
    <w:p>
      <w:pPr>
        <w:spacing w:line="360" w:lineRule="auto"/>
        <w:ind w:firstLine="480"/>
        <w:rPr>
          <w:rFonts w:ascii="华文中宋" w:hAnsi="华文中宋" w:eastAsia="华文中宋" w:cs="华文中宋"/>
          <w:sz w:val="28"/>
          <w:szCs w:val="28"/>
        </w:rPr>
      </w:pPr>
      <w:r>
        <w:rPr>
          <w:rFonts w:hint="eastAsia" w:ascii="华文中宋" w:hAnsi="华文中宋" w:eastAsia="华文中宋" w:cs="华文中宋"/>
          <w:sz w:val="28"/>
          <w:szCs w:val="28"/>
        </w:rPr>
        <w:t>220KV变电站：保留现状五福220KV变电站，装机容量为2*150MVA+1*180MVA；保留现状顺达220KV变电站，装机容量为2*150MVA；新建220KV变电站一座，主变容量为1*180MVA。</w:t>
      </w:r>
    </w:p>
    <w:p>
      <w:pPr>
        <w:spacing w:line="360" w:lineRule="auto"/>
        <w:ind w:firstLine="480"/>
        <w:rPr>
          <w:rFonts w:ascii="华文中宋" w:hAnsi="华文中宋" w:eastAsia="华文中宋" w:cs="华文中宋"/>
          <w:sz w:val="28"/>
          <w:szCs w:val="28"/>
        </w:rPr>
      </w:pPr>
      <w:r>
        <w:rPr>
          <w:rFonts w:hint="eastAsia" w:ascii="华文中宋" w:hAnsi="华文中宋" w:eastAsia="华文中宋" w:cs="华文中宋"/>
          <w:sz w:val="28"/>
          <w:szCs w:val="28"/>
        </w:rPr>
        <w:t>110KV变电站：保留现状新华110KV变电站，装机容量为2*31.5MVA；新建110KV变电站一座，主变容量为2*40MVA。</w:t>
      </w:r>
    </w:p>
    <w:p>
      <w:pPr>
        <w:spacing w:line="360" w:lineRule="auto"/>
        <w:ind w:firstLine="480"/>
        <w:rPr>
          <w:rFonts w:ascii="华文中宋" w:hAnsi="华文中宋" w:eastAsia="华文中宋" w:cs="华文中宋"/>
          <w:sz w:val="28"/>
          <w:szCs w:val="28"/>
        </w:rPr>
      </w:pPr>
      <w:r>
        <w:rPr>
          <w:rFonts w:hint="eastAsia" w:ascii="华文中宋" w:hAnsi="华文中宋" w:eastAsia="华文中宋" w:cs="华文中宋"/>
          <w:sz w:val="28"/>
          <w:szCs w:val="28"/>
        </w:rPr>
        <w:t>内蒙古协鑫东立硅材料科技发展有限公司电力电源为厂区内2座220KV变电站。</w:t>
      </w:r>
    </w:p>
    <w:bookmarkEnd w:id="89"/>
    <w:p>
      <w:pPr>
        <w:pStyle w:val="5"/>
        <w:spacing w:before="0" w:after="0"/>
        <w:rPr>
          <w:rFonts w:ascii="华文中宋" w:hAnsi="华文中宋" w:eastAsia="华文中宋" w:cs="华文中宋"/>
          <w:sz w:val="28"/>
          <w:szCs w:val="28"/>
        </w:rPr>
      </w:pPr>
      <w:r>
        <w:rPr>
          <w:rFonts w:hint="eastAsia" w:ascii="华文中宋" w:hAnsi="华文中宋" w:eastAsia="华文中宋" w:cs="华文中宋"/>
          <w:sz w:val="28"/>
          <w:szCs w:val="28"/>
        </w:rPr>
        <w:t>4.5.5 高中压输配电</w:t>
      </w:r>
    </w:p>
    <w:p>
      <w:pPr>
        <w:spacing w:line="360" w:lineRule="auto"/>
        <w:ind w:firstLine="480"/>
        <w:rPr>
          <w:rFonts w:ascii="华文中宋" w:hAnsi="华文中宋" w:eastAsia="华文中宋" w:cs="华文中宋"/>
          <w:sz w:val="28"/>
          <w:szCs w:val="28"/>
        </w:rPr>
      </w:pPr>
      <w:r>
        <w:rPr>
          <w:rFonts w:hint="eastAsia" w:ascii="华文中宋" w:hAnsi="华文中宋" w:eastAsia="华文中宋" w:cs="华文中宋"/>
          <w:sz w:val="28"/>
          <w:szCs w:val="28"/>
        </w:rPr>
        <w:t>规划220千伏和110千伏变电站容量应能满足近远期乌达工业园区最大用电负荷的要求。</w:t>
      </w:r>
      <w:bookmarkStart w:id="90" w:name="_Hlk86333610"/>
      <w:r>
        <w:rPr>
          <w:rFonts w:hint="eastAsia" w:ascii="华文中宋" w:hAnsi="华文中宋" w:eastAsia="华文中宋" w:cs="华文中宋"/>
          <w:sz w:val="28"/>
          <w:szCs w:val="28"/>
        </w:rPr>
        <w:t>220千伏、110千伏配电线路采用架空线，高压架空线尽量采用紧凑型线路，以减少线路架空走廊，节约用地。</w:t>
      </w:r>
      <w:bookmarkEnd w:id="90"/>
    </w:p>
    <w:p>
      <w:pPr>
        <w:spacing w:line="360" w:lineRule="auto"/>
        <w:ind w:firstLine="480"/>
        <w:rPr>
          <w:rFonts w:ascii="华文中宋" w:hAnsi="华文中宋" w:eastAsia="华文中宋" w:cs="华文中宋"/>
          <w:sz w:val="28"/>
          <w:szCs w:val="28"/>
        </w:rPr>
      </w:pPr>
      <w:r>
        <w:rPr>
          <w:rFonts w:hint="eastAsia" w:ascii="华文中宋" w:hAnsi="华文中宋" w:eastAsia="华文中宋" w:cs="华文中宋"/>
          <w:sz w:val="28"/>
          <w:szCs w:val="28"/>
        </w:rPr>
        <w:t>规划A片区中压配电网由10千伏线路和10千伏变电设施组成。规划区内的10千伏配变电站主要采用环网供电，根据地块负荷值及其分布组成环网，开环运行。环网电源取自园区220千伏或110千伏变电站的不同10千伏母线段。规划考虑片区的远期发展需求，建议10千伏配电线路采用埋地敷设为主，沿人行道下设电缆管廊，并间隔一定距离预埋道路横穿管。对个别大用电户也可考虑采用35千伏线路供电。</w:t>
      </w:r>
    </w:p>
    <w:p>
      <w:pPr>
        <w:spacing w:line="360" w:lineRule="auto"/>
        <w:ind w:firstLine="480" w:firstLineChars="200"/>
        <w:jc w:val="center"/>
        <w:rPr>
          <w:rFonts w:ascii="华文中宋" w:hAnsi="华文中宋" w:eastAsia="华文中宋" w:cs="华文中宋"/>
          <w:sz w:val="24"/>
          <w:szCs w:val="24"/>
        </w:rPr>
      </w:pPr>
      <w:r>
        <w:rPr>
          <w:rFonts w:hint="eastAsia" w:ascii="华文中宋" w:hAnsi="华文中宋" w:eastAsia="华文中宋" w:cs="华文中宋"/>
          <w:sz w:val="24"/>
          <w:szCs w:val="24"/>
        </w:rPr>
        <w:t>表4-5-2 规划高压走廊控制宽度</w:t>
      </w:r>
    </w:p>
    <w:tbl>
      <w:tblPr>
        <w:tblStyle w:val="3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183"/>
        <w:gridCol w:w="61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26" w:type="pct"/>
            <w:shd w:val="clear" w:color="auto" w:fill="auto"/>
            <w:vAlign w:val="center"/>
          </w:tcPr>
          <w:p>
            <w:pPr>
              <w:spacing w:line="312" w:lineRule="auto"/>
              <w:jc w:val="center"/>
              <w:rPr>
                <w:rFonts w:ascii="华文中宋" w:hAnsi="华文中宋" w:eastAsia="华文中宋" w:cs="华文中宋"/>
                <w:szCs w:val="21"/>
              </w:rPr>
            </w:pPr>
            <w:r>
              <w:rPr>
                <w:rFonts w:hint="eastAsia" w:ascii="华文中宋" w:hAnsi="华文中宋" w:eastAsia="华文中宋" w:cs="华文中宋"/>
                <w:szCs w:val="21"/>
              </w:rPr>
              <w:t>线路电压等级(千伏)</w:t>
            </w:r>
          </w:p>
        </w:tc>
        <w:tc>
          <w:tcPr>
            <w:tcW w:w="2974" w:type="pct"/>
            <w:shd w:val="clear" w:color="auto" w:fill="auto"/>
            <w:vAlign w:val="center"/>
          </w:tcPr>
          <w:p>
            <w:pPr>
              <w:spacing w:line="312" w:lineRule="auto"/>
              <w:jc w:val="center"/>
              <w:rPr>
                <w:rFonts w:ascii="华文中宋" w:hAnsi="华文中宋" w:eastAsia="华文中宋" w:cs="华文中宋"/>
                <w:szCs w:val="21"/>
              </w:rPr>
            </w:pPr>
            <w:r>
              <w:rPr>
                <w:rFonts w:hint="eastAsia" w:ascii="华文中宋" w:hAnsi="华文中宋" w:eastAsia="华文中宋" w:cs="华文中宋"/>
                <w:szCs w:val="21"/>
              </w:rPr>
              <w:t>高压线走廊宽度(米)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26" w:type="pct"/>
            <w:shd w:val="clear" w:color="auto" w:fill="auto"/>
            <w:vAlign w:val="center"/>
          </w:tcPr>
          <w:p>
            <w:pPr>
              <w:spacing w:line="312" w:lineRule="auto"/>
              <w:jc w:val="center"/>
              <w:rPr>
                <w:rFonts w:ascii="华文中宋" w:hAnsi="华文中宋" w:eastAsia="华文中宋" w:cs="华文中宋"/>
                <w:szCs w:val="21"/>
              </w:rPr>
            </w:pPr>
            <w:r>
              <w:rPr>
                <w:rFonts w:hint="eastAsia" w:ascii="华文中宋" w:hAnsi="华文中宋" w:eastAsia="华文中宋" w:cs="华文中宋"/>
                <w:szCs w:val="21"/>
              </w:rPr>
              <w:t>500</w:t>
            </w:r>
          </w:p>
        </w:tc>
        <w:tc>
          <w:tcPr>
            <w:tcW w:w="2974" w:type="pct"/>
            <w:shd w:val="clear" w:color="auto" w:fill="auto"/>
            <w:vAlign w:val="center"/>
          </w:tcPr>
          <w:p>
            <w:pPr>
              <w:spacing w:line="312" w:lineRule="auto"/>
              <w:jc w:val="center"/>
              <w:rPr>
                <w:rFonts w:ascii="华文中宋" w:hAnsi="华文中宋" w:eastAsia="华文中宋" w:cs="华文中宋"/>
                <w:szCs w:val="21"/>
              </w:rPr>
            </w:pPr>
            <w:r>
              <w:rPr>
                <w:rFonts w:hint="eastAsia" w:ascii="华文中宋" w:hAnsi="华文中宋" w:eastAsia="华文中宋" w:cs="华文中宋"/>
                <w:szCs w:val="21"/>
              </w:rPr>
              <w:t>60-75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26" w:type="pct"/>
            <w:shd w:val="clear" w:color="auto" w:fill="auto"/>
            <w:vAlign w:val="center"/>
          </w:tcPr>
          <w:p>
            <w:pPr>
              <w:spacing w:line="312" w:lineRule="auto"/>
              <w:jc w:val="center"/>
              <w:rPr>
                <w:rFonts w:ascii="华文中宋" w:hAnsi="华文中宋" w:eastAsia="华文中宋" w:cs="华文中宋"/>
                <w:szCs w:val="21"/>
              </w:rPr>
            </w:pPr>
            <w:r>
              <w:rPr>
                <w:rFonts w:hint="eastAsia" w:ascii="华文中宋" w:hAnsi="华文中宋" w:eastAsia="华文中宋" w:cs="华文中宋"/>
                <w:szCs w:val="21"/>
              </w:rPr>
              <w:t>220</w:t>
            </w:r>
          </w:p>
        </w:tc>
        <w:tc>
          <w:tcPr>
            <w:tcW w:w="2974" w:type="pct"/>
            <w:shd w:val="clear" w:color="auto" w:fill="auto"/>
            <w:vAlign w:val="center"/>
          </w:tcPr>
          <w:p>
            <w:pPr>
              <w:spacing w:line="312" w:lineRule="auto"/>
              <w:jc w:val="center"/>
              <w:rPr>
                <w:rFonts w:ascii="华文中宋" w:hAnsi="华文中宋" w:eastAsia="华文中宋" w:cs="华文中宋"/>
                <w:szCs w:val="21"/>
              </w:rPr>
            </w:pPr>
            <w:r>
              <w:rPr>
                <w:rFonts w:hint="eastAsia" w:ascii="华文中宋" w:hAnsi="华文中宋" w:eastAsia="华文中宋" w:cs="华文中宋"/>
                <w:szCs w:val="21"/>
              </w:rPr>
              <w:t>30-40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26" w:type="pct"/>
            <w:shd w:val="clear" w:color="auto" w:fill="auto"/>
            <w:vAlign w:val="center"/>
          </w:tcPr>
          <w:p>
            <w:pPr>
              <w:spacing w:line="312" w:lineRule="auto"/>
              <w:jc w:val="center"/>
              <w:rPr>
                <w:rFonts w:ascii="华文中宋" w:hAnsi="华文中宋" w:eastAsia="华文中宋" w:cs="华文中宋"/>
                <w:szCs w:val="21"/>
              </w:rPr>
            </w:pPr>
            <w:r>
              <w:rPr>
                <w:rFonts w:hint="eastAsia" w:ascii="华文中宋" w:hAnsi="华文中宋" w:eastAsia="华文中宋" w:cs="华文中宋"/>
                <w:szCs w:val="21"/>
              </w:rPr>
              <w:t>110</w:t>
            </w:r>
          </w:p>
        </w:tc>
        <w:tc>
          <w:tcPr>
            <w:tcW w:w="2974" w:type="pct"/>
            <w:shd w:val="clear" w:color="auto" w:fill="auto"/>
            <w:vAlign w:val="center"/>
          </w:tcPr>
          <w:p>
            <w:pPr>
              <w:spacing w:line="312" w:lineRule="auto"/>
              <w:jc w:val="center"/>
              <w:rPr>
                <w:rFonts w:ascii="华文中宋" w:hAnsi="华文中宋" w:eastAsia="华文中宋" w:cs="华文中宋"/>
                <w:szCs w:val="21"/>
              </w:rPr>
            </w:pPr>
            <w:r>
              <w:rPr>
                <w:rFonts w:hint="eastAsia" w:ascii="华文中宋" w:hAnsi="华文中宋" w:eastAsia="华文中宋" w:cs="华文中宋"/>
                <w:szCs w:val="21"/>
              </w:rPr>
              <w:t>15-25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026" w:type="pct"/>
            <w:shd w:val="clear" w:color="auto" w:fill="auto"/>
            <w:vAlign w:val="center"/>
          </w:tcPr>
          <w:p>
            <w:pPr>
              <w:spacing w:line="312" w:lineRule="auto"/>
              <w:jc w:val="center"/>
              <w:rPr>
                <w:rFonts w:ascii="华文中宋" w:hAnsi="华文中宋" w:eastAsia="华文中宋" w:cs="华文中宋"/>
                <w:szCs w:val="21"/>
              </w:rPr>
            </w:pPr>
            <w:r>
              <w:rPr>
                <w:rFonts w:hint="eastAsia" w:ascii="华文中宋" w:hAnsi="华文中宋" w:eastAsia="华文中宋" w:cs="华文中宋"/>
                <w:szCs w:val="21"/>
              </w:rPr>
              <w:t>35</w:t>
            </w:r>
          </w:p>
        </w:tc>
        <w:tc>
          <w:tcPr>
            <w:tcW w:w="2974" w:type="pct"/>
            <w:shd w:val="clear" w:color="auto" w:fill="auto"/>
            <w:vAlign w:val="center"/>
          </w:tcPr>
          <w:p>
            <w:pPr>
              <w:spacing w:line="312" w:lineRule="auto"/>
              <w:jc w:val="center"/>
              <w:rPr>
                <w:rFonts w:ascii="华文中宋" w:hAnsi="华文中宋" w:eastAsia="华文中宋" w:cs="华文中宋"/>
                <w:szCs w:val="21"/>
              </w:rPr>
            </w:pPr>
            <w:r>
              <w:rPr>
                <w:rFonts w:hint="eastAsia" w:ascii="华文中宋" w:hAnsi="华文中宋" w:eastAsia="华文中宋" w:cs="华文中宋"/>
                <w:szCs w:val="21"/>
              </w:rPr>
              <w:t>15-20</w:t>
            </w:r>
          </w:p>
        </w:tc>
      </w:tr>
    </w:tbl>
    <w:p>
      <w:pPr>
        <w:pStyle w:val="4"/>
        <w:spacing w:before="260" w:after="260"/>
        <w:rPr>
          <w:rFonts w:ascii="华文中宋" w:hAnsi="华文中宋" w:eastAsia="华文中宋" w:cs="华文中宋"/>
        </w:rPr>
      </w:pPr>
      <w:bookmarkStart w:id="91" w:name="_Toc12982984"/>
      <w:bookmarkStart w:id="92" w:name="_Toc26599"/>
      <w:r>
        <w:rPr>
          <w:rFonts w:hint="eastAsia" w:ascii="华文中宋" w:hAnsi="华文中宋" w:eastAsia="华文中宋" w:cs="华文中宋"/>
        </w:rPr>
        <w:t>4.6 通信工程规划</w:t>
      </w:r>
      <w:bookmarkEnd w:id="91"/>
      <w:bookmarkEnd w:id="92"/>
    </w:p>
    <w:p>
      <w:pPr>
        <w:pStyle w:val="5"/>
        <w:spacing w:before="0" w:after="0"/>
        <w:rPr>
          <w:rFonts w:ascii="华文中宋" w:hAnsi="华文中宋" w:eastAsia="华文中宋" w:cs="华文中宋"/>
          <w:sz w:val="28"/>
          <w:szCs w:val="28"/>
        </w:rPr>
      </w:pPr>
      <w:r>
        <w:rPr>
          <w:rFonts w:hint="eastAsia" w:ascii="华文中宋" w:hAnsi="华文中宋" w:eastAsia="华文中宋" w:cs="华文中宋"/>
          <w:sz w:val="28"/>
          <w:szCs w:val="28"/>
        </w:rPr>
        <w:t>4.6.1 编制依据</w:t>
      </w:r>
    </w:p>
    <w:p>
      <w:pPr>
        <w:spacing w:line="360" w:lineRule="auto"/>
        <w:ind w:firstLine="480"/>
        <w:rPr>
          <w:rFonts w:ascii="华文中宋" w:hAnsi="华文中宋" w:eastAsia="华文中宋" w:cs="华文中宋"/>
          <w:sz w:val="28"/>
          <w:szCs w:val="28"/>
        </w:rPr>
      </w:pPr>
      <w:r>
        <w:rPr>
          <w:rFonts w:hint="eastAsia" w:ascii="华文中宋" w:hAnsi="华文中宋" w:eastAsia="华文中宋" w:cs="华文中宋"/>
          <w:sz w:val="28"/>
          <w:szCs w:val="28"/>
        </w:rPr>
        <w:t>（1）《城市通信工程规划规范》（GB/T50853-2013）</w:t>
      </w:r>
    </w:p>
    <w:p>
      <w:pPr>
        <w:spacing w:line="360" w:lineRule="auto"/>
        <w:ind w:firstLine="480"/>
        <w:rPr>
          <w:rFonts w:ascii="华文中宋" w:hAnsi="华文中宋" w:eastAsia="华文中宋" w:cs="华文中宋"/>
          <w:sz w:val="28"/>
          <w:szCs w:val="28"/>
        </w:rPr>
      </w:pPr>
      <w:r>
        <w:rPr>
          <w:rFonts w:hint="eastAsia" w:ascii="华文中宋" w:hAnsi="华文中宋" w:eastAsia="华文中宋" w:cs="华文中宋"/>
          <w:sz w:val="28"/>
          <w:szCs w:val="28"/>
        </w:rPr>
        <w:t>（2）《通信线路工程设计规范》（GB51158-2015）</w:t>
      </w:r>
    </w:p>
    <w:p>
      <w:pPr>
        <w:spacing w:line="360" w:lineRule="auto"/>
        <w:ind w:firstLine="480"/>
        <w:rPr>
          <w:rFonts w:ascii="华文中宋" w:hAnsi="华文中宋" w:eastAsia="华文中宋" w:cs="华文中宋"/>
          <w:sz w:val="28"/>
          <w:szCs w:val="28"/>
        </w:rPr>
      </w:pPr>
      <w:r>
        <w:rPr>
          <w:rFonts w:hint="eastAsia" w:ascii="华文中宋" w:hAnsi="华文中宋" w:eastAsia="华文中宋" w:cs="华文中宋"/>
          <w:sz w:val="28"/>
          <w:szCs w:val="28"/>
        </w:rPr>
        <w:t>（3）《综合布线系统工程设计规范》（GB50311-2016）</w:t>
      </w:r>
    </w:p>
    <w:p>
      <w:pPr>
        <w:pStyle w:val="5"/>
        <w:spacing w:before="0" w:after="0"/>
        <w:rPr>
          <w:rFonts w:ascii="华文中宋" w:hAnsi="华文中宋" w:eastAsia="华文中宋" w:cs="华文中宋"/>
          <w:sz w:val="28"/>
          <w:szCs w:val="28"/>
        </w:rPr>
      </w:pPr>
      <w:r>
        <w:rPr>
          <w:rFonts w:hint="eastAsia" w:ascii="华文中宋" w:hAnsi="华文中宋" w:eastAsia="华文中宋" w:cs="华文中宋"/>
          <w:sz w:val="28"/>
          <w:szCs w:val="28"/>
        </w:rPr>
        <w:t>4.6.2 电话容量预测</w:t>
      </w:r>
    </w:p>
    <w:p>
      <w:pPr>
        <w:spacing w:line="360" w:lineRule="auto"/>
        <w:ind w:firstLine="480"/>
        <w:rPr>
          <w:rFonts w:ascii="华文中宋" w:hAnsi="华文中宋" w:eastAsia="华文中宋" w:cs="华文中宋"/>
          <w:sz w:val="28"/>
          <w:szCs w:val="28"/>
        </w:rPr>
      </w:pPr>
      <w:r>
        <w:rPr>
          <w:rFonts w:hint="eastAsia" w:ascii="华文中宋" w:hAnsi="华文中宋" w:eastAsia="华文中宋" w:cs="华文中宋"/>
          <w:sz w:val="28"/>
          <w:szCs w:val="28"/>
        </w:rPr>
        <w:t>本次规划设计采用人口普及率法预测片区电话容量。远期规划职工人数为1万人，根据《城市通信工程规划规范》（GB/T50853-2013）的相关要求，固定电话主线普及率预测指标取40线/百人，移动电话普及率预测指标取100卡号/百人，宽带用户普及率预测指标取30户/百人。</w:t>
      </w:r>
      <w:bookmarkStart w:id="93" w:name="_Hlk126937818"/>
      <w:r>
        <w:rPr>
          <w:rFonts w:hint="eastAsia" w:ascii="华文中宋" w:hAnsi="华文中宋" w:eastAsia="华文中宋" w:cs="华文中宋"/>
          <w:sz w:val="28"/>
          <w:szCs w:val="28"/>
        </w:rPr>
        <w:t>则片区固定电话用户为0.4万门，移动电话用户为1万卡号，宽带用户为0.3万户，总电信用户为1.7万户。</w:t>
      </w:r>
    </w:p>
    <w:bookmarkEnd w:id="93"/>
    <w:p>
      <w:pPr>
        <w:pStyle w:val="5"/>
        <w:spacing w:before="0" w:after="0"/>
        <w:rPr>
          <w:rFonts w:ascii="华文中宋" w:hAnsi="华文中宋" w:eastAsia="华文中宋" w:cs="华文中宋"/>
          <w:sz w:val="28"/>
          <w:szCs w:val="28"/>
        </w:rPr>
      </w:pPr>
      <w:r>
        <w:rPr>
          <w:rFonts w:hint="eastAsia" w:ascii="华文中宋" w:hAnsi="华文中宋" w:eastAsia="华文中宋" w:cs="华文中宋"/>
          <w:sz w:val="28"/>
          <w:szCs w:val="28"/>
        </w:rPr>
        <w:t>4.6.3 通信局所规划</w:t>
      </w:r>
    </w:p>
    <w:p>
      <w:pPr>
        <w:spacing w:line="360" w:lineRule="auto"/>
        <w:ind w:firstLine="480"/>
        <w:rPr>
          <w:rFonts w:ascii="华文中宋" w:hAnsi="华文中宋" w:eastAsia="华文中宋" w:cs="华文中宋"/>
          <w:sz w:val="28"/>
          <w:szCs w:val="28"/>
        </w:rPr>
      </w:pPr>
      <w:r>
        <w:rPr>
          <w:rFonts w:hint="eastAsia" w:ascii="华文中宋" w:hAnsi="华文中宋" w:eastAsia="华文中宋" w:cs="华文中宋"/>
          <w:sz w:val="28"/>
          <w:szCs w:val="28"/>
        </w:rPr>
        <w:t>根据A片区用地布局规划及电信用户预测结果，并考虑服务半径的需要，本次规划不在片区内独立布置通信设施，统一由乌达区城区通信系统管理。</w:t>
      </w:r>
    </w:p>
    <w:p>
      <w:pPr>
        <w:pStyle w:val="5"/>
        <w:spacing w:before="0" w:after="0"/>
        <w:rPr>
          <w:rFonts w:ascii="华文中宋" w:hAnsi="华文中宋" w:eastAsia="华文中宋" w:cs="华文中宋"/>
          <w:sz w:val="28"/>
          <w:szCs w:val="28"/>
        </w:rPr>
      </w:pPr>
      <w:r>
        <w:rPr>
          <w:rFonts w:hint="eastAsia" w:ascii="华文中宋" w:hAnsi="华文中宋" w:eastAsia="华文中宋" w:cs="华文中宋"/>
          <w:sz w:val="28"/>
          <w:szCs w:val="28"/>
        </w:rPr>
        <w:t>4.6.4 电信网交接箱规划</w:t>
      </w:r>
    </w:p>
    <w:p>
      <w:pPr>
        <w:spacing w:line="360" w:lineRule="auto"/>
        <w:ind w:firstLine="480"/>
        <w:rPr>
          <w:rFonts w:ascii="华文中宋" w:hAnsi="华文中宋" w:eastAsia="华文中宋" w:cs="华文中宋"/>
          <w:sz w:val="28"/>
          <w:szCs w:val="28"/>
        </w:rPr>
      </w:pPr>
      <w:r>
        <w:rPr>
          <w:rFonts w:hint="eastAsia" w:ascii="华文中宋" w:hAnsi="华文中宋" w:eastAsia="华文中宋" w:cs="华文中宋"/>
          <w:sz w:val="28"/>
          <w:szCs w:val="28"/>
        </w:rPr>
        <w:t>规划A片区内用户线路网交接方式采用交接箱交接，交接箱箱体容量采用800对。交接箱具体位置在修建性详细规划中落实。</w:t>
      </w:r>
    </w:p>
    <w:p>
      <w:pPr>
        <w:pStyle w:val="5"/>
        <w:spacing w:before="0" w:after="0"/>
        <w:rPr>
          <w:rFonts w:ascii="华文中宋" w:hAnsi="华文中宋" w:eastAsia="华文中宋" w:cs="华文中宋"/>
          <w:sz w:val="28"/>
          <w:szCs w:val="28"/>
        </w:rPr>
      </w:pPr>
      <w:r>
        <w:rPr>
          <w:rFonts w:hint="eastAsia" w:ascii="华文中宋" w:hAnsi="华文中宋" w:eastAsia="华文中宋" w:cs="华文中宋"/>
          <w:sz w:val="28"/>
          <w:szCs w:val="28"/>
        </w:rPr>
        <w:t>4.6.5 通信线路</w:t>
      </w:r>
    </w:p>
    <w:p>
      <w:pPr>
        <w:spacing w:line="360" w:lineRule="auto"/>
        <w:ind w:firstLine="560" w:firstLineChars="200"/>
        <w:rPr>
          <w:rFonts w:ascii="华文中宋" w:hAnsi="华文中宋" w:eastAsia="华文中宋" w:cs="华文中宋"/>
          <w:sz w:val="28"/>
          <w:szCs w:val="28"/>
        </w:rPr>
      </w:pPr>
      <w:r>
        <w:rPr>
          <w:rFonts w:hint="eastAsia" w:ascii="华文中宋" w:hAnsi="华文中宋" w:eastAsia="华文中宋" w:cs="华文中宋"/>
          <w:sz w:val="28"/>
          <w:szCs w:val="28"/>
        </w:rPr>
        <w:t>规划A片区电信线路采用光缆的形式埋地敷设，光缆连接到电话集中用户。规划电信管道管孔数须满足电话光缆、数据通信、其它通信、广播电视和备用线路的敷设需要，并适当留有余地。电信缆线管道容量主干道采用14孔，次干道按10孔考虑。</w:t>
      </w:r>
    </w:p>
    <w:p>
      <w:pPr>
        <w:pStyle w:val="5"/>
        <w:spacing w:before="0" w:after="0"/>
        <w:rPr>
          <w:rFonts w:ascii="华文中宋" w:hAnsi="华文中宋" w:eastAsia="华文中宋" w:cs="华文中宋"/>
          <w:sz w:val="28"/>
          <w:szCs w:val="28"/>
        </w:rPr>
      </w:pPr>
      <w:r>
        <w:rPr>
          <w:rFonts w:hint="eastAsia" w:ascii="华文中宋" w:hAnsi="华文中宋" w:eastAsia="华文中宋" w:cs="华文中宋"/>
          <w:sz w:val="28"/>
          <w:szCs w:val="28"/>
        </w:rPr>
        <w:t>4.6.6 综合通信线路规划</w:t>
      </w:r>
    </w:p>
    <w:p>
      <w:pPr>
        <w:spacing w:line="360" w:lineRule="auto"/>
        <w:ind w:firstLine="480"/>
        <w:rPr>
          <w:rFonts w:ascii="华文中宋" w:hAnsi="华文中宋" w:eastAsia="华文中宋" w:cs="华文中宋"/>
          <w:sz w:val="28"/>
          <w:szCs w:val="28"/>
        </w:rPr>
      </w:pPr>
      <w:r>
        <w:rPr>
          <w:rFonts w:hint="eastAsia" w:ascii="华文中宋" w:hAnsi="华文中宋" w:eastAsia="华文中宋" w:cs="华文中宋"/>
          <w:sz w:val="28"/>
          <w:szCs w:val="28"/>
        </w:rPr>
        <w:t>在所有新建道路的两侧建设综合信息管道。城建和市政、通信、广电等各部门共同协商，将电信、联通、移动、有线电视等所有信息网络均纳入其中，统筹规划，同步施工，按需分配。</w:t>
      </w:r>
    </w:p>
    <w:p>
      <w:pPr>
        <w:spacing w:line="360" w:lineRule="auto"/>
        <w:ind w:firstLine="480"/>
        <w:rPr>
          <w:rFonts w:ascii="华文中宋" w:hAnsi="华文中宋" w:eastAsia="华文中宋" w:cs="华文中宋"/>
          <w:sz w:val="28"/>
          <w:szCs w:val="28"/>
        </w:rPr>
      </w:pPr>
      <w:r>
        <w:rPr>
          <w:rFonts w:hint="eastAsia" w:ascii="华文中宋" w:hAnsi="华文中宋" w:eastAsia="华文中宋" w:cs="华文中宋"/>
          <w:sz w:val="28"/>
          <w:szCs w:val="28"/>
        </w:rPr>
        <w:t>有线电视传输线与电信线路同路埋地。</w:t>
      </w:r>
    </w:p>
    <w:p>
      <w:pPr>
        <w:pStyle w:val="4"/>
        <w:spacing w:before="260" w:after="260"/>
        <w:rPr>
          <w:rFonts w:ascii="华文中宋" w:hAnsi="华文中宋" w:eastAsia="华文中宋" w:cs="华文中宋"/>
        </w:rPr>
      </w:pPr>
      <w:bookmarkStart w:id="94" w:name="_Toc12982985"/>
      <w:bookmarkStart w:id="95" w:name="_Toc9604"/>
      <w:r>
        <w:rPr>
          <w:rFonts w:hint="eastAsia" w:ascii="华文中宋" w:hAnsi="华文中宋" w:eastAsia="华文中宋" w:cs="华文中宋"/>
        </w:rPr>
        <w:t>4.7 燃气工程规划</w:t>
      </w:r>
      <w:bookmarkEnd w:id="94"/>
      <w:bookmarkEnd w:id="95"/>
    </w:p>
    <w:p>
      <w:pPr>
        <w:pStyle w:val="5"/>
        <w:spacing w:before="0" w:after="0"/>
        <w:rPr>
          <w:rFonts w:ascii="华文中宋" w:hAnsi="华文中宋" w:eastAsia="华文中宋" w:cs="华文中宋"/>
          <w:sz w:val="28"/>
          <w:szCs w:val="28"/>
        </w:rPr>
      </w:pPr>
      <w:r>
        <w:rPr>
          <w:rFonts w:hint="eastAsia" w:ascii="华文中宋" w:hAnsi="华文中宋" w:eastAsia="华文中宋" w:cs="华文中宋"/>
          <w:sz w:val="28"/>
          <w:szCs w:val="28"/>
        </w:rPr>
        <w:t>4.7.1 编制依据</w:t>
      </w:r>
    </w:p>
    <w:p>
      <w:pPr>
        <w:spacing w:line="360" w:lineRule="auto"/>
        <w:ind w:firstLine="560" w:firstLineChars="200"/>
        <w:rPr>
          <w:rFonts w:ascii="华文中宋" w:hAnsi="华文中宋" w:eastAsia="华文中宋" w:cs="华文中宋"/>
          <w:sz w:val="28"/>
          <w:szCs w:val="28"/>
        </w:rPr>
      </w:pPr>
      <w:r>
        <w:rPr>
          <w:rFonts w:hint="eastAsia" w:ascii="华文中宋" w:hAnsi="华文中宋" w:eastAsia="华文中宋" w:cs="华文中宋"/>
          <w:sz w:val="28"/>
          <w:szCs w:val="28"/>
        </w:rPr>
        <w:t>（1）《城镇燃气规划规范》（GB/T51098-2015）</w:t>
      </w:r>
    </w:p>
    <w:p>
      <w:pPr>
        <w:spacing w:line="360" w:lineRule="auto"/>
        <w:ind w:firstLine="560" w:firstLineChars="200"/>
        <w:rPr>
          <w:rFonts w:ascii="华文中宋" w:hAnsi="华文中宋" w:eastAsia="华文中宋" w:cs="华文中宋"/>
          <w:sz w:val="28"/>
          <w:szCs w:val="28"/>
        </w:rPr>
      </w:pPr>
      <w:r>
        <w:rPr>
          <w:rFonts w:hint="eastAsia" w:ascii="华文中宋" w:hAnsi="华文中宋" w:eastAsia="华文中宋" w:cs="华文中宋"/>
          <w:sz w:val="28"/>
          <w:szCs w:val="28"/>
        </w:rPr>
        <w:t>（2）《城镇燃气设计规范》（GB50028-2006）（2020年版）</w:t>
      </w:r>
    </w:p>
    <w:p>
      <w:pPr>
        <w:spacing w:line="360" w:lineRule="auto"/>
        <w:ind w:firstLine="560" w:firstLineChars="200"/>
        <w:rPr>
          <w:rFonts w:ascii="华文中宋" w:hAnsi="华文中宋" w:eastAsia="华文中宋" w:cs="华文中宋"/>
          <w:sz w:val="28"/>
          <w:szCs w:val="28"/>
        </w:rPr>
      </w:pPr>
      <w:r>
        <w:rPr>
          <w:rFonts w:hint="eastAsia" w:ascii="华文中宋" w:hAnsi="华文中宋" w:eastAsia="华文中宋" w:cs="华文中宋"/>
          <w:sz w:val="28"/>
          <w:szCs w:val="28"/>
        </w:rPr>
        <w:t>（3）《城镇燃气输配工程施工及验收规范》（CJJ33-2005）</w:t>
      </w:r>
    </w:p>
    <w:p>
      <w:pPr>
        <w:spacing w:line="360" w:lineRule="auto"/>
        <w:ind w:firstLine="560" w:firstLineChars="200"/>
        <w:rPr>
          <w:rFonts w:ascii="华文中宋" w:hAnsi="华文中宋" w:eastAsia="华文中宋" w:cs="华文中宋"/>
          <w:sz w:val="28"/>
          <w:szCs w:val="28"/>
        </w:rPr>
      </w:pPr>
      <w:r>
        <w:rPr>
          <w:rFonts w:hint="eastAsia" w:ascii="华文中宋" w:hAnsi="华文中宋" w:eastAsia="华文中宋" w:cs="华文中宋"/>
          <w:sz w:val="28"/>
          <w:szCs w:val="28"/>
        </w:rPr>
        <w:t>（4）《输气管道工程设计规范》（GB50251-2015）</w:t>
      </w:r>
    </w:p>
    <w:p>
      <w:pPr>
        <w:spacing w:line="360" w:lineRule="auto"/>
        <w:ind w:firstLine="560" w:firstLineChars="200"/>
        <w:rPr>
          <w:rFonts w:ascii="华文中宋" w:hAnsi="华文中宋" w:eastAsia="华文中宋" w:cs="华文中宋"/>
          <w:sz w:val="28"/>
          <w:szCs w:val="28"/>
        </w:rPr>
      </w:pPr>
      <w:r>
        <w:rPr>
          <w:rFonts w:hint="eastAsia" w:ascii="华文中宋" w:hAnsi="华文中宋" w:eastAsia="华文中宋" w:cs="华文中宋"/>
          <w:sz w:val="28"/>
          <w:szCs w:val="28"/>
        </w:rPr>
        <w:t>（5）《石油天然气工程设计防火规范》（GB50183-2004）</w:t>
      </w:r>
    </w:p>
    <w:p>
      <w:pPr>
        <w:pStyle w:val="5"/>
        <w:spacing w:before="0" w:after="0"/>
        <w:rPr>
          <w:rFonts w:ascii="华文中宋" w:hAnsi="华文中宋" w:eastAsia="华文中宋" w:cs="华文中宋"/>
          <w:sz w:val="28"/>
          <w:szCs w:val="28"/>
        </w:rPr>
      </w:pPr>
      <w:r>
        <w:rPr>
          <w:rFonts w:hint="eastAsia" w:ascii="华文中宋" w:hAnsi="华文中宋" w:eastAsia="华文中宋" w:cs="华文中宋"/>
          <w:sz w:val="28"/>
          <w:szCs w:val="28"/>
        </w:rPr>
        <w:t>4.7.2 现状燃气</w:t>
      </w:r>
    </w:p>
    <w:p>
      <w:pPr>
        <w:spacing w:line="360" w:lineRule="auto"/>
        <w:ind w:firstLine="560" w:firstLineChars="200"/>
        <w:rPr>
          <w:rFonts w:ascii="华文中宋" w:hAnsi="华文中宋" w:eastAsia="华文中宋" w:cs="华文中宋"/>
          <w:sz w:val="28"/>
          <w:szCs w:val="28"/>
        </w:rPr>
      </w:pPr>
      <w:r>
        <w:rPr>
          <w:rFonts w:hint="eastAsia" w:ascii="华文中宋" w:hAnsi="华文中宋" w:eastAsia="华文中宋" w:cs="华文中宋"/>
          <w:sz w:val="28"/>
          <w:szCs w:val="28"/>
        </w:rPr>
        <w:t>乌海凯洁燃气有限责任公司（以下简称公司）是乌海市政府授权的管道天然气特许经营企业，成立于2007年，是内蒙古西部天然气股份有限公司的全资子公司。公司主要经营管道天然气，压缩天然气（CNG）、液化天然气（LNG）以及其相关工程的建设与运营。公司经营的天然气主要应用于民用、车用、商业、工业等领域，气源来自长庆气田，由</w:t>
      </w:r>
      <w:bookmarkStart w:id="96" w:name="_Hlk126938258"/>
      <w:r>
        <w:rPr>
          <w:rFonts w:hint="eastAsia" w:ascii="华文中宋" w:hAnsi="华文中宋" w:eastAsia="华文中宋" w:cs="华文中宋"/>
          <w:sz w:val="28"/>
          <w:szCs w:val="28"/>
        </w:rPr>
        <w:t>长（庆）-乌（海）-临（河）高压管道输配，现输配能力为每年6亿立方米，近期将达到10亿立方米。</w:t>
      </w:r>
      <w:bookmarkEnd w:id="96"/>
      <w:r>
        <w:rPr>
          <w:rFonts w:hint="eastAsia" w:ascii="华文中宋" w:hAnsi="华文中宋" w:eastAsia="华文中宋" w:cs="华文中宋"/>
          <w:sz w:val="28"/>
          <w:szCs w:val="28"/>
        </w:rPr>
        <w:t>公司目前拥有天然气门站4座，CNG/LNG加气站共8座，天然气管道364公里，为乌海市三区工业、商业及居民用户供气，同时还为阿拉善盟工业园区供应天然气。服务的居民用户约5万户，为乌海市及周边地区天然气市场需求提供可靠的保证。</w:t>
      </w:r>
    </w:p>
    <w:p>
      <w:pPr>
        <w:spacing w:line="360" w:lineRule="auto"/>
        <w:ind w:firstLine="560" w:firstLineChars="200"/>
        <w:rPr>
          <w:rFonts w:ascii="华文中宋" w:hAnsi="华文中宋" w:eastAsia="华文中宋" w:cs="华文中宋"/>
          <w:sz w:val="28"/>
          <w:szCs w:val="28"/>
        </w:rPr>
      </w:pPr>
      <w:bookmarkStart w:id="97" w:name="_Hlk126938204"/>
      <w:r>
        <w:rPr>
          <w:rFonts w:hint="eastAsia" w:ascii="华文中宋" w:hAnsi="华文中宋" w:eastAsia="华文中宋" w:cs="华文中宋"/>
          <w:sz w:val="28"/>
          <w:szCs w:val="28"/>
        </w:rPr>
        <w:t>乌达门站上游为乌海分输站至乌达门站的长输管线，管径为DN300，设计压力为6.3MPa，工作压力为4.0MPa，在门站进口为乌斯太预留接口DN200。乌达门站供汽能力为4亿立方米/年，管网输气能力为2亿立方米/年，目前剩余用量2.0-2.5亿立方米/年。门站工艺采用两级调压机制，一级调压预留压力为1.6MPa，二级调压出口压力为0.4 MPa。</w:t>
      </w:r>
    </w:p>
    <w:bookmarkEnd w:id="97"/>
    <w:p>
      <w:pPr>
        <w:spacing w:line="360" w:lineRule="auto"/>
        <w:ind w:firstLine="560" w:firstLineChars="200"/>
        <w:rPr>
          <w:rFonts w:ascii="华文中宋" w:hAnsi="华文中宋" w:eastAsia="华文中宋" w:cs="华文中宋"/>
          <w:sz w:val="28"/>
          <w:szCs w:val="28"/>
        </w:rPr>
      </w:pPr>
      <w:r>
        <w:rPr>
          <w:rFonts w:hint="eastAsia" w:ascii="华文中宋" w:hAnsi="华文中宋" w:eastAsia="华文中宋" w:cs="华文中宋"/>
          <w:sz w:val="28"/>
          <w:szCs w:val="28"/>
        </w:rPr>
        <w:t>园区现状铺设管网总长约32.5公里，现状沿连心路、中成路、能源路、海神路、化工路等敷设有次高压燃气管，压力为1.6MPa，管径为DN200-DN300。</w:t>
      </w:r>
    </w:p>
    <w:p>
      <w:pPr>
        <w:pStyle w:val="5"/>
        <w:spacing w:before="0" w:after="0"/>
        <w:rPr>
          <w:rFonts w:ascii="华文中宋" w:hAnsi="华文中宋" w:eastAsia="华文中宋" w:cs="华文中宋"/>
          <w:sz w:val="28"/>
          <w:szCs w:val="28"/>
        </w:rPr>
      </w:pPr>
      <w:r>
        <w:rPr>
          <w:rFonts w:hint="eastAsia" w:ascii="华文中宋" w:hAnsi="华文中宋" w:eastAsia="华文中宋" w:cs="华文中宋"/>
          <w:sz w:val="28"/>
          <w:szCs w:val="28"/>
        </w:rPr>
        <w:t>4.7.3 燃气需求预测</w:t>
      </w:r>
    </w:p>
    <w:p>
      <w:pPr>
        <w:spacing w:line="360" w:lineRule="auto"/>
        <w:ind w:firstLine="560" w:firstLineChars="200"/>
        <w:rPr>
          <w:rFonts w:ascii="华文中宋" w:hAnsi="华文中宋" w:eastAsia="华文中宋" w:cs="华文中宋"/>
          <w:sz w:val="28"/>
          <w:szCs w:val="28"/>
        </w:rPr>
      </w:pPr>
      <w:r>
        <w:rPr>
          <w:rFonts w:hint="eastAsia" w:ascii="华文中宋" w:hAnsi="华文中宋" w:eastAsia="华文中宋" w:cs="华文中宋"/>
          <w:sz w:val="28"/>
          <w:szCs w:val="28"/>
        </w:rPr>
        <w:t>由于工业用气随工业形式生产类型的不同有较大区别，需根据主要企业用气量的规模进行预测。</w:t>
      </w:r>
    </w:p>
    <w:p>
      <w:pPr>
        <w:spacing w:line="360" w:lineRule="auto"/>
        <w:ind w:firstLine="480" w:firstLineChars="200"/>
        <w:jc w:val="center"/>
        <w:rPr>
          <w:rFonts w:ascii="华文中宋" w:hAnsi="华文中宋" w:eastAsia="华文中宋" w:cs="华文中宋"/>
          <w:sz w:val="24"/>
          <w:szCs w:val="24"/>
        </w:rPr>
      </w:pPr>
      <w:r>
        <w:rPr>
          <w:rFonts w:hint="eastAsia" w:ascii="华文中宋" w:hAnsi="华文中宋" w:eastAsia="华文中宋" w:cs="华文中宋"/>
          <w:sz w:val="24"/>
          <w:szCs w:val="24"/>
        </w:rPr>
        <w:t>表4-7-1 乌达工业园区已提供企业用气量情况</w:t>
      </w:r>
    </w:p>
    <w:tbl>
      <w:tblPr>
        <w:tblStyle w:val="3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694"/>
        <w:gridCol w:w="3879"/>
        <w:gridCol w:w="27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8" w:hRule="atLeast"/>
        </w:trPr>
        <w:tc>
          <w:tcPr>
            <w:tcW w:w="1789" w:type="pct"/>
            <w:shd w:val="clear" w:color="auto" w:fill="auto"/>
            <w:noWrap/>
          </w:tcPr>
          <w:p>
            <w:pPr>
              <w:widowControl/>
              <w:jc w:val="center"/>
              <w:rPr>
                <w:rFonts w:ascii="华文中宋" w:hAnsi="华文中宋" w:eastAsia="华文中宋" w:cs="华文中宋"/>
                <w:bCs/>
                <w:kern w:val="0"/>
                <w:szCs w:val="21"/>
              </w:rPr>
            </w:pPr>
            <w:r>
              <w:rPr>
                <w:rFonts w:hint="eastAsia" w:ascii="华文中宋" w:hAnsi="华文中宋" w:eastAsia="华文中宋" w:cs="华文中宋"/>
                <w:bCs/>
                <w:kern w:val="0"/>
                <w:szCs w:val="21"/>
              </w:rPr>
              <w:t>企业名称</w:t>
            </w:r>
          </w:p>
        </w:tc>
        <w:tc>
          <w:tcPr>
            <w:tcW w:w="1879" w:type="pct"/>
            <w:shd w:val="clear" w:color="auto" w:fill="auto"/>
            <w:noWrap/>
          </w:tcPr>
          <w:p>
            <w:pPr>
              <w:widowControl/>
              <w:jc w:val="center"/>
              <w:rPr>
                <w:rFonts w:ascii="华文中宋" w:hAnsi="华文中宋" w:eastAsia="华文中宋" w:cs="华文中宋"/>
                <w:bCs/>
                <w:kern w:val="0"/>
                <w:szCs w:val="21"/>
              </w:rPr>
            </w:pPr>
            <w:r>
              <w:rPr>
                <w:rFonts w:hint="eastAsia" w:ascii="华文中宋" w:hAnsi="华文中宋" w:eastAsia="华文中宋" w:cs="华文中宋"/>
                <w:bCs/>
                <w:kern w:val="0"/>
                <w:szCs w:val="21"/>
              </w:rPr>
              <w:t>年用气量（万Nm³）</w:t>
            </w:r>
          </w:p>
        </w:tc>
        <w:tc>
          <w:tcPr>
            <w:tcW w:w="1332" w:type="pct"/>
            <w:shd w:val="clear" w:color="auto" w:fill="auto"/>
            <w:noWrap/>
          </w:tcPr>
          <w:p>
            <w:pPr>
              <w:widowControl/>
              <w:jc w:val="center"/>
              <w:rPr>
                <w:rFonts w:ascii="华文中宋" w:hAnsi="华文中宋" w:eastAsia="华文中宋" w:cs="华文中宋"/>
                <w:bCs/>
                <w:kern w:val="0"/>
                <w:szCs w:val="21"/>
              </w:rPr>
            </w:pPr>
            <w:r>
              <w:rPr>
                <w:rFonts w:hint="eastAsia" w:ascii="华文中宋" w:hAnsi="华文中宋" w:eastAsia="华文中宋" w:cs="华文中宋"/>
                <w:bCs/>
                <w:kern w:val="0"/>
                <w:szCs w:val="21"/>
              </w:rPr>
              <w:t>主要产品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8" w:hRule="atLeast"/>
        </w:trPr>
        <w:tc>
          <w:tcPr>
            <w:tcW w:w="1789" w:type="pct"/>
            <w:shd w:val="clear" w:color="auto" w:fill="auto"/>
            <w:noWrap/>
          </w:tcPr>
          <w:p>
            <w:pPr>
              <w:widowControl/>
              <w:jc w:val="center"/>
              <w:rPr>
                <w:rFonts w:ascii="华文中宋" w:hAnsi="华文中宋" w:eastAsia="华文中宋" w:cs="华文中宋"/>
                <w:bCs/>
                <w:kern w:val="0"/>
                <w:szCs w:val="21"/>
              </w:rPr>
            </w:pPr>
            <w:r>
              <w:rPr>
                <w:rFonts w:hint="eastAsia" w:ascii="华文中宋" w:hAnsi="华文中宋" w:eastAsia="华文中宋" w:cs="华文中宋"/>
                <w:bCs/>
                <w:kern w:val="0"/>
                <w:szCs w:val="21"/>
              </w:rPr>
              <w:t xml:space="preserve">内蒙古东源科技有限公司 </w:t>
            </w:r>
          </w:p>
        </w:tc>
        <w:tc>
          <w:tcPr>
            <w:tcW w:w="1879" w:type="pct"/>
            <w:shd w:val="clear" w:color="auto" w:fill="auto"/>
            <w:noWrap/>
          </w:tcPr>
          <w:p>
            <w:pPr>
              <w:widowControl/>
              <w:jc w:val="center"/>
              <w:rPr>
                <w:rFonts w:ascii="华文中宋" w:hAnsi="华文中宋" w:eastAsia="华文中宋" w:cs="华文中宋"/>
                <w:bCs/>
                <w:kern w:val="0"/>
                <w:szCs w:val="21"/>
              </w:rPr>
            </w:pPr>
            <w:r>
              <w:rPr>
                <w:rFonts w:hint="eastAsia" w:ascii="华文中宋" w:hAnsi="华文中宋" w:eastAsia="华文中宋" w:cs="华文中宋"/>
                <w:bCs/>
                <w:kern w:val="0"/>
                <w:szCs w:val="21"/>
              </w:rPr>
              <w:t>0.2</w:t>
            </w:r>
          </w:p>
        </w:tc>
        <w:tc>
          <w:tcPr>
            <w:tcW w:w="1332" w:type="pct"/>
            <w:shd w:val="clear" w:color="auto" w:fill="auto"/>
            <w:noWrap/>
          </w:tcPr>
          <w:p>
            <w:pPr>
              <w:widowControl/>
              <w:jc w:val="center"/>
              <w:rPr>
                <w:rFonts w:ascii="华文中宋" w:hAnsi="华文中宋" w:eastAsia="华文中宋" w:cs="华文中宋"/>
                <w:bCs/>
                <w:kern w:val="0"/>
                <w:szCs w:val="21"/>
              </w:rPr>
            </w:pPr>
            <w:r>
              <w:rPr>
                <w:rFonts w:hint="eastAsia" w:ascii="华文中宋" w:hAnsi="华文中宋" w:eastAsia="华文中宋" w:cs="华文中宋"/>
                <w:bCs/>
                <w:kern w:val="0"/>
                <w:szCs w:val="21"/>
              </w:rPr>
              <w:t>BDO（1.4-丁二醇）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8" w:hRule="atLeast"/>
        </w:trPr>
        <w:tc>
          <w:tcPr>
            <w:tcW w:w="1789" w:type="pct"/>
            <w:shd w:val="clear" w:color="auto" w:fill="auto"/>
            <w:noWrap/>
          </w:tcPr>
          <w:p>
            <w:pPr>
              <w:widowControl/>
              <w:jc w:val="center"/>
              <w:rPr>
                <w:rFonts w:ascii="华文中宋" w:hAnsi="华文中宋" w:eastAsia="华文中宋" w:cs="华文中宋"/>
                <w:bCs/>
                <w:kern w:val="0"/>
                <w:szCs w:val="21"/>
              </w:rPr>
            </w:pPr>
            <w:r>
              <w:rPr>
                <w:rFonts w:hint="eastAsia" w:ascii="华文中宋" w:hAnsi="华文中宋" w:eastAsia="华文中宋" w:cs="华文中宋"/>
                <w:bCs/>
                <w:kern w:val="0"/>
                <w:szCs w:val="21"/>
              </w:rPr>
              <w:t>内蒙古宜化有限公司</w:t>
            </w:r>
          </w:p>
        </w:tc>
        <w:tc>
          <w:tcPr>
            <w:tcW w:w="1879" w:type="pct"/>
            <w:shd w:val="clear" w:color="auto" w:fill="auto"/>
            <w:noWrap/>
          </w:tcPr>
          <w:p>
            <w:pPr>
              <w:widowControl/>
              <w:jc w:val="center"/>
              <w:rPr>
                <w:rFonts w:ascii="华文中宋" w:hAnsi="华文中宋" w:eastAsia="华文中宋" w:cs="华文中宋"/>
                <w:bCs/>
                <w:kern w:val="0"/>
                <w:szCs w:val="21"/>
              </w:rPr>
            </w:pPr>
            <w:r>
              <w:rPr>
                <w:rFonts w:hint="eastAsia" w:ascii="华文中宋" w:hAnsi="华文中宋" w:eastAsia="华文中宋" w:cs="华文中宋"/>
                <w:bCs/>
                <w:kern w:val="0"/>
                <w:szCs w:val="21"/>
              </w:rPr>
              <w:t>3600</w:t>
            </w:r>
          </w:p>
        </w:tc>
        <w:tc>
          <w:tcPr>
            <w:tcW w:w="1332" w:type="pct"/>
            <w:shd w:val="clear" w:color="auto" w:fill="auto"/>
            <w:noWrap/>
          </w:tcPr>
          <w:p>
            <w:pPr>
              <w:widowControl/>
              <w:jc w:val="center"/>
              <w:rPr>
                <w:rFonts w:ascii="华文中宋" w:hAnsi="华文中宋" w:eastAsia="华文中宋" w:cs="华文中宋"/>
                <w:bCs/>
                <w:kern w:val="0"/>
                <w:szCs w:val="21"/>
              </w:rPr>
            </w:pPr>
            <w:r>
              <w:rPr>
                <w:rFonts w:hint="eastAsia" w:ascii="华文中宋" w:hAnsi="华文中宋" w:eastAsia="华文中宋" w:cs="华文中宋"/>
                <w:bCs/>
                <w:kern w:val="0"/>
                <w:szCs w:val="21"/>
              </w:rPr>
              <w:t>烧碱</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8" w:hRule="atLeast"/>
        </w:trPr>
        <w:tc>
          <w:tcPr>
            <w:tcW w:w="1789" w:type="pct"/>
            <w:shd w:val="clear" w:color="auto" w:fill="auto"/>
            <w:noWrap/>
          </w:tcPr>
          <w:p>
            <w:pPr>
              <w:widowControl/>
              <w:jc w:val="center"/>
              <w:rPr>
                <w:rFonts w:ascii="华文中宋" w:hAnsi="华文中宋" w:eastAsia="华文中宋" w:cs="华文中宋"/>
                <w:bCs/>
                <w:kern w:val="0"/>
                <w:szCs w:val="21"/>
              </w:rPr>
            </w:pPr>
            <w:r>
              <w:rPr>
                <w:rFonts w:hint="eastAsia" w:ascii="华文中宋" w:hAnsi="华文中宋" w:eastAsia="华文中宋" w:cs="华文中宋"/>
                <w:bCs/>
                <w:kern w:val="0"/>
                <w:szCs w:val="21"/>
              </w:rPr>
              <w:t>内蒙古恒业成有机硅有限公司</w:t>
            </w:r>
          </w:p>
        </w:tc>
        <w:tc>
          <w:tcPr>
            <w:tcW w:w="1879" w:type="pct"/>
            <w:shd w:val="clear" w:color="auto" w:fill="auto"/>
            <w:noWrap/>
          </w:tcPr>
          <w:p>
            <w:pPr>
              <w:widowControl/>
              <w:jc w:val="center"/>
              <w:rPr>
                <w:rFonts w:ascii="华文中宋" w:hAnsi="华文中宋" w:eastAsia="华文中宋" w:cs="华文中宋"/>
                <w:bCs/>
                <w:kern w:val="0"/>
                <w:szCs w:val="21"/>
              </w:rPr>
            </w:pPr>
            <w:r>
              <w:rPr>
                <w:rFonts w:hint="eastAsia" w:ascii="华文中宋" w:hAnsi="华文中宋" w:eastAsia="华文中宋" w:cs="华文中宋"/>
                <w:bCs/>
                <w:kern w:val="0"/>
                <w:szCs w:val="21"/>
              </w:rPr>
              <w:t>1800</w:t>
            </w:r>
          </w:p>
        </w:tc>
        <w:tc>
          <w:tcPr>
            <w:tcW w:w="1332" w:type="pct"/>
            <w:shd w:val="clear" w:color="auto" w:fill="auto"/>
            <w:noWrap/>
          </w:tcPr>
          <w:p>
            <w:pPr>
              <w:widowControl/>
              <w:jc w:val="center"/>
              <w:rPr>
                <w:rFonts w:ascii="华文中宋" w:hAnsi="华文中宋" w:eastAsia="华文中宋" w:cs="华文中宋"/>
                <w:bCs/>
                <w:kern w:val="0"/>
                <w:szCs w:val="21"/>
              </w:rPr>
            </w:pPr>
            <w:r>
              <w:rPr>
                <w:rFonts w:hint="eastAsia" w:ascii="华文中宋" w:hAnsi="华文中宋" w:eastAsia="华文中宋" w:cs="华文中宋"/>
                <w:bCs/>
                <w:kern w:val="0"/>
                <w:szCs w:val="21"/>
              </w:rPr>
              <w:t xml:space="preserve">有机硅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8" w:hRule="atLeast"/>
        </w:trPr>
        <w:tc>
          <w:tcPr>
            <w:tcW w:w="1789" w:type="pct"/>
            <w:shd w:val="clear" w:color="auto" w:fill="auto"/>
            <w:noWrap/>
          </w:tcPr>
          <w:p>
            <w:pPr>
              <w:widowControl/>
              <w:jc w:val="center"/>
              <w:rPr>
                <w:rFonts w:ascii="华文中宋" w:hAnsi="华文中宋" w:eastAsia="华文中宋" w:cs="华文中宋"/>
                <w:bCs/>
                <w:kern w:val="0"/>
                <w:szCs w:val="21"/>
              </w:rPr>
            </w:pPr>
            <w:r>
              <w:rPr>
                <w:rFonts w:hint="eastAsia" w:ascii="华文中宋" w:hAnsi="华文中宋" w:eastAsia="华文中宋" w:cs="华文中宋"/>
                <w:bCs/>
                <w:kern w:val="0"/>
                <w:szCs w:val="21"/>
              </w:rPr>
              <w:t>内蒙古佳瑞米精细化工有限公司</w:t>
            </w:r>
          </w:p>
        </w:tc>
        <w:tc>
          <w:tcPr>
            <w:tcW w:w="1879" w:type="pct"/>
            <w:shd w:val="clear" w:color="auto" w:fill="auto"/>
            <w:noWrap/>
          </w:tcPr>
          <w:p>
            <w:pPr>
              <w:widowControl/>
              <w:jc w:val="center"/>
              <w:rPr>
                <w:rFonts w:ascii="华文中宋" w:hAnsi="华文中宋" w:eastAsia="华文中宋" w:cs="华文中宋"/>
                <w:bCs/>
                <w:kern w:val="0"/>
                <w:szCs w:val="21"/>
              </w:rPr>
            </w:pPr>
            <w:r>
              <w:rPr>
                <w:rFonts w:hint="eastAsia" w:ascii="华文中宋" w:hAnsi="华文中宋" w:eastAsia="华文中宋" w:cs="华文中宋"/>
                <w:bCs/>
                <w:kern w:val="0"/>
                <w:szCs w:val="21"/>
              </w:rPr>
              <w:t>84</w:t>
            </w:r>
          </w:p>
        </w:tc>
        <w:tc>
          <w:tcPr>
            <w:tcW w:w="1332" w:type="pct"/>
            <w:shd w:val="clear" w:color="auto" w:fill="auto"/>
            <w:noWrap/>
          </w:tcPr>
          <w:p>
            <w:pPr>
              <w:widowControl/>
              <w:jc w:val="center"/>
              <w:rPr>
                <w:rFonts w:ascii="华文中宋" w:hAnsi="华文中宋" w:eastAsia="华文中宋" w:cs="华文中宋"/>
                <w:bCs/>
                <w:kern w:val="0"/>
                <w:szCs w:val="21"/>
              </w:rPr>
            </w:pPr>
            <w:r>
              <w:rPr>
                <w:rFonts w:hint="eastAsia" w:ascii="华文中宋" w:hAnsi="华文中宋" w:eastAsia="华文中宋" w:cs="华文中宋"/>
                <w:bCs/>
                <w:kern w:val="0"/>
                <w:szCs w:val="21"/>
              </w:rPr>
              <w:t>CTC/DCTF</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8" w:hRule="atLeast"/>
        </w:trPr>
        <w:tc>
          <w:tcPr>
            <w:tcW w:w="1789" w:type="pct"/>
            <w:shd w:val="clear" w:color="auto" w:fill="auto"/>
            <w:noWrap/>
          </w:tcPr>
          <w:p>
            <w:pPr>
              <w:widowControl/>
              <w:jc w:val="center"/>
              <w:rPr>
                <w:rFonts w:ascii="华文中宋" w:hAnsi="华文中宋" w:eastAsia="华文中宋" w:cs="华文中宋"/>
                <w:bCs/>
                <w:kern w:val="0"/>
                <w:szCs w:val="21"/>
              </w:rPr>
            </w:pPr>
            <w:r>
              <w:rPr>
                <w:rFonts w:hint="eastAsia" w:ascii="华文中宋" w:hAnsi="华文中宋" w:eastAsia="华文中宋" w:cs="华文中宋"/>
                <w:bCs/>
                <w:kern w:val="0"/>
                <w:szCs w:val="21"/>
              </w:rPr>
              <w:t xml:space="preserve">内蒙古君正化工有限责任公司  </w:t>
            </w:r>
          </w:p>
        </w:tc>
        <w:tc>
          <w:tcPr>
            <w:tcW w:w="1879" w:type="pct"/>
            <w:shd w:val="clear" w:color="auto" w:fill="auto"/>
            <w:noWrap/>
          </w:tcPr>
          <w:p>
            <w:pPr>
              <w:widowControl/>
              <w:jc w:val="center"/>
              <w:rPr>
                <w:rFonts w:ascii="华文中宋" w:hAnsi="华文中宋" w:eastAsia="华文中宋" w:cs="华文中宋"/>
                <w:bCs/>
                <w:kern w:val="0"/>
                <w:szCs w:val="21"/>
              </w:rPr>
            </w:pPr>
            <w:r>
              <w:rPr>
                <w:rFonts w:hint="eastAsia" w:ascii="华文中宋" w:hAnsi="华文中宋" w:eastAsia="华文中宋" w:cs="华文中宋"/>
                <w:bCs/>
                <w:kern w:val="0"/>
                <w:szCs w:val="21"/>
              </w:rPr>
              <w:t>3500</w:t>
            </w:r>
          </w:p>
        </w:tc>
        <w:tc>
          <w:tcPr>
            <w:tcW w:w="1332" w:type="pct"/>
            <w:shd w:val="clear" w:color="auto" w:fill="auto"/>
            <w:noWrap/>
          </w:tcPr>
          <w:p>
            <w:pPr>
              <w:widowControl/>
              <w:jc w:val="center"/>
              <w:rPr>
                <w:rFonts w:ascii="华文中宋" w:hAnsi="华文中宋" w:eastAsia="华文中宋" w:cs="华文中宋"/>
                <w:bCs/>
                <w:kern w:val="0"/>
                <w:szCs w:val="21"/>
              </w:rPr>
            </w:pPr>
            <w:r>
              <w:rPr>
                <w:rFonts w:hint="eastAsia" w:ascii="华文中宋" w:hAnsi="华文中宋" w:eastAsia="华文中宋" w:cs="华文中宋"/>
                <w:bCs/>
                <w:kern w:val="0"/>
                <w:szCs w:val="21"/>
              </w:rPr>
              <w:t>聚氯乙烯、片碱、熟料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8" w:hRule="atLeast"/>
        </w:trPr>
        <w:tc>
          <w:tcPr>
            <w:tcW w:w="1789" w:type="pct"/>
            <w:shd w:val="clear" w:color="auto" w:fill="auto"/>
            <w:noWrap/>
          </w:tcPr>
          <w:p>
            <w:pPr>
              <w:widowControl/>
              <w:jc w:val="center"/>
              <w:rPr>
                <w:rFonts w:ascii="华文中宋" w:hAnsi="华文中宋" w:eastAsia="华文中宋" w:cs="华文中宋"/>
                <w:bCs/>
                <w:kern w:val="0"/>
                <w:szCs w:val="21"/>
              </w:rPr>
            </w:pPr>
            <w:r>
              <w:rPr>
                <w:rFonts w:hint="eastAsia" w:ascii="华文中宋" w:hAnsi="华文中宋" w:eastAsia="华文中宋" w:cs="华文中宋"/>
                <w:bCs/>
                <w:kern w:val="0"/>
                <w:szCs w:val="21"/>
              </w:rPr>
              <w:t>内蒙古美方煤焦化有限公司</w:t>
            </w:r>
          </w:p>
        </w:tc>
        <w:tc>
          <w:tcPr>
            <w:tcW w:w="1879" w:type="pct"/>
            <w:shd w:val="clear" w:color="auto" w:fill="auto"/>
            <w:noWrap/>
          </w:tcPr>
          <w:p>
            <w:pPr>
              <w:widowControl/>
              <w:jc w:val="center"/>
              <w:rPr>
                <w:rFonts w:ascii="华文中宋" w:hAnsi="华文中宋" w:eastAsia="华文中宋" w:cs="华文中宋"/>
                <w:bCs/>
                <w:kern w:val="0"/>
                <w:szCs w:val="21"/>
              </w:rPr>
            </w:pPr>
            <w:r>
              <w:rPr>
                <w:rFonts w:hint="eastAsia" w:ascii="华文中宋" w:hAnsi="华文中宋" w:eastAsia="华文中宋" w:cs="华文中宋"/>
                <w:bCs/>
                <w:kern w:val="0"/>
                <w:szCs w:val="21"/>
              </w:rPr>
              <w:t>7500</w:t>
            </w:r>
          </w:p>
        </w:tc>
        <w:tc>
          <w:tcPr>
            <w:tcW w:w="1332" w:type="pct"/>
            <w:shd w:val="clear" w:color="auto" w:fill="auto"/>
            <w:noWrap/>
          </w:tcPr>
          <w:p>
            <w:pPr>
              <w:widowControl/>
              <w:jc w:val="center"/>
              <w:rPr>
                <w:rFonts w:ascii="华文中宋" w:hAnsi="华文中宋" w:eastAsia="华文中宋" w:cs="华文中宋"/>
                <w:bCs/>
                <w:kern w:val="0"/>
                <w:szCs w:val="21"/>
              </w:rPr>
            </w:pPr>
            <w:r>
              <w:rPr>
                <w:rFonts w:hint="eastAsia" w:ascii="华文中宋" w:hAnsi="华文中宋" w:eastAsia="华文中宋" w:cs="华文中宋"/>
                <w:bCs/>
                <w:kern w:val="0"/>
                <w:szCs w:val="21"/>
              </w:rPr>
              <w:t>焦炭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8" w:hRule="atLeast"/>
        </w:trPr>
        <w:tc>
          <w:tcPr>
            <w:tcW w:w="1789" w:type="pct"/>
            <w:shd w:val="clear" w:color="auto" w:fill="auto"/>
            <w:noWrap/>
          </w:tcPr>
          <w:p>
            <w:pPr>
              <w:widowControl/>
              <w:jc w:val="center"/>
              <w:rPr>
                <w:rFonts w:ascii="华文中宋" w:hAnsi="华文中宋" w:eastAsia="华文中宋" w:cs="华文中宋"/>
                <w:bCs/>
                <w:kern w:val="0"/>
                <w:szCs w:val="21"/>
              </w:rPr>
            </w:pPr>
            <w:r>
              <w:rPr>
                <w:rFonts w:hint="eastAsia" w:ascii="华文中宋" w:hAnsi="华文中宋" w:eastAsia="华文中宋" w:cs="华文中宋"/>
                <w:bCs/>
                <w:kern w:val="0"/>
                <w:szCs w:val="21"/>
              </w:rPr>
              <w:t>内蒙古宜达化学科技有限公司</w:t>
            </w:r>
          </w:p>
        </w:tc>
        <w:tc>
          <w:tcPr>
            <w:tcW w:w="1879" w:type="pct"/>
            <w:shd w:val="clear" w:color="auto" w:fill="auto"/>
            <w:noWrap/>
          </w:tcPr>
          <w:p>
            <w:pPr>
              <w:widowControl/>
              <w:jc w:val="center"/>
              <w:rPr>
                <w:rFonts w:ascii="华文中宋" w:hAnsi="华文中宋" w:eastAsia="华文中宋" w:cs="华文中宋"/>
                <w:bCs/>
                <w:kern w:val="0"/>
                <w:szCs w:val="21"/>
              </w:rPr>
            </w:pPr>
            <w:r>
              <w:rPr>
                <w:rFonts w:hint="eastAsia" w:ascii="华文中宋" w:hAnsi="华文中宋" w:eastAsia="华文中宋" w:cs="华文中宋"/>
                <w:bCs/>
                <w:kern w:val="0"/>
                <w:szCs w:val="21"/>
              </w:rPr>
              <w:t>43.8</w:t>
            </w:r>
          </w:p>
        </w:tc>
        <w:tc>
          <w:tcPr>
            <w:tcW w:w="1332" w:type="pct"/>
            <w:shd w:val="clear" w:color="auto" w:fill="auto"/>
            <w:noWrap/>
          </w:tcPr>
          <w:p>
            <w:pPr>
              <w:widowControl/>
              <w:jc w:val="center"/>
              <w:rPr>
                <w:rFonts w:ascii="华文中宋" w:hAnsi="华文中宋" w:eastAsia="华文中宋" w:cs="华文中宋"/>
                <w:bCs/>
                <w:kern w:val="0"/>
                <w:szCs w:val="21"/>
              </w:rPr>
            </w:pPr>
            <w:r>
              <w:rPr>
                <w:rFonts w:hint="eastAsia" w:ascii="华文中宋" w:hAnsi="华文中宋" w:eastAsia="华文中宋" w:cs="华文中宋"/>
                <w:bCs/>
                <w:kern w:val="0"/>
                <w:szCs w:val="21"/>
              </w:rPr>
              <w:t>对氯苯酚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8" w:hRule="atLeast"/>
        </w:trPr>
        <w:tc>
          <w:tcPr>
            <w:tcW w:w="1789" w:type="pct"/>
            <w:shd w:val="clear" w:color="auto" w:fill="auto"/>
            <w:noWrap/>
          </w:tcPr>
          <w:p>
            <w:pPr>
              <w:widowControl/>
              <w:jc w:val="center"/>
              <w:rPr>
                <w:rFonts w:ascii="华文中宋" w:hAnsi="华文中宋" w:eastAsia="华文中宋" w:cs="华文中宋"/>
                <w:bCs/>
                <w:kern w:val="0"/>
                <w:szCs w:val="21"/>
              </w:rPr>
            </w:pPr>
            <w:r>
              <w:rPr>
                <w:rFonts w:hint="eastAsia" w:ascii="华文中宋" w:hAnsi="华文中宋" w:eastAsia="华文中宋" w:cs="华文中宋"/>
                <w:bCs/>
                <w:kern w:val="0"/>
                <w:szCs w:val="21"/>
              </w:rPr>
              <w:t>内蒙古益泽制药有限公司</w:t>
            </w:r>
          </w:p>
        </w:tc>
        <w:tc>
          <w:tcPr>
            <w:tcW w:w="1879" w:type="pct"/>
            <w:shd w:val="clear" w:color="auto" w:fill="auto"/>
            <w:noWrap/>
          </w:tcPr>
          <w:p>
            <w:pPr>
              <w:widowControl/>
              <w:jc w:val="center"/>
              <w:rPr>
                <w:rFonts w:ascii="华文中宋" w:hAnsi="华文中宋" w:eastAsia="华文中宋" w:cs="华文中宋"/>
                <w:bCs/>
                <w:kern w:val="0"/>
                <w:szCs w:val="21"/>
              </w:rPr>
            </w:pPr>
            <w:r>
              <w:rPr>
                <w:rFonts w:hint="eastAsia" w:ascii="华文中宋" w:hAnsi="华文中宋" w:eastAsia="华文中宋" w:cs="华文中宋"/>
                <w:bCs/>
                <w:kern w:val="0"/>
                <w:szCs w:val="21"/>
              </w:rPr>
              <w:t>874.25</w:t>
            </w:r>
          </w:p>
        </w:tc>
        <w:tc>
          <w:tcPr>
            <w:tcW w:w="1332" w:type="pct"/>
            <w:shd w:val="clear" w:color="auto" w:fill="auto"/>
            <w:noWrap/>
          </w:tcPr>
          <w:p>
            <w:pPr>
              <w:widowControl/>
              <w:jc w:val="center"/>
              <w:rPr>
                <w:rFonts w:ascii="华文中宋" w:hAnsi="华文中宋" w:eastAsia="华文中宋" w:cs="华文中宋"/>
                <w:bCs/>
                <w:kern w:val="0"/>
                <w:szCs w:val="21"/>
              </w:rPr>
            </w:pPr>
            <w:r>
              <w:rPr>
                <w:rFonts w:hint="eastAsia" w:ascii="华文中宋" w:hAnsi="华文中宋" w:eastAsia="华文中宋" w:cs="华文中宋"/>
                <w:bCs/>
                <w:kern w:val="0"/>
                <w:szCs w:val="21"/>
              </w:rPr>
              <w:t>医药中间体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8" w:hRule="atLeast"/>
        </w:trPr>
        <w:tc>
          <w:tcPr>
            <w:tcW w:w="1789" w:type="pct"/>
            <w:shd w:val="clear" w:color="auto" w:fill="auto"/>
            <w:noWrap/>
          </w:tcPr>
          <w:p>
            <w:pPr>
              <w:widowControl/>
              <w:jc w:val="center"/>
              <w:rPr>
                <w:rFonts w:ascii="华文中宋" w:hAnsi="华文中宋" w:eastAsia="华文中宋" w:cs="华文中宋"/>
                <w:bCs/>
                <w:kern w:val="0"/>
                <w:szCs w:val="21"/>
              </w:rPr>
            </w:pPr>
            <w:r>
              <w:rPr>
                <w:rFonts w:hint="eastAsia" w:ascii="华文中宋" w:hAnsi="华文中宋" w:eastAsia="华文中宋" w:cs="华文中宋"/>
                <w:bCs/>
                <w:kern w:val="0"/>
                <w:szCs w:val="21"/>
              </w:rPr>
              <w:t>总计</w:t>
            </w:r>
          </w:p>
        </w:tc>
        <w:tc>
          <w:tcPr>
            <w:tcW w:w="1879" w:type="pct"/>
            <w:shd w:val="clear" w:color="auto" w:fill="auto"/>
            <w:noWrap/>
          </w:tcPr>
          <w:p>
            <w:pPr>
              <w:widowControl/>
              <w:jc w:val="center"/>
              <w:rPr>
                <w:rFonts w:ascii="华文中宋" w:hAnsi="华文中宋" w:eastAsia="华文中宋" w:cs="华文中宋"/>
                <w:bCs/>
                <w:kern w:val="0"/>
                <w:szCs w:val="21"/>
              </w:rPr>
            </w:pPr>
            <w:r>
              <w:rPr>
                <w:rFonts w:hint="eastAsia" w:ascii="华文中宋" w:hAnsi="华文中宋" w:eastAsia="华文中宋" w:cs="华文中宋"/>
                <w:bCs/>
                <w:kern w:val="0"/>
                <w:szCs w:val="21"/>
              </w:rPr>
              <w:t>17402.25</w:t>
            </w:r>
          </w:p>
        </w:tc>
        <w:tc>
          <w:tcPr>
            <w:tcW w:w="1332" w:type="pct"/>
            <w:shd w:val="clear" w:color="auto" w:fill="auto"/>
            <w:noWrap/>
          </w:tcPr>
          <w:p>
            <w:pPr>
              <w:widowControl/>
              <w:jc w:val="center"/>
              <w:rPr>
                <w:rFonts w:ascii="华文中宋" w:hAnsi="华文中宋" w:eastAsia="华文中宋" w:cs="华文中宋"/>
                <w:bCs/>
                <w:kern w:val="0"/>
                <w:szCs w:val="21"/>
              </w:rPr>
            </w:pPr>
          </w:p>
        </w:tc>
      </w:tr>
    </w:tbl>
    <w:p>
      <w:pPr>
        <w:spacing w:line="360" w:lineRule="auto"/>
        <w:ind w:firstLine="560" w:firstLineChars="200"/>
        <w:rPr>
          <w:rFonts w:ascii="华文中宋" w:hAnsi="华文中宋" w:eastAsia="华文中宋" w:cs="华文中宋"/>
          <w:sz w:val="28"/>
          <w:szCs w:val="28"/>
        </w:rPr>
      </w:pPr>
      <w:r>
        <w:rPr>
          <w:rFonts w:hint="eastAsia" w:ascii="华文中宋" w:hAnsi="华文中宋" w:eastAsia="华文中宋" w:cs="华文中宋"/>
          <w:sz w:val="28"/>
          <w:szCs w:val="28"/>
        </w:rPr>
        <w:t>以上只有少部分企业位于本次规划区内，但用气量预测需总体考虑，同时工业生产用气量具有很大的不确定性，用气量与生产类型、生产工艺、产品产量等多方面因素有关，现阶段无法确定准确的生产用气量。</w:t>
      </w:r>
    </w:p>
    <w:p>
      <w:pPr>
        <w:pStyle w:val="5"/>
        <w:spacing w:before="0" w:after="0"/>
        <w:rPr>
          <w:rFonts w:ascii="华文中宋" w:hAnsi="华文中宋" w:eastAsia="华文中宋" w:cs="华文中宋"/>
          <w:sz w:val="28"/>
          <w:szCs w:val="28"/>
        </w:rPr>
      </w:pPr>
      <w:r>
        <w:rPr>
          <w:rFonts w:hint="eastAsia" w:ascii="华文中宋" w:hAnsi="华文中宋" w:eastAsia="华文中宋" w:cs="华文中宋"/>
          <w:sz w:val="28"/>
          <w:szCs w:val="28"/>
        </w:rPr>
        <w:t>4.7.4 燃气输配系统</w:t>
      </w:r>
    </w:p>
    <w:p>
      <w:pPr>
        <w:spacing w:line="360" w:lineRule="auto"/>
        <w:ind w:firstLine="480"/>
        <w:rPr>
          <w:rFonts w:ascii="华文中宋" w:hAnsi="华文中宋" w:eastAsia="华文中宋" w:cs="华文中宋"/>
          <w:sz w:val="28"/>
          <w:szCs w:val="28"/>
        </w:rPr>
      </w:pPr>
      <w:bookmarkStart w:id="98" w:name="_Hlk80262262"/>
      <w:bookmarkStart w:id="99" w:name="_Toc12982986"/>
      <w:r>
        <w:rPr>
          <w:rFonts w:hint="eastAsia" w:ascii="华文中宋" w:hAnsi="华文中宋" w:eastAsia="华文中宋" w:cs="华文中宋"/>
          <w:sz w:val="28"/>
          <w:szCs w:val="28"/>
        </w:rPr>
        <w:t>规划中压燃气管道采用环状与枝状相结合的输气方式布置，保证供气的稳定性和经济性。调压设施在本次规划中不做体现，根据用户的不同使用要求另行规划。配合园区建设需要不断地进行有效的调整。规划最大燃气管径为DN200。</w:t>
      </w:r>
      <w:bookmarkEnd w:id="98"/>
    </w:p>
    <w:p>
      <w:pPr>
        <w:pStyle w:val="4"/>
        <w:spacing w:before="260" w:after="260"/>
        <w:rPr>
          <w:rFonts w:ascii="华文中宋" w:hAnsi="华文中宋" w:eastAsia="华文中宋" w:cs="华文中宋"/>
        </w:rPr>
      </w:pPr>
      <w:bookmarkStart w:id="100" w:name="_Toc31693"/>
      <w:r>
        <w:rPr>
          <w:rFonts w:hint="eastAsia" w:ascii="华文中宋" w:hAnsi="华文中宋" w:eastAsia="华文中宋" w:cs="华文中宋"/>
        </w:rPr>
        <w:t>4.8 供热工程规划</w:t>
      </w:r>
      <w:bookmarkEnd w:id="99"/>
      <w:bookmarkEnd w:id="100"/>
    </w:p>
    <w:p>
      <w:pPr>
        <w:pStyle w:val="5"/>
        <w:spacing w:before="0" w:after="0"/>
        <w:rPr>
          <w:rFonts w:ascii="华文中宋" w:hAnsi="华文中宋" w:eastAsia="华文中宋" w:cs="华文中宋"/>
          <w:sz w:val="28"/>
          <w:szCs w:val="28"/>
        </w:rPr>
      </w:pPr>
      <w:r>
        <w:rPr>
          <w:rFonts w:hint="eastAsia" w:ascii="华文中宋" w:hAnsi="华文中宋" w:eastAsia="华文中宋" w:cs="华文中宋"/>
          <w:sz w:val="28"/>
          <w:szCs w:val="28"/>
        </w:rPr>
        <w:t>4.8.1 编制依据</w:t>
      </w:r>
    </w:p>
    <w:p>
      <w:pPr>
        <w:spacing w:line="360" w:lineRule="auto"/>
        <w:ind w:firstLine="480"/>
        <w:rPr>
          <w:rFonts w:ascii="华文中宋" w:hAnsi="华文中宋" w:eastAsia="华文中宋" w:cs="华文中宋"/>
          <w:sz w:val="28"/>
          <w:szCs w:val="28"/>
        </w:rPr>
      </w:pPr>
      <w:r>
        <w:rPr>
          <w:rFonts w:hint="eastAsia" w:ascii="华文中宋" w:hAnsi="华文中宋" w:eastAsia="华文中宋" w:cs="华文中宋"/>
          <w:sz w:val="28"/>
          <w:szCs w:val="28"/>
        </w:rPr>
        <w:t>（1）《城市供热规划规范》（GB/T51074-2015）</w:t>
      </w:r>
    </w:p>
    <w:p>
      <w:pPr>
        <w:spacing w:line="360" w:lineRule="auto"/>
        <w:ind w:firstLine="480"/>
        <w:rPr>
          <w:rFonts w:ascii="华文中宋" w:hAnsi="华文中宋" w:eastAsia="华文中宋" w:cs="华文中宋"/>
          <w:sz w:val="28"/>
          <w:szCs w:val="28"/>
        </w:rPr>
      </w:pPr>
      <w:r>
        <w:rPr>
          <w:rFonts w:hint="eastAsia" w:ascii="华文中宋" w:hAnsi="华文中宋" w:eastAsia="华文中宋" w:cs="华文中宋"/>
          <w:sz w:val="28"/>
          <w:szCs w:val="28"/>
        </w:rPr>
        <w:t>（2）《严寒和寒冷地区居住建筑节能设计标准》（JGJ26-2010）</w:t>
      </w:r>
    </w:p>
    <w:p>
      <w:pPr>
        <w:spacing w:line="360" w:lineRule="auto"/>
        <w:ind w:firstLine="480"/>
        <w:rPr>
          <w:rFonts w:ascii="华文中宋" w:hAnsi="华文中宋" w:eastAsia="华文中宋" w:cs="华文中宋"/>
          <w:sz w:val="28"/>
          <w:szCs w:val="28"/>
        </w:rPr>
      </w:pPr>
      <w:r>
        <w:rPr>
          <w:rFonts w:hint="eastAsia" w:ascii="华文中宋" w:hAnsi="华文中宋" w:eastAsia="华文中宋" w:cs="华文中宋"/>
          <w:sz w:val="28"/>
          <w:szCs w:val="28"/>
        </w:rPr>
        <w:t>（3）《城镇供热直埋蒸汽管道技术规程》（CJJ/T104-2014）</w:t>
      </w:r>
    </w:p>
    <w:p>
      <w:pPr>
        <w:pStyle w:val="5"/>
        <w:spacing w:before="0" w:after="0"/>
        <w:rPr>
          <w:rFonts w:ascii="华文中宋" w:hAnsi="华文中宋" w:eastAsia="华文中宋" w:cs="华文中宋"/>
          <w:sz w:val="28"/>
          <w:szCs w:val="28"/>
        </w:rPr>
      </w:pPr>
      <w:r>
        <w:rPr>
          <w:rFonts w:hint="eastAsia" w:ascii="华文中宋" w:hAnsi="华文中宋" w:eastAsia="华文中宋" w:cs="华文中宋"/>
          <w:sz w:val="28"/>
          <w:szCs w:val="28"/>
        </w:rPr>
        <w:t>4.8.2 汽源</w:t>
      </w:r>
    </w:p>
    <w:p>
      <w:pPr>
        <w:spacing w:line="360" w:lineRule="auto"/>
        <w:ind w:firstLine="560" w:firstLineChars="200"/>
        <w:rPr>
          <w:rFonts w:ascii="华文中宋" w:hAnsi="华文中宋" w:eastAsia="华文中宋" w:cs="华文中宋"/>
          <w:sz w:val="28"/>
          <w:szCs w:val="28"/>
        </w:rPr>
      </w:pPr>
      <w:r>
        <w:rPr>
          <w:rFonts w:hint="eastAsia" w:ascii="华文中宋" w:hAnsi="华文中宋" w:eastAsia="华文中宋" w:cs="华文中宋"/>
          <w:sz w:val="28"/>
          <w:szCs w:val="28"/>
        </w:rPr>
        <w:t>园区蒸汽已基本实现全覆盖，现有汽源点5个，最大供汽能力为1560吨/小时，除自用外，最大可外供工业蒸汽为450吨/小时，管网最大供汽能力约为160T/H。园区共铺设蒸汽管网27公里，供汽压力为0.75-1.0Mpa，温度为220℃。</w:t>
      </w:r>
    </w:p>
    <w:p>
      <w:pPr>
        <w:spacing w:line="360" w:lineRule="auto"/>
        <w:ind w:firstLine="560" w:firstLineChars="200"/>
        <w:rPr>
          <w:rFonts w:ascii="华文中宋" w:hAnsi="华文中宋" w:eastAsia="华文中宋" w:cs="华文中宋"/>
          <w:sz w:val="28"/>
          <w:szCs w:val="28"/>
        </w:rPr>
      </w:pPr>
      <w:r>
        <w:rPr>
          <w:rFonts w:hint="eastAsia" w:ascii="华文中宋" w:hAnsi="华文中宋" w:eastAsia="华文中宋" w:cs="华文中宋"/>
          <w:sz w:val="28"/>
          <w:szCs w:val="28"/>
        </w:rPr>
        <w:t>园区目前在建及拟建的汽源点2个，分别为内蒙古东源科技有限公司二期电厂和乌海蓝益环保发电有限公司，同时拟引用乌斯太热电厂部分热源。</w:t>
      </w:r>
    </w:p>
    <w:p>
      <w:pPr>
        <w:spacing w:line="360" w:lineRule="auto"/>
        <w:ind w:firstLine="480" w:firstLineChars="200"/>
        <w:jc w:val="center"/>
        <w:rPr>
          <w:rFonts w:ascii="华文中宋" w:hAnsi="华文中宋" w:eastAsia="华文中宋" w:cs="华文中宋"/>
          <w:sz w:val="24"/>
          <w:szCs w:val="24"/>
        </w:rPr>
      </w:pPr>
      <w:r>
        <w:rPr>
          <w:rFonts w:hint="eastAsia" w:ascii="华文中宋" w:hAnsi="华文中宋" w:eastAsia="华文中宋" w:cs="华文中宋"/>
          <w:sz w:val="24"/>
          <w:szCs w:val="24"/>
        </w:rPr>
        <w:t>表4-8-1 乌达工业园区已建、在建、拟建蒸汽源点基本情况表</w:t>
      </w:r>
    </w:p>
    <w:tbl>
      <w:tblPr>
        <w:tblStyle w:val="32"/>
        <w:tblW w:w="5000" w:type="pct"/>
        <w:tblInd w:w="0" w:type="dxa"/>
        <w:tblLayout w:type="fixed"/>
        <w:tblCellMar>
          <w:top w:w="0" w:type="dxa"/>
          <w:left w:w="108" w:type="dxa"/>
          <w:bottom w:w="0" w:type="dxa"/>
          <w:right w:w="108" w:type="dxa"/>
        </w:tblCellMar>
      </w:tblPr>
      <w:tblGrid>
        <w:gridCol w:w="540"/>
        <w:gridCol w:w="3400"/>
        <w:gridCol w:w="993"/>
        <w:gridCol w:w="1276"/>
        <w:gridCol w:w="989"/>
        <w:gridCol w:w="1699"/>
        <w:gridCol w:w="1426"/>
      </w:tblGrid>
      <w:tr>
        <w:tblPrEx>
          <w:tblCellMar>
            <w:top w:w="0" w:type="dxa"/>
            <w:left w:w="108" w:type="dxa"/>
            <w:bottom w:w="0" w:type="dxa"/>
            <w:right w:w="108" w:type="dxa"/>
          </w:tblCellMar>
        </w:tblPrEx>
        <w:trPr>
          <w:trHeight w:val="552" w:hRule="atLeast"/>
        </w:trPr>
        <w:tc>
          <w:tcPr>
            <w:tcW w:w="261"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ascii="华文中宋" w:hAnsi="华文中宋" w:eastAsia="华文中宋" w:cs="华文中宋"/>
                <w:bCs/>
                <w:kern w:val="0"/>
                <w:szCs w:val="21"/>
              </w:rPr>
            </w:pPr>
            <w:r>
              <w:rPr>
                <w:rFonts w:hint="eastAsia" w:ascii="华文中宋" w:hAnsi="华文中宋" w:eastAsia="华文中宋" w:cs="华文中宋"/>
                <w:bCs/>
                <w:kern w:val="0"/>
                <w:szCs w:val="21"/>
              </w:rPr>
              <w:t>序号</w:t>
            </w:r>
          </w:p>
        </w:tc>
        <w:tc>
          <w:tcPr>
            <w:tcW w:w="1647" w:type="pct"/>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ascii="华文中宋" w:hAnsi="华文中宋" w:eastAsia="华文中宋" w:cs="华文中宋"/>
                <w:bCs/>
                <w:kern w:val="0"/>
                <w:szCs w:val="21"/>
              </w:rPr>
            </w:pPr>
            <w:r>
              <w:rPr>
                <w:rFonts w:hint="eastAsia" w:ascii="华文中宋" w:hAnsi="华文中宋" w:eastAsia="华文中宋" w:cs="华文中宋"/>
                <w:bCs/>
                <w:kern w:val="0"/>
                <w:szCs w:val="21"/>
              </w:rPr>
              <w:t>供汽企业</w:t>
            </w:r>
          </w:p>
        </w:tc>
        <w:tc>
          <w:tcPr>
            <w:tcW w:w="481" w:type="pct"/>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ascii="华文中宋" w:hAnsi="华文中宋" w:eastAsia="华文中宋" w:cs="华文中宋"/>
                <w:bCs/>
                <w:kern w:val="0"/>
                <w:szCs w:val="21"/>
              </w:rPr>
            </w:pPr>
            <w:r>
              <w:rPr>
                <w:rFonts w:hint="eastAsia" w:ascii="华文中宋" w:hAnsi="华文中宋" w:eastAsia="华文中宋" w:cs="华文中宋"/>
                <w:bCs/>
                <w:kern w:val="0"/>
                <w:szCs w:val="21"/>
              </w:rPr>
              <w:t>能力</w:t>
            </w:r>
          </w:p>
        </w:tc>
        <w:tc>
          <w:tcPr>
            <w:tcW w:w="618" w:type="pct"/>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ascii="华文中宋" w:hAnsi="华文中宋" w:eastAsia="华文中宋" w:cs="华文中宋"/>
                <w:bCs/>
                <w:kern w:val="0"/>
                <w:szCs w:val="21"/>
              </w:rPr>
            </w:pPr>
            <w:r>
              <w:rPr>
                <w:rFonts w:hint="eastAsia" w:ascii="华文中宋" w:hAnsi="华文中宋" w:eastAsia="华文中宋" w:cs="华文中宋"/>
                <w:bCs/>
                <w:kern w:val="0"/>
                <w:szCs w:val="21"/>
              </w:rPr>
              <w:t>自用</w:t>
            </w:r>
          </w:p>
        </w:tc>
        <w:tc>
          <w:tcPr>
            <w:tcW w:w="479" w:type="pct"/>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ascii="华文中宋" w:hAnsi="华文中宋" w:eastAsia="华文中宋" w:cs="华文中宋"/>
                <w:bCs/>
                <w:kern w:val="0"/>
                <w:szCs w:val="21"/>
              </w:rPr>
            </w:pPr>
            <w:r>
              <w:rPr>
                <w:rFonts w:hint="eastAsia" w:ascii="华文中宋" w:hAnsi="华文中宋" w:eastAsia="华文中宋" w:cs="华文中宋"/>
                <w:bCs/>
                <w:kern w:val="0"/>
                <w:szCs w:val="21"/>
              </w:rPr>
              <w:t>外供工业蒸汽</w:t>
            </w:r>
          </w:p>
        </w:tc>
        <w:tc>
          <w:tcPr>
            <w:tcW w:w="823" w:type="pct"/>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ascii="华文中宋" w:hAnsi="华文中宋" w:eastAsia="华文中宋" w:cs="华文中宋"/>
                <w:bCs/>
                <w:kern w:val="0"/>
                <w:szCs w:val="21"/>
              </w:rPr>
            </w:pPr>
            <w:r>
              <w:rPr>
                <w:rFonts w:hint="eastAsia" w:ascii="华文中宋" w:hAnsi="华文中宋" w:eastAsia="华文中宋" w:cs="华文中宋"/>
                <w:bCs/>
                <w:kern w:val="0"/>
                <w:szCs w:val="21"/>
              </w:rPr>
              <w:t>锅炉吨位及数量</w:t>
            </w:r>
          </w:p>
        </w:tc>
        <w:tc>
          <w:tcPr>
            <w:tcW w:w="691" w:type="pct"/>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ascii="华文中宋" w:hAnsi="华文中宋" w:eastAsia="华文中宋" w:cs="华文中宋"/>
                <w:bCs/>
                <w:kern w:val="0"/>
                <w:szCs w:val="21"/>
              </w:rPr>
            </w:pPr>
            <w:r>
              <w:rPr>
                <w:rFonts w:hint="eastAsia" w:ascii="华文中宋" w:hAnsi="华文中宋" w:eastAsia="华文中宋" w:cs="华文中宋"/>
                <w:bCs/>
                <w:kern w:val="0"/>
                <w:szCs w:val="21"/>
              </w:rPr>
              <w:t>锅炉发电量</w:t>
            </w:r>
          </w:p>
        </w:tc>
      </w:tr>
      <w:tr>
        <w:tblPrEx>
          <w:tblCellMar>
            <w:top w:w="0" w:type="dxa"/>
            <w:left w:w="108" w:type="dxa"/>
            <w:bottom w:w="0" w:type="dxa"/>
            <w:right w:w="108" w:type="dxa"/>
          </w:tblCellMar>
        </w:tblPrEx>
        <w:trPr>
          <w:trHeight w:val="552" w:hRule="atLeast"/>
        </w:trPr>
        <w:tc>
          <w:tcPr>
            <w:tcW w:w="261"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华文中宋" w:hAnsi="华文中宋" w:eastAsia="华文中宋" w:cs="华文中宋"/>
                <w:bCs/>
                <w:kern w:val="0"/>
                <w:szCs w:val="21"/>
              </w:rPr>
            </w:pPr>
            <w:r>
              <w:rPr>
                <w:rFonts w:hint="eastAsia" w:ascii="华文中宋" w:hAnsi="华文中宋" w:eastAsia="华文中宋" w:cs="华文中宋"/>
                <w:bCs/>
                <w:kern w:val="0"/>
                <w:szCs w:val="21"/>
              </w:rPr>
              <w:t>1</w:t>
            </w:r>
          </w:p>
        </w:tc>
        <w:tc>
          <w:tcPr>
            <w:tcW w:w="1647" w:type="pct"/>
            <w:tcBorders>
              <w:top w:val="nil"/>
              <w:left w:val="nil"/>
              <w:bottom w:val="single" w:color="auto" w:sz="4" w:space="0"/>
              <w:right w:val="single" w:color="auto" w:sz="4" w:space="0"/>
            </w:tcBorders>
            <w:shd w:val="clear" w:color="auto" w:fill="auto"/>
            <w:noWrap/>
            <w:vAlign w:val="center"/>
          </w:tcPr>
          <w:p>
            <w:pPr>
              <w:widowControl/>
              <w:jc w:val="center"/>
              <w:rPr>
                <w:rFonts w:ascii="华文中宋" w:hAnsi="华文中宋" w:eastAsia="华文中宋" w:cs="华文中宋"/>
                <w:bCs/>
                <w:kern w:val="0"/>
                <w:szCs w:val="21"/>
              </w:rPr>
            </w:pPr>
            <w:r>
              <w:rPr>
                <w:rFonts w:hint="eastAsia" w:ascii="华文中宋" w:hAnsi="华文中宋" w:eastAsia="华文中宋" w:cs="华文中宋"/>
                <w:bCs/>
                <w:kern w:val="0"/>
                <w:szCs w:val="21"/>
              </w:rPr>
              <w:t>内蒙古华电乌达热电有限公司</w:t>
            </w:r>
          </w:p>
        </w:tc>
        <w:tc>
          <w:tcPr>
            <w:tcW w:w="481" w:type="pct"/>
            <w:tcBorders>
              <w:top w:val="nil"/>
              <w:left w:val="nil"/>
              <w:bottom w:val="single" w:color="auto" w:sz="4" w:space="0"/>
              <w:right w:val="single" w:color="auto" w:sz="4" w:space="0"/>
            </w:tcBorders>
            <w:shd w:val="clear" w:color="auto" w:fill="auto"/>
            <w:noWrap/>
            <w:vAlign w:val="center"/>
          </w:tcPr>
          <w:p>
            <w:pPr>
              <w:widowControl/>
              <w:jc w:val="center"/>
              <w:rPr>
                <w:rFonts w:ascii="华文中宋" w:hAnsi="华文中宋" w:eastAsia="华文中宋" w:cs="华文中宋"/>
                <w:bCs/>
                <w:kern w:val="0"/>
                <w:szCs w:val="21"/>
              </w:rPr>
            </w:pPr>
            <w:r>
              <w:rPr>
                <w:rFonts w:hint="eastAsia" w:ascii="华文中宋" w:hAnsi="华文中宋" w:eastAsia="华文中宋" w:cs="华文中宋"/>
                <w:bCs/>
                <w:kern w:val="0"/>
                <w:szCs w:val="21"/>
              </w:rPr>
              <w:t>240t/h</w:t>
            </w:r>
          </w:p>
        </w:tc>
        <w:tc>
          <w:tcPr>
            <w:tcW w:w="618" w:type="pct"/>
            <w:tcBorders>
              <w:top w:val="nil"/>
              <w:left w:val="nil"/>
              <w:bottom w:val="single" w:color="auto" w:sz="4" w:space="0"/>
              <w:right w:val="single" w:color="auto" w:sz="4" w:space="0"/>
            </w:tcBorders>
            <w:shd w:val="clear" w:color="auto" w:fill="auto"/>
            <w:vAlign w:val="center"/>
          </w:tcPr>
          <w:p>
            <w:pPr>
              <w:widowControl/>
              <w:jc w:val="center"/>
              <w:rPr>
                <w:rFonts w:hint="eastAsia" w:ascii="华文中宋" w:hAnsi="华文中宋" w:eastAsia="华文中宋" w:cs="华文中宋"/>
                <w:bCs/>
                <w:kern w:val="0"/>
                <w:szCs w:val="21"/>
                <w:lang w:eastAsia="zh-CN"/>
              </w:rPr>
            </w:pPr>
            <w:r>
              <w:rPr>
                <w:rFonts w:hint="eastAsia" w:ascii="华文中宋" w:hAnsi="华文中宋" w:eastAsia="华文中宋" w:cs="华文中宋"/>
                <w:bCs/>
                <w:kern w:val="0"/>
                <w:szCs w:val="21"/>
              </w:rPr>
              <w:t>60t/h</w:t>
            </w:r>
          </w:p>
          <w:p>
            <w:pPr>
              <w:widowControl/>
              <w:jc w:val="center"/>
              <w:rPr>
                <w:rFonts w:ascii="华文中宋" w:hAnsi="华文中宋" w:eastAsia="华文中宋" w:cs="华文中宋"/>
                <w:bCs/>
                <w:kern w:val="0"/>
                <w:szCs w:val="21"/>
              </w:rPr>
            </w:pPr>
            <w:r>
              <w:rPr>
                <w:rFonts w:hint="eastAsia" w:ascii="华文中宋" w:hAnsi="华文中宋" w:eastAsia="华文中宋" w:cs="华文中宋"/>
                <w:bCs/>
                <w:kern w:val="0"/>
                <w:szCs w:val="21"/>
              </w:rPr>
              <w:t>民用120t/h</w:t>
            </w:r>
          </w:p>
        </w:tc>
        <w:tc>
          <w:tcPr>
            <w:tcW w:w="479" w:type="pct"/>
            <w:tcBorders>
              <w:top w:val="nil"/>
              <w:left w:val="nil"/>
              <w:bottom w:val="single" w:color="auto" w:sz="4" w:space="0"/>
              <w:right w:val="single" w:color="auto" w:sz="4" w:space="0"/>
            </w:tcBorders>
            <w:shd w:val="clear" w:color="auto" w:fill="auto"/>
            <w:noWrap/>
            <w:vAlign w:val="center"/>
          </w:tcPr>
          <w:p>
            <w:pPr>
              <w:widowControl/>
              <w:jc w:val="center"/>
              <w:rPr>
                <w:rFonts w:ascii="华文中宋" w:hAnsi="华文中宋" w:eastAsia="华文中宋" w:cs="华文中宋"/>
                <w:bCs/>
                <w:kern w:val="0"/>
                <w:szCs w:val="21"/>
              </w:rPr>
            </w:pPr>
            <w:r>
              <w:rPr>
                <w:rFonts w:hint="eastAsia" w:ascii="华文中宋" w:hAnsi="华文中宋" w:eastAsia="华文中宋" w:cs="华文中宋"/>
                <w:bCs/>
                <w:kern w:val="0"/>
                <w:szCs w:val="21"/>
              </w:rPr>
              <w:t>60t/h</w:t>
            </w:r>
          </w:p>
        </w:tc>
        <w:tc>
          <w:tcPr>
            <w:tcW w:w="823" w:type="pct"/>
            <w:tcBorders>
              <w:top w:val="nil"/>
              <w:left w:val="nil"/>
              <w:bottom w:val="single" w:color="auto" w:sz="4" w:space="0"/>
              <w:right w:val="single" w:color="auto" w:sz="4" w:space="0"/>
            </w:tcBorders>
            <w:shd w:val="clear" w:color="auto" w:fill="auto"/>
            <w:noWrap/>
            <w:vAlign w:val="center"/>
          </w:tcPr>
          <w:p>
            <w:pPr>
              <w:widowControl/>
              <w:jc w:val="center"/>
              <w:rPr>
                <w:rFonts w:ascii="华文中宋" w:hAnsi="华文中宋" w:eastAsia="华文中宋" w:cs="华文中宋"/>
                <w:bCs/>
                <w:kern w:val="0"/>
                <w:szCs w:val="21"/>
              </w:rPr>
            </w:pPr>
            <w:r>
              <w:rPr>
                <w:rFonts w:hint="eastAsia" w:ascii="华文中宋" w:hAnsi="华文中宋" w:eastAsia="华文中宋" w:cs="华文中宋"/>
                <w:bCs/>
                <w:kern w:val="0"/>
                <w:szCs w:val="21"/>
              </w:rPr>
              <w:t>2*480T</w:t>
            </w:r>
          </w:p>
        </w:tc>
        <w:tc>
          <w:tcPr>
            <w:tcW w:w="691" w:type="pct"/>
            <w:tcBorders>
              <w:top w:val="nil"/>
              <w:left w:val="nil"/>
              <w:bottom w:val="single" w:color="auto" w:sz="4" w:space="0"/>
              <w:right w:val="single" w:color="auto" w:sz="4" w:space="0"/>
            </w:tcBorders>
            <w:shd w:val="clear" w:color="auto" w:fill="auto"/>
            <w:noWrap/>
            <w:vAlign w:val="center"/>
          </w:tcPr>
          <w:p>
            <w:pPr>
              <w:widowControl/>
              <w:jc w:val="center"/>
              <w:rPr>
                <w:rFonts w:ascii="华文中宋" w:hAnsi="华文中宋" w:eastAsia="华文中宋" w:cs="华文中宋"/>
                <w:bCs/>
                <w:kern w:val="0"/>
                <w:szCs w:val="21"/>
              </w:rPr>
            </w:pPr>
            <w:r>
              <w:rPr>
                <w:rFonts w:hint="eastAsia" w:ascii="华文中宋" w:hAnsi="华文中宋" w:eastAsia="华文中宋" w:cs="华文中宋"/>
                <w:bCs/>
                <w:kern w:val="0"/>
                <w:szCs w:val="21"/>
              </w:rPr>
              <w:t>2*150MW</w:t>
            </w:r>
          </w:p>
        </w:tc>
      </w:tr>
      <w:tr>
        <w:tblPrEx>
          <w:tblCellMar>
            <w:top w:w="0" w:type="dxa"/>
            <w:left w:w="108" w:type="dxa"/>
            <w:bottom w:w="0" w:type="dxa"/>
            <w:right w:w="108" w:type="dxa"/>
          </w:tblCellMar>
        </w:tblPrEx>
        <w:trPr>
          <w:trHeight w:val="552" w:hRule="atLeast"/>
        </w:trPr>
        <w:tc>
          <w:tcPr>
            <w:tcW w:w="261"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华文中宋" w:hAnsi="华文中宋" w:eastAsia="华文中宋" w:cs="华文中宋"/>
                <w:bCs/>
                <w:kern w:val="0"/>
                <w:szCs w:val="21"/>
              </w:rPr>
            </w:pPr>
            <w:r>
              <w:rPr>
                <w:rFonts w:hint="eastAsia" w:ascii="华文中宋" w:hAnsi="华文中宋" w:eastAsia="华文中宋" w:cs="华文中宋"/>
                <w:bCs/>
                <w:kern w:val="0"/>
                <w:szCs w:val="21"/>
              </w:rPr>
              <w:t>2</w:t>
            </w:r>
          </w:p>
        </w:tc>
        <w:tc>
          <w:tcPr>
            <w:tcW w:w="1647" w:type="pct"/>
            <w:tcBorders>
              <w:top w:val="nil"/>
              <w:left w:val="nil"/>
              <w:bottom w:val="single" w:color="auto" w:sz="4" w:space="0"/>
              <w:right w:val="single" w:color="auto" w:sz="4" w:space="0"/>
            </w:tcBorders>
            <w:shd w:val="clear" w:color="auto" w:fill="auto"/>
            <w:noWrap/>
            <w:vAlign w:val="center"/>
          </w:tcPr>
          <w:p>
            <w:pPr>
              <w:widowControl/>
              <w:jc w:val="center"/>
              <w:rPr>
                <w:rFonts w:ascii="华文中宋" w:hAnsi="华文中宋" w:eastAsia="华文中宋" w:cs="华文中宋"/>
                <w:bCs/>
                <w:kern w:val="0"/>
                <w:szCs w:val="21"/>
              </w:rPr>
            </w:pPr>
            <w:r>
              <w:rPr>
                <w:rFonts w:hint="eastAsia" w:ascii="华文中宋" w:hAnsi="华文中宋" w:eastAsia="华文中宋" w:cs="华文中宋"/>
                <w:bCs/>
                <w:kern w:val="0"/>
                <w:szCs w:val="21"/>
              </w:rPr>
              <w:t>内蒙古宜化化工有限公司</w:t>
            </w:r>
          </w:p>
        </w:tc>
        <w:tc>
          <w:tcPr>
            <w:tcW w:w="481" w:type="pct"/>
            <w:tcBorders>
              <w:top w:val="nil"/>
              <w:left w:val="nil"/>
              <w:bottom w:val="single" w:color="auto" w:sz="4" w:space="0"/>
              <w:right w:val="single" w:color="auto" w:sz="4" w:space="0"/>
            </w:tcBorders>
            <w:shd w:val="clear" w:color="auto" w:fill="auto"/>
            <w:noWrap/>
            <w:vAlign w:val="center"/>
          </w:tcPr>
          <w:p>
            <w:pPr>
              <w:widowControl/>
              <w:jc w:val="center"/>
              <w:rPr>
                <w:rFonts w:ascii="华文中宋" w:hAnsi="华文中宋" w:eastAsia="华文中宋" w:cs="华文中宋"/>
                <w:bCs/>
                <w:kern w:val="0"/>
                <w:szCs w:val="21"/>
              </w:rPr>
            </w:pPr>
            <w:r>
              <w:rPr>
                <w:rFonts w:hint="eastAsia" w:ascii="华文中宋" w:hAnsi="华文中宋" w:eastAsia="华文中宋" w:cs="华文中宋"/>
                <w:bCs/>
                <w:kern w:val="0"/>
                <w:szCs w:val="21"/>
              </w:rPr>
              <w:t>330t/h</w:t>
            </w:r>
          </w:p>
        </w:tc>
        <w:tc>
          <w:tcPr>
            <w:tcW w:w="618" w:type="pct"/>
            <w:tcBorders>
              <w:top w:val="nil"/>
              <w:left w:val="nil"/>
              <w:bottom w:val="single" w:color="auto" w:sz="4" w:space="0"/>
              <w:right w:val="single" w:color="auto" w:sz="4" w:space="0"/>
            </w:tcBorders>
            <w:shd w:val="clear" w:color="auto" w:fill="auto"/>
            <w:noWrap/>
            <w:vAlign w:val="center"/>
          </w:tcPr>
          <w:p>
            <w:pPr>
              <w:widowControl/>
              <w:jc w:val="center"/>
              <w:rPr>
                <w:rFonts w:ascii="华文中宋" w:hAnsi="华文中宋" w:eastAsia="华文中宋" w:cs="华文中宋"/>
                <w:bCs/>
                <w:kern w:val="0"/>
                <w:szCs w:val="21"/>
              </w:rPr>
            </w:pPr>
            <w:r>
              <w:rPr>
                <w:rFonts w:hint="eastAsia" w:ascii="华文中宋" w:hAnsi="华文中宋" w:eastAsia="华文中宋" w:cs="华文中宋"/>
                <w:bCs/>
                <w:kern w:val="0"/>
                <w:szCs w:val="21"/>
              </w:rPr>
              <w:t>170t/h</w:t>
            </w:r>
          </w:p>
        </w:tc>
        <w:tc>
          <w:tcPr>
            <w:tcW w:w="479" w:type="pct"/>
            <w:tcBorders>
              <w:top w:val="nil"/>
              <w:left w:val="nil"/>
              <w:bottom w:val="single" w:color="auto" w:sz="4" w:space="0"/>
              <w:right w:val="single" w:color="auto" w:sz="4" w:space="0"/>
            </w:tcBorders>
            <w:shd w:val="clear" w:color="auto" w:fill="auto"/>
            <w:noWrap/>
            <w:vAlign w:val="center"/>
          </w:tcPr>
          <w:p>
            <w:pPr>
              <w:widowControl/>
              <w:jc w:val="center"/>
              <w:rPr>
                <w:rFonts w:ascii="华文中宋" w:hAnsi="华文中宋" w:eastAsia="华文中宋" w:cs="华文中宋"/>
                <w:bCs/>
                <w:kern w:val="0"/>
                <w:szCs w:val="21"/>
              </w:rPr>
            </w:pPr>
            <w:r>
              <w:rPr>
                <w:rFonts w:hint="eastAsia" w:ascii="华文中宋" w:hAnsi="华文中宋" w:eastAsia="华文中宋" w:cs="华文中宋"/>
                <w:bCs/>
                <w:kern w:val="0"/>
                <w:szCs w:val="21"/>
              </w:rPr>
              <w:t>160t/h</w:t>
            </w:r>
          </w:p>
        </w:tc>
        <w:tc>
          <w:tcPr>
            <w:tcW w:w="823" w:type="pct"/>
            <w:tcBorders>
              <w:top w:val="nil"/>
              <w:left w:val="nil"/>
              <w:bottom w:val="single" w:color="auto" w:sz="4" w:space="0"/>
              <w:right w:val="single" w:color="auto" w:sz="4" w:space="0"/>
            </w:tcBorders>
            <w:shd w:val="clear" w:color="auto" w:fill="auto"/>
            <w:noWrap/>
            <w:vAlign w:val="center"/>
          </w:tcPr>
          <w:p>
            <w:pPr>
              <w:widowControl/>
              <w:jc w:val="center"/>
              <w:rPr>
                <w:rFonts w:ascii="华文中宋" w:hAnsi="华文中宋" w:eastAsia="华文中宋" w:cs="华文中宋"/>
                <w:bCs/>
                <w:kern w:val="0"/>
                <w:szCs w:val="21"/>
              </w:rPr>
            </w:pPr>
            <w:r>
              <w:rPr>
                <w:rFonts w:hint="eastAsia" w:ascii="华文中宋" w:hAnsi="华文中宋" w:eastAsia="华文中宋" w:cs="华文中宋"/>
                <w:bCs/>
                <w:kern w:val="0"/>
                <w:szCs w:val="21"/>
              </w:rPr>
              <w:t>4*130T</w:t>
            </w:r>
          </w:p>
        </w:tc>
        <w:tc>
          <w:tcPr>
            <w:tcW w:w="691" w:type="pct"/>
            <w:tcBorders>
              <w:top w:val="nil"/>
              <w:left w:val="nil"/>
              <w:bottom w:val="single" w:color="auto" w:sz="4" w:space="0"/>
              <w:right w:val="single" w:color="auto" w:sz="4" w:space="0"/>
            </w:tcBorders>
            <w:shd w:val="clear" w:color="auto" w:fill="auto"/>
            <w:noWrap/>
            <w:vAlign w:val="center"/>
          </w:tcPr>
          <w:p>
            <w:pPr>
              <w:widowControl/>
              <w:jc w:val="center"/>
              <w:rPr>
                <w:rFonts w:ascii="华文中宋" w:hAnsi="华文中宋" w:eastAsia="华文中宋" w:cs="华文中宋"/>
                <w:bCs/>
                <w:kern w:val="0"/>
                <w:szCs w:val="21"/>
              </w:rPr>
            </w:pPr>
            <w:r>
              <w:rPr>
                <w:rFonts w:hint="eastAsia" w:ascii="华文中宋" w:hAnsi="华文中宋" w:eastAsia="华文中宋" w:cs="华文中宋"/>
                <w:bCs/>
                <w:kern w:val="0"/>
                <w:szCs w:val="21"/>
              </w:rPr>
              <w:t>4*100MW</w:t>
            </w:r>
          </w:p>
        </w:tc>
      </w:tr>
      <w:tr>
        <w:tblPrEx>
          <w:tblCellMar>
            <w:top w:w="0" w:type="dxa"/>
            <w:left w:w="108" w:type="dxa"/>
            <w:bottom w:w="0" w:type="dxa"/>
            <w:right w:w="108" w:type="dxa"/>
          </w:tblCellMar>
        </w:tblPrEx>
        <w:trPr>
          <w:trHeight w:val="552" w:hRule="atLeast"/>
        </w:trPr>
        <w:tc>
          <w:tcPr>
            <w:tcW w:w="261"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华文中宋" w:hAnsi="华文中宋" w:eastAsia="华文中宋" w:cs="华文中宋"/>
                <w:bCs/>
                <w:kern w:val="0"/>
                <w:szCs w:val="21"/>
              </w:rPr>
            </w:pPr>
            <w:r>
              <w:rPr>
                <w:rFonts w:hint="eastAsia" w:ascii="华文中宋" w:hAnsi="华文中宋" w:eastAsia="华文中宋" w:cs="华文中宋"/>
                <w:bCs/>
                <w:kern w:val="0"/>
                <w:szCs w:val="21"/>
              </w:rPr>
              <w:t>3</w:t>
            </w:r>
          </w:p>
        </w:tc>
        <w:tc>
          <w:tcPr>
            <w:tcW w:w="1647" w:type="pct"/>
            <w:tcBorders>
              <w:top w:val="nil"/>
              <w:left w:val="nil"/>
              <w:bottom w:val="single" w:color="auto" w:sz="4" w:space="0"/>
              <w:right w:val="single" w:color="auto" w:sz="4" w:space="0"/>
            </w:tcBorders>
            <w:shd w:val="clear" w:color="auto" w:fill="auto"/>
            <w:noWrap/>
            <w:vAlign w:val="center"/>
          </w:tcPr>
          <w:p>
            <w:pPr>
              <w:widowControl/>
              <w:jc w:val="center"/>
              <w:rPr>
                <w:rFonts w:ascii="华文中宋" w:hAnsi="华文中宋" w:eastAsia="华文中宋" w:cs="华文中宋"/>
                <w:bCs/>
                <w:kern w:val="0"/>
                <w:szCs w:val="21"/>
              </w:rPr>
            </w:pPr>
            <w:r>
              <w:rPr>
                <w:rFonts w:hint="eastAsia" w:ascii="华文中宋" w:hAnsi="华文中宋" w:eastAsia="华文中宋" w:cs="华文中宋"/>
                <w:bCs/>
                <w:kern w:val="0"/>
                <w:szCs w:val="21"/>
              </w:rPr>
              <w:t>内蒙古恒业成有机硅有限公司</w:t>
            </w:r>
          </w:p>
        </w:tc>
        <w:tc>
          <w:tcPr>
            <w:tcW w:w="481" w:type="pct"/>
            <w:tcBorders>
              <w:top w:val="nil"/>
              <w:left w:val="nil"/>
              <w:bottom w:val="single" w:color="auto" w:sz="4" w:space="0"/>
              <w:right w:val="single" w:color="auto" w:sz="4" w:space="0"/>
            </w:tcBorders>
            <w:shd w:val="clear" w:color="auto" w:fill="auto"/>
            <w:noWrap/>
            <w:vAlign w:val="center"/>
          </w:tcPr>
          <w:p>
            <w:pPr>
              <w:widowControl/>
              <w:jc w:val="center"/>
              <w:rPr>
                <w:rFonts w:ascii="华文中宋" w:hAnsi="华文中宋" w:eastAsia="华文中宋" w:cs="华文中宋"/>
                <w:bCs/>
                <w:kern w:val="0"/>
                <w:szCs w:val="21"/>
              </w:rPr>
            </w:pPr>
            <w:r>
              <w:rPr>
                <w:rFonts w:hint="eastAsia" w:ascii="华文中宋" w:hAnsi="华文中宋" w:eastAsia="华文中宋" w:cs="华文中宋"/>
                <w:bCs/>
                <w:kern w:val="0"/>
                <w:szCs w:val="21"/>
              </w:rPr>
              <w:t>150t/h</w:t>
            </w:r>
          </w:p>
        </w:tc>
        <w:tc>
          <w:tcPr>
            <w:tcW w:w="618" w:type="pct"/>
            <w:tcBorders>
              <w:top w:val="nil"/>
              <w:left w:val="nil"/>
              <w:bottom w:val="single" w:color="auto" w:sz="4" w:space="0"/>
              <w:right w:val="single" w:color="auto" w:sz="4" w:space="0"/>
            </w:tcBorders>
            <w:shd w:val="clear" w:color="auto" w:fill="auto"/>
            <w:noWrap/>
            <w:vAlign w:val="center"/>
          </w:tcPr>
          <w:p>
            <w:pPr>
              <w:widowControl/>
              <w:jc w:val="center"/>
              <w:rPr>
                <w:rFonts w:ascii="华文中宋" w:hAnsi="华文中宋" w:eastAsia="华文中宋" w:cs="华文中宋"/>
                <w:bCs/>
                <w:kern w:val="0"/>
                <w:szCs w:val="21"/>
              </w:rPr>
            </w:pPr>
            <w:r>
              <w:rPr>
                <w:rFonts w:hint="eastAsia" w:ascii="华文中宋" w:hAnsi="华文中宋" w:eastAsia="华文中宋" w:cs="华文中宋"/>
                <w:bCs/>
                <w:kern w:val="0"/>
                <w:szCs w:val="21"/>
              </w:rPr>
              <w:t>120t/h</w:t>
            </w:r>
          </w:p>
        </w:tc>
        <w:tc>
          <w:tcPr>
            <w:tcW w:w="479" w:type="pct"/>
            <w:tcBorders>
              <w:top w:val="nil"/>
              <w:left w:val="nil"/>
              <w:bottom w:val="single" w:color="auto" w:sz="4" w:space="0"/>
              <w:right w:val="single" w:color="auto" w:sz="4" w:space="0"/>
            </w:tcBorders>
            <w:shd w:val="clear" w:color="auto" w:fill="auto"/>
            <w:noWrap/>
            <w:vAlign w:val="center"/>
          </w:tcPr>
          <w:p>
            <w:pPr>
              <w:widowControl/>
              <w:jc w:val="center"/>
              <w:rPr>
                <w:rFonts w:ascii="华文中宋" w:hAnsi="华文中宋" w:eastAsia="华文中宋" w:cs="华文中宋"/>
                <w:bCs/>
                <w:kern w:val="0"/>
                <w:szCs w:val="21"/>
              </w:rPr>
            </w:pPr>
            <w:r>
              <w:rPr>
                <w:rFonts w:hint="eastAsia" w:ascii="华文中宋" w:hAnsi="华文中宋" w:eastAsia="华文中宋" w:cs="华文中宋"/>
                <w:bCs/>
                <w:kern w:val="0"/>
                <w:szCs w:val="21"/>
              </w:rPr>
              <w:t>30t/h</w:t>
            </w:r>
          </w:p>
        </w:tc>
        <w:tc>
          <w:tcPr>
            <w:tcW w:w="823" w:type="pct"/>
            <w:tcBorders>
              <w:top w:val="nil"/>
              <w:left w:val="nil"/>
              <w:bottom w:val="single" w:color="auto" w:sz="4" w:space="0"/>
              <w:right w:val="single" w:color="auto" w:sz="4" w:space="0"/>
            </w:tcBorders>
            <w:shd w:val="clear" w:color="auto" w:fill="auto"/>
            <w:noWrap/>
            <w:vAlign w:val="center"/>
          </w:tcPr>
          <w:p>
            <w:pPr>
              <w:widowControl/>
              <w:jc w:val="center"/>
              <w:rPr>
                <w:rFonts w:ascii="华文中宋" w:hAnsi="华文中宋" w:eastAsia="华文中宋" w:cs="华文中宋"/>
                <w:bCs/>
                <w:kern w:val="0"/>
                <w:szCs w:val="21"/>
              </w:rPr>
            </w:pPr>
            <w:r>
              <w:rPr>
                <w:rFonts w:hint="eastAsia" w:ascii="华文中宋" w:hAnsi="华文中宋" w:eastAsia="华文中宋" w:cs="华文中宋"/>
                <w:bCs/>
                <w:kern w:val="0"/>
                <w:szCs w:val="21"/>
              </w:rPr>
              <w:t>2*135T</w:t>
            </w:r>
          </w:p>
        </w:tc>
        <w:tc>
          <w:tcPr>
            <w:tcW w:w="691" w:type="pct"/>
            <w:tcBorders>
              <w:top w:val="nil"/>
              <w:left w:val="nil"/>
              <w:bottom w:val="single" w:color="auto" w:sz="4" w:space="0"/>
              <w:right w:val="single" w:color="auto" w:sz="4" w:space="0"/>
            </w:tcBorders>
            <w:shd w:val="clear" w:color="auto" w:fill="auto"/>
            <w:vAlign w:val="center"/>
          </w:tcPr>
          <w:p>
            <w:pPr>
              <w:widowControl/>
              <w:jc w:val="center"/>
              <w:rPr>
                <w:rFonts w:hint="eastAsia" w:ascii="华文中宋" w:hAnsi="华文中宋" w:eastAsia="华文中宋" w:cs="华文中宋"/>
                <w:bCs/>
                <w:kern w:val="0"/>
                <w:szCs w:val="21"/>
                <w:lang w:eastAsia="zh-CN"/>
              </w:rPr>
            </w:pPr>
            <w:r>
              <w:rPr>
                <w:rFonts w:hint="eastAsia" w:ascii="华文中宋" w:hAnsi="华文中宋" w:eastAsia="华文中宋" w:cs="华文中宋"/>
                <w:bCs/>
                <w:kern w:val="0"/>
                <w:szCs w:val="21"/>
              </w:rPr>
              <w:t>1*180MW</w:t>
            </w:r>
          </w:p>
          <w:p>
            <w:pPr>
              <w:widowControl/>
              <w:jc w:val="center"/>
              <w:rPr>
                <w:rFonts w:ascii="华文中宋" w:hAnsi="华文中宋" w:eastAsia="华文中宋" w:cs="华文中宋"/>
                <w:bCs/>
                <w:kern w:val="0"/>
                <w:szCs w:val="21"/>
              </w:rPr>
            </w:pPr>
            <w:r>
              <w:rPr>
                <w:rFonts w:hint="eastAsia" w:ascii="华文中宋" w:hAnsi="华文中宋" w:eastAsia="华文中宋" w:cs="华文中宋"/>
                <w:bCs/>
                <w:kern w:val="0"/>
                <w:szCs w:val="21"/>
              </w:rPr>
              <w:t>1*150MW</w:t>
            </w:r>
          </w:p>
        </w:tc>
      </w:tr>
      <w:tr>
        <w:tblPrEx>
          <w:tblCellMar>
            <w:top w:w="0" w:type="dxa"/>
            <w:left w:w="108" w:type="dxa"/>
            <w:bottom w:w="0" w:type="dxa"/>
            <w:right w:w="108" w:type="dxa"/>
          </w:tblCellMar>
        </w:tblPrEx>
        <w:trPr>
          <w:trHeight w:val="552" w:hRule="atLeast"/>
        </w:trPr>
        <w:tc>
          <w:tcPr>
            <w:tcW w:w="261"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华文中宋" w:hAnsi="华文中宋" w:eastAsia="华文中宋" w:cs="华文中宋"/>
                <w:bCs/>
                <w:kern w:val="0"/>
                <w:szCs w:val="21"/>
              </w:rPr>
            </w:pPr>
            <w:r>
              <w:rPr>
                <w:rFonts w:hint="eastAsia" w:ascii="华文中宋" w:hAnsi="华文中宋" w:eastAsia="华文中宋" w:cs="华文中宋"/>
                <w:bCs/>
                <w:kern w:val="0"/>
                <w:szCs w:val="21"/>
              </w:rPr>
              <w:t>4</w:t>
            </w:r>
          </w:p>
        </w:tc>
        <w:tc>
          <w:tcPr>
            <w:tcW w:w="1647" w:type="pct"/>
            <w:tcBorders>
              <w:top w:val="nil"/>
              <w:left w:val="nil"/>
              <w:bottom w:val="single" w:color="auto" w:sz="4" w:space="0"/>
              <w:right w:val="single" w:color="auto" w:sz="4" w:space="0"/>
            </w:tcBorders>
            <w:shd w:val="clear" w:color="auto" w:fill="auto"/>
            <w:noWrap/>
            <w:vAlign w:val="center"/>
          </w:tcPr>
          <w:p>
            <w:pPr>
              <w:widowControl/>
              <w:jc w:val="center"/>
              <w:rPr>
                <w:rFonts w:ascii="华文中宋" w:hAnsi="华文中宋" w:eastAsia="华文中宋" w:cs="华文中宋"/>
                <w:bCs/>
                <w:kern w:val="0"/>
                <w:szCs w:val="21"/>
              </w:rPr>
            </w:pPr>
            <w:r>
              <w:rPr>
                <w:rFonts w:hint="eastAsia" w:ascii="华文中宋" w:hAnsi="华文中宋" w:eastAsia="华文中宋" w:cs="华文中宋"/>
                <w:bCs/>
                <w:kern w:val="0"/>
                <w:szCs w:val="21"/>
              </w:rPr>
              <w:t>内蒙古君正能源化工股份有限公司</w:t>
            </w:r>
          </w:p>
        </w:tc>
        <w:tc>
          <w:tcPr>
            <w:tcW w:w="481" w:type="pct"/>
            <w:tcBorders>
              <w:top w:val="nil"/>
              <w:left w:val="nil"/>
              <w:bottom w:val="single" w:color="auto" w:sz="4" w:space="0"/>
              <w:right w:val="single" w:color="auto" w:sz="4" w:space="0"/>
            </w:tcBorders>
            <w:shd w:val="clear" w:color="auto" w:fill="auto"/>
            <w:noWrap/>
            <w:vAlign w:val="center"/>
          </w:tcPr>
          <w:p>
            <w:pPr>
              <w:widowControl/>
              <w:jc w:val="center"/>
              <w:rPr>
                <w:rFonts w:ascii="华文中宋" w:hAnsi="华文中宋" w:eastAsia="华文中宋" w:cs="华文中宋"/>
                <w:bCs/>
                <w:kern w:val="0"/>
                <w:szCs w:val="21"/>
              </w:rPr>
            </w:pPr>
            <w:r>
              <w:rPr>
                <w:rFonts w:hint="eastAsia" w:ascii="华文中宋" w:hAnsi="华文中宋" w:eastAsia="华文中宋" w:cs="华文中宋"/>
                <w:bCs/>
                <w:kern w:val="0"/>
                <w:szCs w:val="21"/>
              </w:rPr>
              <w:t>150t/h</w:t>
            </w:r>
          </w:p>
        </w:tc>
        <w:tc>
          <w:tcPr>
            <w:tcW w:w="618" w:type="pct"/>
            <w:tcBorders>
              <w:top w:val="nil"/>
              <w:left w:val="nil"/>
              <w:bottom w:val="single" w:color="auto" w:sz="4" w:space="0"/>
              <w:right w:val="single" w:color="auto" w:sz="4" w:space="0"/>
            </w:tcBorders>
            <w:shd w:val="clear" w:color="auto" w:fill="auto"/>
            <w:noWrap/>
            <w:vAlign w:val="center"/>
          </w:tcPr>
          <w:p>
            <w:pPr>
              <w:widowControl/>
              <w:jc w:val="center"/>
              <w:rPr>
                <w:rFonts w:ascii="华文中宋" w:hAnsi="华文中宋" w:eastAsia="华文中宋" w:cs="华文中宋"/>
                <w:bCs/>
                <w:kern w:val="0"/>
                <w:szCs w:val="21"/>
              </w:rPr>
            </w:pPr>
            <w:r>
              <w:rPr>
                <w:rFonts w:hint="eastAsia" w:ascii="华文中宋" w:hAnsi="华文中宋" w:eastAsia="华文中宋" w:cs="华文中宋"/>
                <w:bCs/>
                <w:kern w:val="0"/>
                <w:szCs w:val="21"/>
              </w:rPr>
              <w:t>100t/h</w:t>
            </w:r>
          </w:p>
        </w:tc>
        <w:tc>
          <w:tcPr>
            <w:tcW w:w="479" w:type="pct"/>
            <w:tcBorders>
              <w:top w:val="nil"/>
              <w:left w:val="nil"/>
              <w:bottom w:val="single" w:color="auto" w:sz="4" w:space="0"/>
              <w:right w:val="single" w:color="auto" w:sz="4" w:space="0"/>
            </w:tcBorders>
            <w:shd w:val="clear" w:color="auto" w:fill="auto"/>
            <w:noWrap/>
            <w:vAlign w:val="center"/>
          </w:tcPr>
          <w:p>
            <w:pPr>
              <w:widowControl/>
              <w:jc w:val="center"/>
              <w:rPr>
                <w:rFonts w:ascii="华文中宋" w:hAnsi="华文中宋" w:eastAsia="华文中宋" w:cs="华文中宋"/>
                <w:bCs/>
                <w:kern w:val="0"/>
                <w:szCs w:val="21"/>
              </w:rPr>
            </w:pPr>
            <w:r>
              <w:rPr>
                <w:rFonts w:hint="eastAsia" w:ascii="华文中宋" w:hAnsi="华文中宋" w:eastAsia="华文中宋" w:cs="华文中宋"/>
                <w:bCs/>
                <w:kern w:val="0"/>
                <w:szCs w:val="21"/>
              </w:rPr>
              <w:t>50t/h</w:t>
            </w:r>
          </w:p>
        </w:tc>
        <w:tc>
          <w:tcPr>
            <w:tcW w:w="823" w:type="pct"/>
            <w:tcBorders>
              <w:top w:val="nil"/>
              <w:left w:val="nil"/>
              <w:bottom w:val="single" w:color="auto" w:sz="4" w:space="0"/>
              <w:right w:val="single" w:color="auto" w:sz="4" w:space="0"/>
            </w:tcBorders>
            <w:shd w:val="clear" w:color="auto" w:fill="auto"/>
            <w:vAlign w:val="center"/>
          </w:tcPr>
          <w:p>
            <w:pPr>
              <w:widowControl/>
              <w:jc w:val="center"/>
              <w:rPr>
                <w:rFonts w:hint="eastAsia" w:ascii="华文中宋" w:hAnsi="华文中宋" w:eastAsia="华文中宋" w:cs="华文中宋"/>
                <w:bCs/>
                <w:kern w:val="0"/>
                <w:szCs w:val="21"/>
                <w:lang w:eastAsia="zh-CN"/>
              </w:rPr>
            </w:pPr>
            <w:r>
              <w:rPr>
                <w:rFonts w:hint="eastAsia" w:ascii="华文中宋" w:hAnsi="华文中宋" w:eastAsia="华文中宋" w:cs="华文中宋"/>
                <w:bCs/>
                <w:kern w:val="0"/>
                <w:szCs w:val="21"/>
              </w:rPr>
              <w:t>2*460T</w:t>
            </w:r>
          </w:p>
          <w:p>
            <w:pPr>
              <w:widowControl/>
              <w:jc w:val="center"/>
              <w:rPr>
                <w:rFonts w:ascii="华文中宋" w:hAnsi="华文中宋" w:eastAsia="华文中宋" w:cs="华文中宋"/>
                <w:bCs/>
                <w:kern w:val="0"/>
                <w:szCs w:val="21"/>
              </w:rPr>
            </w:pPr>
            <w:r>
              <w:rPr>
                <w:rFonts w:hint="eastAsia" w:ascii="华文中宋" w:hAnsi="华文中宋" w:eastAsia="华文中宋" w:cs="华文中宋"/>
                <w:bCs/>
                <w:kern w:val="0"/>
                <w:szCs w:val="21"/>
              </w:rPr>
              <w:t>1*720T</w:t>
            </w:r>
          </w:p>
        </w:tc>
        <w:tc>
          <w:tcPr>
            <w:tcW w:w="691" w:type="pct"/>
            <w:tcBorders>
              <w:top w:val="nil"/>
              <w:left w:val="nil"/>
              <w:bottom w:val="single" w:color="auto" w:sz="4" w:space="0"/>
              <w:right w:val="single" w:color="auto" w:sz="4" w:space="0"/>
            </w:tcBorders>
            <w:shd w:val="clear" w:color="auto" w:fill="auto"/>
            <w:vAlign w:val="center"/>
          </w:tcPr>
          <w:p>
            <w:pPr>
              <w:widowControl/>
              <w:jc w:val="center"/>
              <w:rPr>
                <w:rFonts w:hint="eastAsia" w:ascii="华文中宋" w:hAnsi="华文中宋" w:eastAsia="华文中宋" w:cs="华文中宋"/>
                <w:bCs/>
                <w:kern w:val="0"/>
                <w:szCs w:val="21"/>
                <w:lang w:eastAsia="zh-CN"/>
              </w:rPr>
            </w:pPr>
            <w:r>
              <w:rPr>
                <w:rFonts w:hint="eastAsia" w:ascii="华文中宋" w:hAnsi="华文中宋" w:eastAsia="华文中宋" w:cs="华文中宋"/>
                <w:bCs/>
                <w:kern w:val="0"/>
                <w:szCs w:val="21"/>
              </w:rPr>
              <w:t>2*150MW</w:t>
            </w:r>
          </w:p>
          <w:p>
            <w:pPr>
              <w:widowControl/>
              <w:jc w:val="center"/>
              <w:rPr>
                <w:rFonts w:ascii="华文中宋" w:hAnsi="华文中宋" w:eastAsia="华文中宋" w:cs="华文中宋"/>
                <w:bCs/>
                <w:kern w:val="0"/>
                <w:szCs w:val="21"/>
              </w:rPr>
            </w:pPr>
            <w:r>
              <w:rPr>
                <w:rFonts w:hint="eastAsia" w:ascii="华文中宋" w:hAnsi="华文中宋" w:eastAsia="华文中宋" w:cs="华文中宋"/>
                <w:bCs/>
                <w:kern w:val="0"/>
                <w:szCs w:val="21"/>
              </w:rPr>
              <w:t>1*200MW</w:t>
            </w:r>
          </w:p>
        </w:tc>
      </w:tr>
      <w:tr>
        <w:tblPrEx>
          <w:tblCellMar>
            <w:top w:w="0" w:type="dxa"/>
            <w:left w:w="108" w:type="dxa"/>
            <w:bottom w:w="0" w:type="dxa"/>
            <w:right w:w="108" w:type="dxa"/>
          </w:tblCellMar>
        </w:tblPrEx>
        <w:trPr>
          <w:trHeight w:val="552" w:hRule="atLeast"/>
        </w:trPr>
        <w:tc>
          <w:tcPr>
            <w:tcW w:w="261"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华文中宋" w:hAnsi="华文中宋" w:eastAsia="华文中宋" w:cs="华文中宋"/>
                <w:bCs/>
                <w:kern w:val="0"/>
                <w:szCs w:val="21"/>
              </w:rPr>
            </w:pPr>
            <w:r>
              <w:rPr>
                <w:rFonts w:hint="eastAsia" w:ascii="华文中宋" w:hAnsi="华文中宋" w:eastAsia="华文中宋" w:cs="华文中宋"/>
                <w:bCs/>
                <w:kern w:val="0"/>
                <w:szCs w:val="21"/>
              </w:rPr>
              <w:t>5</w:t>
            </w:r>
          </w:p>
        </w:tc>
        <w:tc>
          <w:tcPr>
            <w:tcW w:w="1647" w:type="pct"/>
            <w:tcBorders>
              <w:top w:val="nil"/>
              <w:left w:val="nil"/>
              <w:bottom w:val="single" w:color="auto" w:sz="4" w:space="0"/>
              <w:right w:val="single" w:color="auto" w:sz="4" w:space="0"/>
            </w:tcBorders>
            <w:shd w:val="clear" w:color="auto" w:fill="auto"/>
            <w:noWrap/>
            <w:vAlign w:val="center"/>
          </w:tcPr>
          <w:p>
            <w:pPr>
              <w:widowControl/>
              <w:jc w:val="center"/>
              <w:rPr>
                <w:rFonts w:ascii="华文中宋" w:hAnsi="华文中宋" w:eastAsia="华文中宋" w:cs="华文中宋"/>
                <w:bCs/>
                <w:kern w:val="0"/>
                <w:szCs w:val="21"/>
              </w:rPr>
            </w:pPr>
            <w:r>
              <w:rPr>
                <w:rFonts w:hint="eastAsia" w:ascii="华文中宋" w:hAnsi="华文中宋" w:eastAsia="华文中宋" w:cs="华文中宋"/>
                <w:bCs/>
                <w:kern w:val="0"/>
                <w:szCs w:val="21"/>
              </w:rPr>
              <w:t>内蒙古东源科技有限公司热电厂</w:t>
            </w:r>
          </w:p>
        </w:tc>
        <w:tc>
          <w:tcPr>
            <w:tcW w:w="481" w:type="pct"/>
            <w:tcBorders>
              <w:top w:val="nil"/>
              <w:left w:val="nil"/>
              <w:bottom w:val="single" w:color="auto" w:sz="4" w:space="0"/>
              <w:right w:val="single" w:color="auto" w:sz="4" w:space="0"/>
            </w:tcBorders>
            <w:shd w:val="clear" w:color="auto" w:fill="auto"/>
            <w:noWrap/>
            <w:vAlign w:val="center"/>
          </w:tcPr>
          <w:p>
            <w:pPr>
              <w:widowControl/>
              <w:jc w:val="center"/>
              <w:rPr>
                <w:rFonts w:ascii="华文中宋" w:hAnsi="华文中宋" w:eastAsia="华文中宋" w:cs="华文中宋"/>
                <w:bCs/>
                <w:kern w:val="0"/>
                <w:szCs w:val="21"/>
              </w:rPr>
            </w:pPr>
            <w:r>
              <w:rPr>
                <w:rFonts w:hint="eastAsia" w:ascii="华文中宋" w:hAnsi="华文中宋" w:eastAsia="华文中宋" w:cs="华文中宋"/>
                <w:bCs/>
                <w:kern w:val="0"/>
                <w:szCs w:val="21"/>
              </w:rPr>
              <w:t>400t/h</w:t>
            </w:r>
          </w:p>
        </w:tc>
        <w:tc>
          <w:tcPr>
            <w:tcW w:w="618" w:type="pct"/>
            <w:tcBorders>
              <w:top w:val="nil"/>
              <w:left w:val="nil"/>
              <w:bottom w:val="single" w:color="auto" w:sz="4" w:space="0"/>
              <w:right w:val="single" w:color="auto" w:sz="4" w:space="0"/>
            </w:tcBorders>
            <w:shd w:val="clear" w:color="auto" w:fill="auto"/>
            <w:vAlign w:val="center"/>
          </w:tcPr>
          <w:p>
            <w:pPr>
              <w:widowControl/>
              <w:jc w:val="center"/>
              <w:rPr>
                <w:rFonts w:hint="eastAsia" w:ascii="华文中宋" w:hAnsi="华文中宋" w:eastAsia="华文中宋" w:cs="华文中宋"/>
                <w:bCs/>
                <w:kern w:val="0"/>
                <w:szCs w:val="21"/>
                <w:lang w:eastAsia="zh-CN"/>
              </w:rPr>
            </w:pPr>
            <w:r>
              <w:rPr>
                <w:rFonts w:hint="eastAsia" w:ascii="华文中宋" w:hAnsi="华文中宋" w:eastAsia="华文中宋" w:cs="华文中宋"/>
                <w:bCs/>
                <w:kern w:val="0"/>
                <w:szCs w:val="21"/>
              </w:rPr>
              <w:t>100t/h</w:t>
            </w:r>
          </w:p>
          <w:p>
            <w:pPr>
              <w:widowControl/>
              <w:jc w:val="center"/>
              <w:rPr>
                <w:rFonts w:ascii="华文中宋" w:hAnsi="华文中宋" w:eastAsia="华文中宋" w:cs="华文中宋"/>
                <w:bCs/>
                <w:kern w:val="0"/>
                <w:szCs w:val="21"/>
              </w:rPr>
            </w:pPr>
            <w:r>
              <w:rPr>
                <w:rFonts w:hint="eastAsia" w:ascii="华文中宋" w:hAnsi="华文中宋" w:eastAsia="华文中宋" w:cs="华文中宋"/>
                <w:bCs/>
                <w:kern w:val="0"/>
                <w:szCs w:val="21"/>
              </w:rPr>
              <w:t>民用150t/h</w:t>
            </w:r>
          </w:p>
        </w:tc>
        <w:tc>
          <w:tcPr>
            <w:tcW w:w="479" w:type="pct"/>
            <w:tcBorders>
              <w:top w:val="nil"/>
              <w:left w:val="nil"/>
              <w:bottom w:val="single" w:color="auto" w:sz="4" w:space="0"/>
              <w:right w:val="single" w:color="auto" w:sz="4" w:space="0"/>
            </w:tcBorders>
            <w:shd w:val="clear" w:color="auto" w:fill="auto"/>
            <w:noWrap/>
            <w:vAlign w:val="center"/>
          </w:tcPr>
          <w:p>
            <w:pPr>
              <w:widowControl/>
              <w:jc w:val="center"/>
              <w:rPr>
                <w:rFonts w:ascii="华文中宋" w:hAnsi="华文中宋" w:eastAsia="华文中宋" w:cs="华文中宋"/>
                <w:bCs/>
                <w:kern w:val="0"/>
                <w:szCs w:val="21"/>
              </w:rPr>
            </w:pPr>
            <w:r>
              <w:rPr>
                <w:rFonts w:hint="eastAsia" w:ascii="华文中宋" w:hAnsi="华文中宋" w:eastAsia="华文中宋" w:cs="华文中宋"/>
                <w:bCs/>
                <w:kern w:val="0"/>
                <w:szCs w:val="21"/>
              </w:rPr>
              <w:t>150t/h</w:t>
            </w:r>
          </w:p>
        </w:tc>
        <w:tc>
          <w:tcPr>
            <w:tcW w:w="823" w:type="pct"/>
            <w:tcBorders>
              <w:top w:val="nil"/>
              <w:left w:val="nil"/>
              <w:bottom w:val="single" w:color="auto" w:sz="4" w:space="0"/>
              <w:right w:val="single" w:color="auto" w:sz="4" w:space="0"/>
            </w:tcBorders>
            <w:shd w:val="clear" w:color="auto" w:fill="auto"/>
            <w:noWrap/>
            <w:vAlign w:val="center"/>
          </w:tcPr>
          <w:p>
            <w:pPr>
              <w:widowControl/>
              <w:jc w:val="center"/>
              <w:rPr>
                <w:rFonts w:ascii="华文中宋" w:hAnsi="华文中宋" w:eastAsia="华文中宋" w:cs="华文中宋"/>
                <w:bCs/>
                <w:kern w:val="0"/>
                <w:szCs w:val="21"/>
              </w:rPr>
            </w:pPr>
            <w:r>
              <w:rPr>
                <w:rFonts w:hint="eastAsia" w:ascii="华文中宋" w:hAnsi="华文中宋" w:eastAsia="华文中宋" w:cs="华文中宋"/>
                <w:bCs/>
                <w:kern w:val="0"/>
                <w:szCs w:val="21"/>
              </w:rPr>
              <w:t>5*260T</w:t>
            </w:r>
          </w:p>
        </w:tc>
        <w:tc>
          <w:tcPr>
            <w:tcW w:w="691" w:type="pct"/>
            <w:tcBorders>
              <w:top w:val="nil"/>
              <w:left w:val="nil"/>
              <w:bottom w:val="single" w:color="auto" w:sz="4" w:space="0"/>
              <w:right w:val="single" w:color="auto" w:sz="4" w:space="0"/>
            </w:tcBorders>
            <w:shd w:val="clear" w:color="auto" w:fill="auto"/>
            <w:noWrap/>
            <w:vAlign w:val="center"/>
          </w:tcPr>
          <w:p>
            <w:pPr>
              <w:widowControl/>
              <w:jc w:val="center"/>
              <w:rPr>
                <w:rFonts w:ascii="华文中宋" w:hAnsi="华文中宋" w:eastAsia="华文中宋" w:cs="华文中宋"/>
                <w:bCs/>
                <w:kern w:val="0"/>
                <w:szCs w:val="21"/>
              </w:rPr>
            </w:pPr>
            <w:r>
              <w:rPr>
                <w:rFonts w:hint="eastAsia" w:ascii="华文中宋" w:hAnsi="华文中宋" w:eastAsia="华文中宋" w:cs="华文中宋"/>
                <w:bCs/>
                <w:kern w:val="0"/>
                <w:szCs w:val="21"/>
              </w:rPr>
              <w:t>4*50MW</w:t>
            </w:r>
          </w:p>
        </w:tc>
      </w:tr>
      <w:tr>
        <w:tblPrEx>
          <w:tblCellMar>
            <w:top w:w="0" w:type="dxa"/>
            <w:left w:w="108" w:type="dxa"/>
            <w:bottom w:w="0" w:type="dxa"/>
            <w:right w:w="108" w:type="dxa"/>
          </w:tblCellMar>
        </w:tblPrEx>
        <w:trPr>
          <w:trHeight w:val="552" w:hRule="atLeast"/>
        </w:trPr>
        <w:tc>
          <w:tcPr>
            <w:tcW w:w="261"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华文中宋" w:hAnsi="华文中宋" w:eastAsia="华文中宋" w:cs="华文中宋"/>
                <w:bCs/>
                <w:kern w:val="0"/>
                <w:szCs w:val="21"/>
              </w:rPr>
            </w:pPr>
            <w:r>
              <w:rPr>
                <w:rFonts w:hint="eastAsia" w:ascii="华文中宋" w:hAnsi="华文中宋" w:eastAsia="华文中宋" w:cs="华文中宋"/>
                <w:bCs/>
                <w:kern w:val="0"/>
                <w:szCs w:val="21"/>
              </w:rPr>
              <w:t>6</w:t>
            </w:r>
          </w:p>
        </w:tc>
        <w:tc>
          <w:tcPr>
            <w:tcW w:w="1647" w:type="pct"/>
            <w:tcBorders>
              <w:top w:val="nil"/>
              <w:left w:val="nil"/>
              <w:bottom w:val="single" w:color="auto" w:sz="4" w:space="0"/>
              <w:right w:val="single" w:color="auto" w:sz="4" w:space="0"/>
            </w:tcBorders>
            <w:shd w:val="clear" w:color="auto" w:fill="auto"/>
            <w:noWrap/>
            <w:vAlign w:val="center"/>
          </w:tcPr>
          <w:p>
            <w:pPr>
              <w:widowControl/>
              <w:jc w:val="center"/>
              <w:rPr>
                <w:rFonts w:ascii="华文中宋" w:hAnsi="华文中宋" w:eastAsia="华文中宋" w:cs="华文中宋"/>
                <w:bCs/>
                <w:kern w:val="0"/>
                <w:szCs w:val="21"/>
              </w:rPr>
            </w:pPr>
            <w:r>
              <w:rPr>
                <w:rFonts w:hint="eastAsia" w:ascii="华文中宋" w:hAnsi="华文中宋" w:eastAsia="华文中宋" w:cs="华文中宋"/>
                <w:bCs/>
                <w:kern w:val="0"/>
                <w:szCs w:val="21"/>
              </w:rPr>
              <w:t>内蒙古东源科技有限公司二期电厂</w:t>
            </w:r>
          </w:p>
        </w:tc>
        <w:tc>
          <w:tcPr>
            <w:tcW w:w="481" w:type="pct"/>
            <w:tcBorders>
              <w:top w:val="nil"/>
              <w:left w:val="nil"/>
              <w:bottom w:val="single" w:color="auto" w:sz="4" w:space="0"/>
              <w:right w:val="single" w:color="auto" w:sz="4" w:space="0"/>
            </w:tcBorders>
            <w:shd w:val="clear" w:color="auto" w:fill="auto"/>
            <w:noWrap/>
            <w:vAlign w:val="center"/>
          </w:tcPr>
          <w:p>
            <w:pPr>
              <w:widowControl/>
              <w:jc w:val="center"/>
              <w:rPr>
                <w:rFonts w:ascii="华文中宋" w:hAnsi="华文中宋" w:eastAsia="华文中宋" w:cs="华文中宋"/>
                <w:bCs/>
                <w:kern w:val="0"/>
                <w:szCs w:val="21"/>
              </w:rPr>
            </w:pPr>
            <w:r>
              <w:rPr>
                <w:rFonts w:hint="eastAsia" w:ascii="华文中宋" w:hAnsi="华文中宋" w:eastAsia="华文中宋" w:cs="华文中宋"/>
                <w:bCs/>
                <w:kern w:val="0"/>
                <w:szCs w:val="21"/>
              </w:rPr>
              <w:t>573t/h</w:t>
            </w:r>
          </w:p>
        </w:tc>
        <w:tc>
          <w:tcPr>
            <w:tcW w:w="618" w:type="pct"/>
            <w:tcBorders>
              <w:top w:val="nil"/>
              <w:left w:val="nil"/>
              <w:bottom w:val="single" w:color="auto" w:sz="4" w:space="0"/>
              <w:right w:val="single" w:color="auto" w:sz="4" w:space="0"/>
            </w:tcBorders>
            <w:shd w:val="clear" w:color="auto" w:fill="auto"/>
            <w:noWrap/>
            <w:vAlign w:val="center"/>
          </w:tcPr>
          <w:p>
            <w:pPr>
              <w:widowControl/>
              <w:jc w:val="center"/>
              <w:rPr>
                <w:rFonts w:ascii="华文中宋" w:hAnsi="华文中宋" w:eastAsia="华文中宋" w:cs="华文中宋"/>
                <w:bCs/>
                <w:kern w:val="0"/>
                <w:szCs w:val="21"/>
              </w:rPr>
            </w:pPr>
          </w:p>
        </w:tc>
        <w:tc>
          <w:tcPr>
            <w:tcW w:w="479" w:type="pct"/>
            <w:tcBorders>
              <w:top w:val="nil"/>
              <w:left w:val="nil"/>
              <w:bottom w:val="single" w:color="auto" w:sz="4" w:space="0"/>
              <w:right w:val="single" w:color="auto" w:sz="4" w:space="0"/>
            </w:tcBorders>
            <w:shd w:val="clear" w:color="auto" w:fill="auto"/>
            <w:noWrap/>
            <w:vAlign w:val="center"/>
          </w:tcPr>
          <w:p>
            <w:pPr>
              <w:widowControl/>
              <w:jc w:val="center"/>
              <w:rPr>
                <w:rFonts w:ascii="华文中宋" w:hAnsi="华文中宋" w:eastAsia="华文中宋" w:cs="华文中宋"/>
                <w:bCs/>
                <w:kern w:val="0"/>
                <w:szCs w:val="21"/>
              </w:rPr>
            </w:pPr>
          </w:p>
        </w:tc>
        <w:tc>
          <w:tcPr>
            <w:tcW w:w="823" w:type="pct"/>
            <w:tcBorders>
              <w:top w:val="nil"/>
              <w:left w:val="nil"/>
              <w:bottom w:val="single" w:color="auto" w:sz="4" w:space="0"/>
              <w:right w:val="single" w:color="auto" w:sz="4" w:space="0"/>
            </w:tcBorders>
            <w:shd w:val="clear" w:color="auto" w:fill="auto"/>
            <w:noWrap/>
            <w:vAlign w:val="center"/>
          </w:tcPr>
          <w:p>
            <w:pPr>
              <w:widowControl/>
              <w:jc w:val="center"/>
              <w:rPr>
                <w:rFonts w:ascii="华文中宋" w:hAnsi="华文中宋" w:eastAsia="华文中宋" w:cs="华文中宋"/>
                <w:bCs/>
                <w:kern w:val="0"/>
                <w:szCs w:val="21"/>
              </w:rPr>
            </w:pPr>
            <w:r>
              <w:rPr>
                <w:rFonts w:hint="eastAsia" w:ascii="华文中宋" w:hAnsi="华文中宋" w:eastAsia="华文中宋" w:cs="华文中宋"/>
                <w:bCs/>
                <w:kern w:val="0"/>
                <w:szCs w:val="21"/>
              </w:rPr>
              <w:t>2*1188T</w:t>
            </w:r>
          </w:p>
        </w:tc>
        <w:tc>
          <w:tcPr>
            <w:tcW w:w="691" w:type="pct"/>
            <w:tcBorders>
              <w:top w:val="nil"/>
              <w:left w:val="nil"/>
              <w:bottom w:val="single" w:color="auto" w:sz="4" w:space="0"/>
              <w:right w:val="single" w:color="auto" w:sz="4" w:space="0"/>
            </w:tcBorders>
            <w:shd w:val="clear" w:color="auto" w:fill="auto"/>
            <w:noWrap/>
            <w:vAlign w:val="center"/>
          </w:tcPr>
          <w:p>
            <w:pPr>
              <w:widowControl/>
              <w:jc w:val="center"/>
              <w:rPr>
                <w:rFonts w:ascii="华文中宋" w:hAnsi="华文中宋" w:eastAsia="华文中宋" w:cs="华文中宋"/>
                <w:bCs/>
                <w:kern w:val="0"/>
                <w:szCs w:val="21"/>
              </w:rPr>
            </w:pPr>
            <w:r>
              <w:rPr>
                <w:rFonts w:hint="eastAsia" w:ascii="华文中宋" w:hAnsi="华文中宋" w:eastAsia="华文中宋" w:cs="华文中宋"/>
                <w:bCs/>
                <w:kern w:val="0"/>
                <w:szCs w:val="21"/>
              </w:rPr>
              <w:t>2*330MW</w:t>
            </w:r>
          </w:p>
        </w:tc>
      </w:tr>
      <w:tr>
        <w:tblPrEx>
          <w:tblCellMar>
            <w:top w:w="0" w:type="dxa"/>
            <w:left w:w="108" w:type="dxa"/>
            <w:bottom w:w="0" w:type="dxa"/>
            <w:right w:w="108" w:type="dxa"/>
          </w:tblCellMar>
        </w:tblPrEx>
        <w:trPr>
          <w:trHeight w:val="552" w:hRule="atLeast"/>
        </w:trPr>
        <w:tc>
          <w:tcPr>
            <w:tcW w:w="261"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华文中宋" w:hAnsi="华文中宋" w:eastAsia="华文中宋" w:cs="华文中宋"/>
                <w:bCs/>
                <w:kern w:val="0"/>
                <w:szCs w:val="21"/>
              </w:rPr>
            </w:pPr>
            <w:r>
              <w:rPr>
                <w:rFonts w:hint="eastAsia" w:ascii="华文中宋" w:hAnsi="华文中宋" w:eastAsia="华文中宋" w:cs="华文中宋"/>
                <w:bCs/>
                <w:kern w:val="0"/>
                <w:szCs w:val="21"/>
              </w:rPr>
              <w:t>7</w:t>
            </w:r>
          </w:p>
        </w:tc>
        <w:tc>
          <w:tcPr>
            <w:tcW w:w="1647" w:type="pct"/>
            <w:tcBorders>
              <w:top w:val="nil"/>
              <w:left w:val="nil"/>
              <w:bottom w:val="single" w:color="auto" w:sz="4" w:space="0"/>
              <w:right w:val="single" w:color="auto" w:sz="4" w:space="0"/>
            </w:tcBorders>
            <w:shd w:val="clear" w:color="auto" w:fill="auto"/>
            <w:noWrap/>
            <w:vAlign w:val="center"/>
          </w:tcPr>
          <w:p>
            <w:pPr>
              <w:widowControl/>
              <w:jc w:val="center"/>
              <w:rPr>
                <w:rFonts w:ascii="华文中宋" w:hAnsi="华文中宋" w:eastAsia="华文中宋" w:cs="华文中宋"/>
                <w:bCs/>
                <w:kern w:val="0"/>
                <w:szCs w:val="21"/>
              </w:rPr>
            </w:pPr>
            <w:r>
              <w:rPr>
                <w:rFonts w:hint="eastAsia" w:ascii="华文中宋" w:hAnsi="华文中宋" w:eastAsia="华文中宋" w:cs="华文中宋"/>
                <w:bCs/>
                <w:kern w:val="0"/>
                <w:szCs w:val="21"/>
              </w:rPr>
              <w:t>乌海蓝益环保发电有限公司</w:t>
            </w:r>
          </w:p>
        </w:tc>
        <w:tc>
          <w:tcPr>
            <w:tcW w:w="481" w:type="pct"/>
            <w:tcBorders>
              <w:top w:val="nil"/>
              <w:left w:val="nil"/>
              <w:bottom w:val="single" w:color="auto" w:sz="4" w:space="0"/>
              <w:right w:val="single" w:color="auto" w:sz="4" w:space="0"/>
            </w:tcBorders>
            <w:shd w:val="clear" w:color="auto" w:fill="auto"/>
            <w:noWrap/>
            <w:vAlign w:val="center"/>
          </w:tcPr>
          <w:p>
            <w:pPr>
              <w:widowControl/>
              <w:jc w:val="center"/>
              <w:rPr>
                <w:rFonts w:ascii="华文中宋" w:hAnsi="华文中宋" w:eastAsia="华文中宋" w:cs="华文中宋"/>
                <w:bCs/>
                <w:kern w:val="0"/>
                <w:szCs w:val="21"/>
              </w:rPr>
            </w:pPr>
            <w:r>
              <w:rPr>
                <w:rFonts w:hint="eastAsia" w:ascii="华文中宋" w:hAnsi="华文中宋" w:eastAsia="华文中宋" w:cs="华文中宋"/>
                <w:bCs/>
                <w:kern w:val="0"/>
                <w:szCs w:val="21"/>
              </w:rPr>
              <w:t>60t/h</w:t>
            </w:r>
          </w:p>
        </w:tc>
        <w:tc>
          <w:tcPr>
            <w:tcW w:w="618" w:type="pct"/>
            <w:tcBorders>
              <w:top w:val="nil"/>
              <w:left w:val="nil"/>
              <w:bottom w:val="single" w:color="auto" w:sz="4" w:space="0"/>
              <w:right w:val="single" w:color="auto" w:sz="4" w:space="0"/>
            </w:tcBorders>
            <w:shd w:val="clear" w:color="auto" w:fill="auto"/>
            <w:noWrap/>
            <w:vAlign w:val="center"/>
          </w:tcPr>
          <w:p>
            <w:pPr>
              <w:widowControl/>
              <w:jc w:val="center"/>
              <w:rPr>
                <w:rFonts w:ascii="华文中宋" w:hAnsi="华文中宋" w:eastAsia="华文中宋" w:cs="华文中宋"/>
                <w:bCs/>
                <w:kern w:val="0"/>
                <w:szCs w:val="21"/>
              </w:rPr>
            </w:pPr>
          </w:p>
        </w:tc>
        <w:tc>
          <w:tcPr>
            <w:tcW w:w="479" w:type="pct"/>
            <w:tcBorders>
              <w:top w:val="nil"/>
              <w:left w:val="nil"/>
              <w:bottom w:val="single" w:color="auto" w:sz="4" w:space="0"/>
              <w:right w:val="single" w:color="auto" w:sz="4" w:space="0"/>
            </w:tcBorders>
            <w:shd w:val="clear" w:color="auto" w:fill="auto"/>
            <w:noWrap/>
            <w:vAlign w:val="center"/>
          </w:tcPr>
          <w:p>
            <w:pPr>
              <w:widowControl/>
              <w:jc w:val="center"/>
              <w:rPr>
                <w:rFonts w:ascii="华文中宋" w:hAnsi="华文中宋" w:eastAsia="华文中宋" w:cs="华文中宋"/>
                <w:bCs/>
                <w:kern w:val="0"/>
                <w:szCs w:val="21"/>
              </w:rPr>
            </w:pPr>
          </w:p>
        </w:tc>
        <w:tc>
          <w:tcPr>
            <w:tcW w:w="823" w:type="pct"/>
            <w:tcBorders>
              <w:top w:val="nil"/>
              <w:left w:val="nil"/>
              <w:bottom w:val="single" w:color="auto" w:sz="4" w:space="0"/>
              <w:right w:val="single" w:color="auto" w:sz="4" w:space="0"/>
            </w:tcBorders>
            <w:shd w:val="clear" w:color="auto" w:fill="auto"/>
            <w:noWrap/>
            <w:vAlign w:val="center"/>
          </w:tcPr>
          <w:p>
            <w:pPr>
              <w:widowControl/>
              <w:jc w:val="center"/>
              <w:rPr>
                <w:rFonts w:ascii="华文中宋" w:hAnsi="华文中宋" w:eastAsia="华文中宋" w:cs="华文中宋"/>
                <w:bCs/>
                <w:kern w:val="0"/>
                <w:szCs w:val="21"/>
              </w:rPr>
            </w:pPr>
            <w:r>
              <w:rPr>
                <w:rFonts w:hint="eastAsia" w:ascii="华文中宋" w:hAnsi="华文中宋" w:eastAsia="华文中宋" w:cs="华文中宋"/>
                <w:bCs/>
                <w:kern w:val="0"/>
                <w:szCs w:val="21"/>
              </w:rPr>
              <w:t>3*75T</w:t>
            </w:r>
          </w:p>
        </w:tc>
        <w:tc>
          <w:tcPr>
            <w:tcW w:w="691" w:type="pct"/>
            <w:tcBorders>
              <w:top w:val="nil"/>
              <w:left w:val="nil"/>
              <w:bottom w:val="single" w:color="auto" w:sz="4" w:space="0"/>
              <w:right w:val="single" w:color="auto" w:sz="4" w:space="0"/>
            </w:tcBorders>
            <w:shd w:val="clear" w:color="auto" w:fill="auto"/>
            <w:noWrap/>
            <w:vAlign w:val="center"/>
          </w:tcPr>
          <w:p>
            <w:pPr>
              <w:widowControl/>
              <w:jc w:val="center"/>
              <w:rPr>
                <w:rFonts w:ascii="华文中宋" w:hAnsi="华文中宋" w:eastAsia="华文中宋" w:cs="华文中宋"/>
                <w:bCs/>
                <w:kern w:val="0"/>
                <w:szCs w:val="21"/>
              </w:rPr>
            </w:pPr>
            <w:r>
              <w:rPr>
                <w:rFonts w:hint="eastAsia" w:ascii="华文中宋" w:hAnsi="华文中宋" w:eastAsia="华文中宋" w:cs="华文中宋"/>
                <w:bCs/>
                <w:kern w:val="0"/>
                <w:szCs w:val="21"/>
              </w:rPr>
              <w:t>2*15MW</w:t>
            </w:r>
          </w:p>
        </w:tc>
      </w:tr>
      <w:tr>
        <w:tblPrEx>
          <w:tblCellMar>
            <w:top w:w="0" w:type="dxa"/>
            <w:left w:w="108" w:type="dxa"/>
            <w:bottom w:w="0" w:type="dxa"/>
            <w:right w:w="108" w:type="dxa"/>
          </w:tblCellMar>
        </w:tblPrEx>
        <w:trPr>
          <w:trHeight w:val="552" w:hRule="atLeast"/>
        </w:trPr>
        <w:tc>
          <w:tcPr>
            <w:tcW w:w="261"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华文中宋" w:hAnsi="华文中宋" w:eastAsia="华文中宋" w:cs="华文中宋"/>
                <w:bCs/>
                <w:kern w:val="0"/>
                <w:szCs w:val="21"/>
              </w:rPr>
            </w:pPr>
            <w:r>
              <w:rPr>
                <w:rFonts w:hint="eastAsia" w:ascii="华文中宋" w:hAnsi="华文中宋" w:eastAsia="华文中宋" w:cs="华文中宋"/>
                <w:bCs/>
                <w:kern w:val="0"/>
                <w:szCs w:val="21"/>
              </w:rPr>
              <w:t>8</w:t>
            </w:r>
          </w:p>
        </w:tc>
        <w:tc>
          <w:tcPr>
            <w:tcW w:w="1647" w:type="pct"/>
            <w:tcBorders>
              <w:top w:val="nil"/>
              <w:left w:val="nil"/>
              <w:bottom w:val="single" w:color="auto" w:sz="4" w:space="0"/>
              <w:right w:val="single" w:color="auto" w:sz="4" w:space="0"/>
            </w:tcBorders>
            <w:shd w:val="clear" w:color="auto" w:fill="auto"/>
            <w:noWrap/>
            <w:vAlign w:val="center"/>
          </w:tcPr>
          <w:p>
            <w:pPr>
              <w:widowControl/>
              <w:jc w:val="center"/>
              <w:rPr>
                <w:rFonts w:ascii="华文中宋" w:hAnsi="华文中宋" w:eastAsia="华文中宋" w:cs="华文中宋"/>
                <w:bCs/>
                <w:kern w:val="0"/>
                <w:szCs w:val="21"/>
              </w:rPr>
            </w:pPr>
            <w:r>
              <w:rPr>
                <w:rFonts w:hint="eastAsia" w:ascii="华文中宋" w:hAnsi="华文中宋" w:eastAsia="华文中宋" w:cs="华文中宋"/>
                <w:bCs/>
                <w:kern w:val="0"/>
                <w:szCs w:val="21"/>
              </w:rPr>
              <w:t>内蒙古能源发电投资集团有限公司</w:t>
            </w:r>
            <w:bookmarkStart w:id="101" w:name="_Hlk58853606"/>
            <w:r>
              <w:rPr>
                <w:rFonts w:hint="eastAsia" w:ascii="华文中宋" w:hAnsi="华文中宋" w:eastAsia="华文中宋" w:cs="华文中宋"/>
                <w:bCs/>
                <w:kern w:val="0"/>
                <w:szCs w:val="21"/>
              </w:rPr>
              <w:t>乌斯太热电厂</w:t>
            </w:r>
            <w:bookmarkEnd w:id="101"/>
          </w:p>
        </w:tc>
        <w:tc>
          <w:tcPr>
            <w:tcW w:w="481" w:type="pct"/>
            <w:tcBorders>
              <w:top w:val="nil"/>
              <w:left w:val="nil"/>
              <w:bottom w:val="single" w:color="auto" w:sz="4" w:space="0"/>
              <w:right w:val="single" w:color="auto" w:sz="4" w:space="0"/>
            </w:tcBorders>
            <w:shd w:val="clear" w:color="auto" w:fill="auto"/>
            <w:noWrap/>
            <w:vAlign w:val="center"/>
          </w:tcPr>
          <w:p>
            <w:pPr>
              <w:widowControl/>
              <w:jc w:val="center"/>
              <w:rPr>
                <w:rFonts w:ascii="华文中宋" w:hAnsi="华文中宋" w:eastAsia="华文中宋" w:cs="华文中宋"/>
                <w:bCs/>
                <w:kern w:val="0"/>
                <w:szCs w:val="21"/>
              </w:rPr>
            </w:pPr>
            <w:r>
              <w:rPr>
                <w:rFonts w:hint="eastAsia" w:ascii="华文中宋" w:hAnsi="华文中宋" w:eastAsia="华文中宋" w:cs="华文中宋"/>
                <w:bCs/>
                <w:kern w:val="0"/>
                <w:szCs w:val="21"/>
              </w:rPr>
              <w:t>350t/h</w:t>
            </w:r>
          </w:p>
        </w:tc>
        <w:tc>
          <w:tcPr>
            <w:tcW w:w="618" w:type="pct"/>
            <w:tcBorders>
              <w:top w:val="nil"/>
              <w:left w:val="nil"/>
              <w:bottom w:val="single" w:color="auto" w:sz="4" w:space="0"/>
              <w:right w:val="single" w:color="auto" w:sz="4" w:space="0"/>
            </w:tcBorders>
            <w:shd w:val="clear" w:color="auto" w:fill="auto"/>
            <w:noWrap/>
            <w:vAlign w:val="center"/>
          </w:tcPr>
          <w:p>
            <w:pPr>
              <w:widowControl/>
              <w:jc w:val="center"/>
              <w:rPr>
                <w:rFonts w:ascii="华文中宋" w:hAnsi="华文中宋" w:eastAsia="华文中宋" w:cs="华文中宋"/>
                <w:bCs/>
                <w:kern w:val="0"/>
                <w:szCs w:val="21"/>
              </w:rPr>
            </w:pPr>
            <w:r>
              <w:rPr>
                <w:rFonts w:hint="eastAsia" w:ascii="华文中宋" w:hAnsi="华文中宋" w:eastAsia="华文中宋" w:cs="华文中宋"/>
                <w:bCs/>
                <w:kern w:val="0"/>
                <w:szCs w:val="21"/>
              </w:rPr>
              <w:t>已供250t/h</w:t>
            </w:r>
          </w:p>
        </w:tc>
        <w:tc>
          <w:tcPr>
            <w:tcW w:w="479" w:type="pct"/>
            <w:tcBorders>
              <w:top w:val="nil"/>
              <w:left w:val="nil"/>
              <w:bottom w:val="single" w:color="auto" w:sz="4" w:space="0"/>
              <w:right w:val="single" w:color="auto" w:sz="4" w:space="0"/>
            </w:tcBorders>
            <w:shd w:val="clear" w:color="auto" w:fill="auto"/>
            <w:noWrap/>
            <w:vAlign w:val="center"/>
          </w:tcPr>
          <w:p>
            <w:pPr>
              <w:widowControl/>
              <w:jc w:val="center"/>
              <w:rPr>
                <w:rFonts w:ascii="华文中宋" w:hAnsi="华文中宋" w:eastAsia="华文中宋" w:cs="华文中宋"/>
                <w:bCs/>
                <w:kern w:val="0"/>
                <w:szCs w:val="21"/>
              </w:rPr>
            </w:pPr>
            <w:r>
              <w:rPr>
                <w:rFonts w:hint="eastAsia" w:ascii="华文中宋" w:hAnsi="华文中宋" w:eastAsia="华文中宋" w:cs="华文中宋"/>
                <w:bCs/>
                <w:kern w:val="0"/>
                <w:szCs w:val="21"/>
              </w:rPr>
              <w:t>可供30t/h</w:t>
            </w:r>
          </w:p>
        </w:tc>
        <w:tc>
          <w:tcPr>
            <w:tcW w:w="823" w:type="pct"/>
            <w:tcBorders>
              <w:top w:val="nil"/>
              <w:left w:val="nil"/>
              <w:bottom w:val="single" w:color="auto" w:sz="4" w:space="0"/>
              <w:right w:val="single" w:color="auto" w:sz="4" w:space="0"/>
            </w:tcBorders>
            <w:shd w:val="clear" w:color="auto" w:fill="auto"/>
            <w:noWrap/>
            <w:vAlign w:val="center"/>
          </w:tcPr>
          <w:p>
            <w:pPr>
              <w:widowControl/>
              <w:jc w:val="center"/>
              <w:rPr>
                <w:rFonts w:ascii="华文中宋" w:hAnsi="华文中宋" w:eastAsia="华文中宋" w:cs="华文中宋"/>
                <w:bCs/>
                <w:kern w:val="0"/>
                <w:szCs w:val="21"/>
              </w:rPr>
            </w:pPr>
          </w:p>
        </w:tc>
        <w:tc>
          <w:tcPr>
            <w:tcW w:w="691" w:type="pct"/>
            <w:tcBorders>
              <w:top w:val="nil"/>
              <w:left w:val="nil"/>
              <w:bottom w:val="single" w:color="auto" w:sz="4" w:space="0"/>
              <w:right w:val="single" w:color="auto" w:sz="4" w:space="0"/>
            </w:tcBorders>
            <w:shd w:val="clear" w:color="auto" w:fill="auto"/>
            <w:noWrap/>
            <w:vAlign w:val="center"/>
          </w:tcPr>
          <w:p>
            <w:pPr>
              <w:widowControl/>
              <w:jc w:val="center"/>
              <w:rPr>
                <w:rFonts w:ascii="华文中宋" w:hAnsi="华文中宋" w:eastAsia="华文中宋" w:cs="华文中宋"/>
                <w:bCs/>
                <w:kern w:val="0"/>
                <w:szCs w:val="21"/>
              </w:rPr>
            </w:pPr>
            <w:r>
              <w:rPr>
                <w:rFonts w:hint="eastAsia" w:ascii="华文中宋" w:hAnsi="华文中宋" w:eastAsia="华文中宋" w:cs="华文中宋"/>
                <w:bCs/>
                <w:kern w:val="0"/>
                <w:szCs w:val="21"/>
              </w:rPr>
              <w:t>2*300MW</w:t>
            </w:r>
          </w:p>
        </w:tc>
      </w:tr>
    </w:tbl>
    <w:p>
      <w:pPr>
        <w:pStyle w:val="5"/>
        <w:spacing w:before="0" w:after="0"/>
        <w:rPr>
          <w:rFonts w:ascii="华文中宋" w:hAnsi="华文中宋" w:eastAsia="华文中宋" w:cs="华文中宋"/>
          <w:sz w:val="28"/>
          <w:szCs w:val="28"/>
        </w:rPr>
      </w:pPr>
      <w:r>
        <w:rPr>
          <w:rFonts w:hint="eastAsia" w:ascii="华文中宋" w:hAnsi="华文中宋" w:eastAsia="华文中宋" w:cs="华文中宋"/>
          <w:sz w:val="28"/>
          <w:szCs w:val="28"/>
        </w:rPr>
        <w:t>4.8.3 热负荷计算</w:t>
      </w:r>
    </w:p>
    <w:p>
      <w:pPr>
        <w:spacing w:line="360" w:lineRule="auto"/>
        <w:ind w:firstLine="560" w:firstLineChars="200"/>
        <w:rPr>
          <w:rFonts w:ascii="华文中宋" w:hAnsi="华文中宋" w:eastAsia="华文中宋" w:cs="华文中宋"/>
          <w:sz w:val="28"/>
          <w:szCs w:val="28"/>
        </w:rPr>
      </w:pPr>
      <w:r>
        <w:rPr>
          <w:rFonts w:hint="eastAsia" w:ascii="华文中宋" w:hAnsi="华文中宋" w:eastAsia="华文中宋" w:cs="华文中宋"/>
          <w:sz w:val="28"/>
          <w:szCs w:val="28"/>
        </w:rPr>
        <w:t>A片区的热负荷种类主要为工业生产热负荷。</w:t>
      </w:r>
    </w:p>
    <w:p>
      <w:pPr>
        <w:spacing w:line="360" w:lineRule="auto"/>
        <w:ind w:firstLine="560" w:firstLineChars="200"/>
        <w:rPr>
          <w:rFonts w:ascii="华文中宋" w:hAnsi="华文中宋" w:eastAsia="华文中宋" w:cs="华文中宋"/>
          <w:sz w:val="28"/>
          <w:szCs w:val="28"/>
        </w:rPr>
      </w:pPr>
      <w:r>
        <w:rPr>
          <w:rFonts w:hint="eastAsia" w:ascii="华文中宋" w:hAnsi="华文中宋" w:eastAsia="华文中宋" w:cs="华文中宋"/>
          <w:sz w:val="28"/>
          <w:szCs w:val="28"/>
        </w:rPr>
        <w:t>规划片区工业生产单位面积蒸汽用量取35吨/平方公里，工业负荷年平均系数取0.8。</w:t>
      </w:r>
    </w:p>
    <w:p>
      <w:pPr>
        <w:spacing w:line="360" w:lineRule="auto"/>
        <w:ind w:firstLine="420" w:firstLineChars="200"/>
        <w:jc w:val="center"/>
        <w:rPr>
          <w:rFonts w:ascii="华文中宋" w:hAnsi="华文中宋" w:eastAsia="华文中宋" w:cs="华文中宋"/>
        </w:rPr>
      </w:pPr>
      <w:r>
        <w:rPr>
          <w:rFonts w:hint="eastAsia" w:ascii="华文中宋" w:hAnsi="华文中宋" w:eastAsia="华文中宋" w:cs="华文中宋"/>
        </w:rPr>
        <w:t>表4-8-2 A片区热负荷计算表</w:t>
      </w:r>
    </w:p>
    <w:tbl>
      <w:tblPr>
        <w:tblStyle w:val="32"/>
        <w:tblW w:w="5000" w:type="pct"/>
        <w:tblInd w:w="0" w:type="dxa"/>
        <w:tblLayout w:type="autofit"/>
        <w:tblCellMar>
          <w:top w:w="0" w:type="dxa"/>
          <w:left w:w="108" w:type="dxa"/>
          <w:bottom w:w="0" w:type="dxa"/>
          <w:right w:w="108" w:type="dxa"/>
        </w:tblCellMar>
      </w:tblPr>
      <w:tblGrid>
        <w:gridCol w:w="1141"/>
        <w:gridCol w:w="2316"/>
        <w:gridCol w:w="2063"/>
        <w:gridCol w:w="1709"/>
        <w:gridCol w:w="2872"/>
        <w:gridCol w:w="222"/>
      </w:tblGrid>
      <w:tr>
        <w:tblPrEx>
          <w:tblCellMar>
            <w:top w:w="0" w:type="dxa"/>
            <w:left w:w="108" w:type="dxa"/>
            <w:bottom w:w="0" w:type="dxa"/>
            <w:right w:w="108" w:type="dxa"/>
          </w:tblCellMar>
        </w:tblPrEx>
        <w:trPr>
          <w:gridAfter w:val="1"/>
          <w:wAfter w:w="108" w:type="pct"/>
          <w:trHeight w:val="312" w:hRule="atLeast"/>
        </w:trPr>
        <w:tc>
          <w:tcPr>
            <w:tcW w:w="553" w:type="pct"/>
            <w:vMerge w:val="restart"/>
            <w:tcBorders>
              <w:top w:val="single" w:color="auto" w:sz="8" w:space="0"/>
              <w:left w:val="single" w:color="auto" w:sz="8" w:space="0"/>
              <w:bottom w:val="single" w:color="000000" w:sz="8" w:space="0"/>
              <w:right w:val="single" w:color="auto" w:sz="8" w:space="0"/>
            </w:tcBorders>
            <w:shd w:val="clear" w:color="auto" w:fill="auto"/>
            <w:noWrap/>
            <w:vAlign w:val="center"/>
          </w:tcPr>
          <w:p>
            <w:pPr>
              <w:widowControl/>
              <w:jc w:val="center"/>
              <w:rPr>
                <w:rFonts w:ascii="华文中宋" w:hAnsi="华文中宋" w:eastAsia="华文中宋" w:cs="华文中宋"/>
                <w:bCs/>
                <w:kern w:val="0"/>
                <w:szCs w:val="21"/>
              </w:rPr>
            </w:pPr>
            <w:r>
              <w:rPr>
                <w:rFonts w:hint="eastAsia" w:ascii="华文中宋" w:hAnsi="华文中宋" w:eastAsia="华文中宋" w:cs="华文中宋"/>
                <w:bCs/>
                <w:kern w:val="0"/>
                <w:szCs w:val="21"/>
              </w:rPr>
              <w:t>供气类型</w:t>
            </w:r>
          </w:p>
        </w:tc>
        <w:tc>
          <w:tcPr>
            <w:tcW w:w="1122" w:type="pct"/>
            <w:vMerge w:val="restart"/>
            <w:tcBorders>
              <w:top w:val="single" w:color="auto" w:sz="8" w:space="0"/>
              <w:left w:val="single" w:color="auto" w:sz="8" w:space="0"/>
              <w:bottom w:val="single" w:color="000000" w:sz="8" w:space="0"/>
              <w:right w:val="single" w:color="auto" w:sz="8" w:space="0"/>
            </w:tcBorders>
            <w:shd w:val="clear" w:color="auto" w:fill="auto"/>
            <w:noWrap/>
            <w:vAlign w:val="center"/>
          </w:tcPr>
          <w:p>
            <w:pPr>
              <w:widowControl/>
              <w:jc w:val="center"/>
              <w:rPr>
                <w:rFonts w:ascii="华文中宋" w:hAnsi="华文中宋" w:eastAsia="华文中宋" w:cs="华文中宋"/>
                <w:bCs/>
                <w:kern w:val="0"/>
                <w:szCs w:val="21"/>
              </w:rPr>
            </w:pPr>
            <w:r>
              <w:rPr>
                <w:rFonts w:hint="eastAsia" w:ascii="华文中宋" w:hAnsi="华文中宋" w:eastAsia="华文中宋" w:cs="华文中宋"/>
                <w:bCs/>
                <w:kern w:val="0"/>
                <w:szCs w:val="21"/>
              </w:rPr>
              <w:t>建筑面积（平方公里）</w:t>
            </w:r>
          </w:p>
        </w:tc>
        <w:tc>
          <w:tcPr>
            <w:tcW w:w="999" w:type="pct"/>
            <w:vMerge w:val="restart"/>
            <w:tcBorders>
              <w:top w:val="single" w:color="auto" w:sz="8" w:space="0"/>
              <w:left w:val="single" w:color="auto" w:sz="8" w:space="0"/>
              <w:bottom w:val="single" w:color="000000" w:sz="8" w:space="0"/>
              <w:right w:val="single" w:color="auto" w:sz="8" w:space="0"/>
            </w:tcBorders>
            <w:shd w:val="clear" w:color="auto" w:fill="auto"/>
            <w:vAlign w:val="center"/>
          </w:tcPr>
          <w:p>
            <w:pPr>
              <w:widowControl/>
              <w:jc w:val="center"/>
              <w:rPr>
                <w:rFonts w:hint="eastAsia" w:ascii="华文中宋" w:hAnsi="华文中宋" w:eastAsia="华文中宋" w:cs="华文中宋"/>
                <w:bCs/>
                <w:kern w:val="0"/>
                <w:szCs w:val="21"/>
                <w:lang w:eastAsia="zh-CN"/>
              </w:rPr>
            </w:pPr>
            <w:r>
              <w:rPr>
                <w:rFonts w:hint="eastAsia" w:ascii="华文中宋" w:hAnsi="华文中宋" w:eastAsia="华文中宋" w:cs="华文中宋"/>
                <w:bCs/>
                <w:kern w:val="0"/>
                <w:szCs w:val="21"/>
              </w:rPr>
              <w:t>单位用汽负荷</w:t>
            </w:r>
          </w:p>
          <w:p>
            <w:pPr>
              <w:widowControl/>
              <w:jc w:val="center"/>
              <w:rPr>
                <w:rFonts w:ascii="华文中宋" w:hAnsi="华文中宋" w:eastAsia="华文中宋" w:cs="华文中宋"/>
                <w:bCs/>
                <w:kern w:val="0"/>
                <w:szCs w:val="21"/>
              </w:rPr>
            </w:pPr>
            <w:r>
              <w:rPr>
                <w:rFonts w:hint="eastAsia" w:ascii="华文中宋" w:hAnsi="华文中宋" w:eastAsia="华文中宋" w:cs="华文中宋"/>
                <w:bCs/>
                <w:kern w:val="0"/>
                <w:szCs w:val="21"/>
              </w:rPr>
              <w:t>(t/km</w:t>
            </w:r>
            <w:r>
              <w:rPr>
                <w:rFonts w:hint="eastAsia" w:ascii="华文中宋" w:hAnsi="华文中宋" w:eastAsia="华文中宋" w:cs="华文中宋"/>
                <w:bCs/>
                <w:kern w:val="0"/>
                <w:szCs w:val="21"/>
                <w:vertAlign w:val="superscript"/>
              </w:rPr>
              <w:t>2</w:t>
            </w:r>
            <w:r>
              <w:rPr>
                <w:rFonts w:hint="eastAsia" w:ascii="华文中宋" w:hAnsi="华文中宋" w:eastAsia="华文中宋" w:cs="华文中宋"/>
                <w:bCs/>
                <w:kern w:val="0"/>
                <w:szCs w:val="21"/>
              </w:rPr>
              <w:t>)</w:t>
            </w:r>
          </w:p>
        </w:tc>
        <w:tc>
          <w:tcPr>
            <w:tcW w:w="828" w:type="pct"/>
            <w:vMerge w:val="restart"/>
            <w:tcBorders>
              <w:top w:val="single" w:color="auto" w:sz="8" w:space="0"/>
              <w:left w:val="single" w:color="auto" w:sz="8" w:space="0"/>
              <w:bottom w:val="nil"/>
              <w:right w:val="single" w:color="auto" w:sz="8" w:space="0"/>
            </w:tcBorders>
            <w:shd w:val="clear" w:color="auto" w:fill="auto"/>
            <w:vAlign w:val="center"/>
          </w:tcPr>
          <w:p>
            <w:pPr>
              <w:widowControl/>
              <w:jc w:val="center"/>
              <w:rPr>
                <w:rFonts w:ascii="华文中宋" w:hAnsi="华文中宋" w:eastAsia="华文中宋" w:cs="华文中宋"/>
                <w:bCs/>
                <w:kern w:val="0"/>
                <w:szCs w:val="21"/>
              </w:rPr>
            </w:pPr>
            <w:r>
              <w:rPr>
                <w:rFonts w:hint="eastAsia" w:ascii="华文中宋" w:hAnsi="华文中宋" w:eastAsia="华文中宋" w:cs="华文中宋"/>
                <w:bCs/>
                <w:kern w:val="0"/>
                <w:szCs w:val="21"/>
              </w:rPr>
              <w:t>预测负荷（t/h）</w:t>
            </w:r>
          </w:p>
        </w:tc>
        <w:tc>
          <w:tcPr>
            <w:tcW w:w="1391" w:type="pct"/>
            <w:vMerge w:val="restart"/>
            <w:tcBorders>
              <w:top w:val="single" w:color="auto" w:sz="8" w:space="0"/>
              <w:left w:val="single" w:color="auto" w:sz="8" w:space="0"/>
              <w:bottom w:val="nil"/>
              <w:right w:val="single" w:color="auto" w:sz="8" w:space="0"/>
            </w:tcBorders>
            <w:shd w:val="clear" w:color="auto" w:fill="auto"/>
            <w:noWrap/>
            <w:vAlign w:val="center"/>
          </w:tcPr>
          <w:p>
            <w:pPr>
              <w:widowControl/>
              <w:jc w:val="center"/>
              <w:rPr>
                <w:rFonts w:ascii="华文中宋" w:hAnsi="华文中宋" w:eastAsia="华文中宋" w:cs="华文中宋"/>
                <w:bCs/>
                <w:kern w:val="0"/>
                <w:szCs w:val="21"/>
              </w:rPr>
            </w:pPr>
            <w:r>
              <w:rPr>
                <w:rFonts w:hint="eastAsia" w:ascii="华文中宋" w:hAnsi="华文中宋" w:eastAsia="华文中宋" w:cs="华文中宋"/>
                <w:bCs/>
                <w:kern w:val="0"/>
                <w:szCs w:val="21"/>
              </w:rPr>
              <w:t>规划热负荷蒸汽用量（t/h）</w:t>
            </w:r>
          </w:p>
        </w:tc>
      </w:tr>
      <w:tr>
        <w:tblPrEx>
          <w:tblCellMar>
            <w:top w:w="0" w:type="dxa"/>
            <w:left w:w="108" w:type="dxa"/>
            <w:bottom w:w="0" w:type="dxa"/>
            <w:right w:w="108" w:type="dxa"/>
          </w:tblCellMar>
        </w:tblPrEx>
        <w:trPr>
          <w:trHeight w:val="300" w:hRule="atLeast"/>
        </w:trPr>
        <w:tc>
          <w:tcPr>
            <w:tcW w:w="553" w:type="pct"/>
            <w:vMerge w:val="continue"/>
            <w:tcBorders>
              <w:top w:val="single" w:color="auto" w:sz="8" w:space="0"/>
              <w:left w:val="single" w:color="auto" w:sz="8" w:space="0"/>
              <w:bottom w:val="single" w:color="000000" w:sz="8" w:space="0"/>
              <w:right w:val="single" w:color="auto" w:sz="8" w:space="0"/>
            </w:tcBorders>
            <w:vAlign w:val="center"/>
          </w:tcPr>
          <w:p>
            <w:pPr>
              <w:widowControl/>
              <w:jc w:val="center"/>
              <w:rPr>
                <w:rFonts w:ascii="华文中宋" w:hAnsi="华文中宋" w:eastAsia="华文中宋" w:cs="华文中宋"/>
                <w:bCs/>
                <w:kern w:val="0"/>
                <w:szCs w:val="21"/>
              </w:rPr>
            </w:pPr>
          </w:p>
        </w:tc>
        <w:tc>
          <w:tcPr>
            <w:tcW w:w="1122" w:type="pct"/>
            <w:vMerge w:val="continue"/>
            <w:tcBorders>
              <w:top w:val="single" w:color="auto" w:sz="8" w:space="0"/>
              <w:left w:val="single" w:color="auto" w:sz="8" w:space="0"/>
              <w:bottom w:val="single" w:color="000000" w:sz="8" w:space="0"/>
              <w:right w:val="single" w:color="auto" w:sz="8" w:space="0"/>
            </w:tcBorders>
            <w:vAlign w:val="center"/>
          </w:tcPr>
          <w:p>
            <w:pPr>
              <w:widowControl/>
              <w:jc w:val="center"/>
              <w:rPr>
                <w:rFonts w:ascii="华文中宋" w:hAnsi="华文中宋" w:eastAsia="华文中宋" w:cs="华文中宋"/>
                <w:bCs/>
                <w:kern w:val="0"/>
                <w:szCs w:val="21"/>
              </w:rPr>
            </w:pPr>
          </w:p>
        </w:tc>
        <w:tc>
          <w:tcPr>
            <w:tcW w:w="999" w:type="pct"/>
            <w:vMerge w:val="continue"/>
            <w:tcBorders>
              <w:top w:val="single" w:color="auto" w:sz="8" w:space="0"/>
              <w:left w:val="single" w:color="auto" w:sz="8" w:space="0"/>
              <w:bottom w:val="single" w:color="000000" w:sz="8" w:space="0"/>
              <w:right w:val="single" w:color="auto" w:sz="8" w:space="0"/>
            </w:tcBorders>
            <w:vAlign w:val="center"/>
          </w:tcPr>
          <w:p>
            <w:pPr>
              <w:widowControl/>
              <w:jc w:val="center"/>
              <w:rPr>
                <w:rFonts w:ascii="华文中宋" w:hAnsi="华文中宋" w:eastAsia="华文中宋" w:cs="华文中宋"/>
                <w:bCs/>
                <w:kern w:val="0"/>
                <w:szCs w:val="21"/>
              </w:rPr>
            </w:pPr>
          </w:p>
        </w:tc>
        <w:tc>
          <w:tcPr>
            <w:tcW w:w="828" w:type="pct"/>
            <w:vMerge w:val="continue"/>
            <w:tcBorders>
              <w:top w:val="single" w:color="auto" w:sz="8" w:space="0"/>
              <w:left w:val="single" w:color="auto" w:sz="8" w:space="0"/>
              <w:bottom w:val="single" w:color="auto" w:sz="4" w:space="0"/>
              <w:right w:val="single" w:color="auto" w:sz="8" w:space="0"/>
            </w:tcBorders>
            <w:vAlign w:val="center"/>
          </w:tcPr>
          <w:p>
            <w:pPr>
              <w:widowControl/>
              <w:jc w:val="center"/>
              <w:rPr>
                <w:rFonts w:ascii="华文中宋" w:hAnsi="华文中宋" w:eastAsia="华文中宋" w:cs="华文中宋"/>
                <w:bCs/>
                <w:kern w:val="0"/>
                <w:szCs w:val="21"/>
              </w:rPr>
            </w:pPr>
          </w:p>
        </w:tc>
        <w:tc>
          <w:tcPr>
            <w:tcW w:w="1391" w:type="pct"/>
            <w:vMerge w:val="continue"/>
            <w:tcBorders>
              <w:top w:val="single" w:color="auto" w:sz="8" w:space="0"/>
              <w:left w:val="single" w:color="auto" w:sz="8" w:space="0"/>
              <w:bottom w:val="single" w:color="auto" w:sz="4" w:space="0"/>
              <w:right w:val="single" w:color="auto" w:sz="8" w:space="0"/>
            </w:tcBorders>
            <w:vAlign w:val="center"/>
          </w:tcPr>
          <w:p>
            <w:pPr>
              <w:widowControl/>
              <w:jc w:val="center"/>
              <w:rPr>
                <w:rFonts w:ascii="华文中宋" w:hAnsi="华文中宋" w:eastAsia="华文中宋" w:cs="华文中宋"/>
                <w:bCs/>
                <w:kern w:val="0"/>
                <w:szCs w:val="21"/>
              </w:rPr>
            </w:pPr>
          </w:p>
        </w:tc>
        <w:tc>
          <w:tcPr>
            <w:tcW w:w="108" w:type="pct"/>
            <w:tcBorders>
              <w:top w:val="nil"/>
              <w:left w:val="nil"/>
              <w:bottom w:val="nil"/>
              <w:right w:val="nil"/>
            </w:tcBorders>
            <w:shd w:val="clear" w:color="auto" w:fill="auto"/>
            <w:noWrap/>
            <w:vAlign w:val="bottom"/>
          </w:tcPr>
          <w:p>
            <w:pPr>
              <w:widowControl/>
              <w:jc w:val="center"/>
              <w:rPr>
                <w:rFonts w:ascii="华文中宋" w:hAnsi="华文中宋" w:eastAsia="华文中宋" w:cs="华文中宋"/>
                <w:color w:val="000000"/>
                <w:kern w:val="0"/>
                <w:sz w:val="24"/>
              </w:rPr>
            </w:pPr>
          </w:p>
        </w:tc>
      </w:tr>
      <w:tr>
        <w:tblPrEx>
          <w:tblCellMar>
            <w:top w:w="0" w:type="dxa"/>
            <w:left w:w="108" w:type="dxa"/>
            <w:bottom w:w="0" w:type="dxa"/>
            <w:right w:w="108" w:type="dxa"/>
          </w:tblCellMar>
        </w:tblPrEx>
        <w:trPr>
          <w:trHeight w:val="300" w:hRule="atLeast"/>
        </w:trPr>
        <w:tc>
          <w:tcPr>
            <w:tcW w:w="553" w:type="pct"/>
            <w:tcBorders>
              <w:top w:val="nil"/>
              <w:left w:val="single" w:color="auto" w:sz="8" w:space="0"/>
              <w:bottom w:val="single" w:color="auto" w:sz="8" w:space="0"/>
              <w:right w:val="single" w:color="auto" w:sz="8" w:space="0"/>
            </w:tcBorders>
            <w:shd w:val="clear" w:color="auto" w:fill="auto"/>
            <w:noWrap/>
            <w:vAlign w:val="center"/>
          </w:tcPr>
          <w:p>
            <w:pPr>
              <w:widowControl/>
              <w:jc w:val="center"/>
              <w:rPr>
                <w:rFonts w:ascii="华文中宋" w:hAnsi="华文中宋" w:eastAsia="华文中宋" w:cs="华文中宋"/>
                <w:bCs/>
                <w:kern w:val="0"/>
                <w:szCs w:val="21"/>
              </w:rPr>
            </w:pPr>
            <w:r>
              <w:rPr>
                <w:rFonts w:hint="eastAsia" w:ascii="华文中宋" w:hAnsi="华文中宋" w:eastAsia="华文中宋" w:cs="华文中宋"/>
                <w:bCs/>
                <w:kern w:val="0"/>
                <w:szCs w:val="21"/>
              </w:rPr>
              <w:t>工业生产</w:t>
            </w:r>
          </w:p>
        </w:tc>
        <w:tc>
          <w:tcPr>
            <w:tcW w:w="1122" w:type="pct"/>
            <w:tcBorders>
              <w:top w:val="nil"/>
              <w:left w:val="nil"/>
              <w:bottom w:val="single" w:color="auto" w:sz="8" w:space="0"/>
              <w:right w:val="single" w:color="auto" w:sz="8" w:space="0"/>
            </w:tcBorders>
            <w:shd w:val="clear" w:color="auto" w:fill="auto"/>
            <w:noWrap/>
            <w:vAlign w:val="center"/>
          </w:tcPr>
          <w:p>
            <w:pPr>
              <w:widowControl/>
              <w:jc w:val="center"/>
              <w:rPr>
                <w:rFonts w:ascii="华文中宋" w:hAnsi="华文中宋" w:eastAsia="华文中宋" w:cs="华文中宋"/>
                <w:bCs/>
                <w:kern w:val="0"/>
                <w:szCs w:val="21"/>
              </w:rPr>
            </w:pPr>
            <w:r>
              <w:rPr>
                <w:rFonts w:hint="eastAsia" w:ascii="华文中宋" w:hAnsi="华文中宋" w:eastAsia="华文中宋" w:cs="华文中宋"/>
                <w:bCs/>
                <w:kern w:val="0"/>
                <w:szCs w:val="21"/>
              </w:rPr>
              <w:t>3.</w:t>
            </w:r>
            <w:r>
              <w:rPr>
                <w:rFonts w:ascii="华文中宋" w:hAnsi="华文中宋" w:eastAsia="华文中宋" w:cs="华文中宋"/>
                <w:bCs/>
                <w:kern w:val="0"/>
                <w:szCs w:val="21"/>
              </w:rPr>
              <w:t>2</w:t>
            </w:r>
          </w:p>
        </w:tc>
        <w:tc>
          <w:tcPr>
            <w:tcW w:w="999" w:type="pct"/>
            <w:tcBorders>
              <w:top w:val="nil"/>
              <w:left w:val="nil"/>
              <w:bottom w:val="single" w:color="auto" w:sz="8" w:space="0"/>
              <w:right w:val="nil"/>
            </w:tcBorders>
            <w:shd w:val="clear" w:color="auto" w:fill="auto"/>
            <w:vAlign w:val="center"/>
          </w:tcPr>
          <w:p>
            <w:pPr>
              <w:widowControl/>
              <w:jc w:val="center"/>
              <w:rPr>
                <w:rFonts w:ascii="华文中宋" w:hAnsi="华文中宋" w:eastAsia="华文中宋" w:cs="华文中宋"/>
                <w:bCs/>
                <w:kern w:val="0"/>
                <w:szCs w:val="21"/>
              </w:rPr>
            </w:pPr>
            <w:r>
              <w:rPr>
                <w:rFonts w:hint="eastAsia" w:ascii="华文中宋" w:hAnsi="华文中宋" w:eastAsia="华文中宋" w:cs="华文中宋"/>
                <w:bCs/>
                <w:kern w:val="0"/>
                <w:szCs w:val="21"/>
              </w:rPr>
              <w:t>35</w:t>
            </w:r>
          </w:p>
        </w:tc>
        <w:tc>
          <w:tcPr>
            <w:tcW w:w="828"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华文中宋" w:hAnsi="华文中宋" w:eastAsia="华文中宋" w:cs="华文中宋"/>
                <w:bCs/>
                <w:kern w:val="0"/>
                <w:szCs w:val="21"/>
              </w:rPr>
            </w:pPr>
            <w:r>
              <w:rPr>
                <w:rFonts w:ascii="华文中宋" w:hAnsi="华文中宋" w:eastAsia="华文中宋" w:cs="华文中宋"/>
                <w:bCs/>
                <w:kern w:val="0"/>
                <w:szCs w:val="21"/>
              </w:rPr>
              <w:t>112</w:t>
            </w:r>
          </w:p>
        </w:tc>
        <w:tc>
          <w:tcPr>
            <w:tcW w:w="1391" w:type="pct"/>
            <w:tcBorders>
              <w:top w:val="single" w:color="auto" w:sz="4" w:space="0"/>
              <w:left w:val="nil"/>
              <w:bottom w:val="single" w:color="auto" w:sz="4" w:space="0"/>
              <w:right w:val="single" w:color="auto" w:sz="4" w:space="0"/>
            </w:tcBorders>
            <w:shd w:val="clear" w:color="auto" w:fill="auto"/>
            <w:noWrap/>
            <w:vAlign w:val="bottom"/>
          </w:tcPr>
          <w:p>
            <w:pPr>
              <w:widowControl/>
              <w:jc w:val="center"/>
              <w:rPr>
                <w:rFonts w:ascii="华文中宋" w:hAnsi="华文中宋" w:eastAsia="华文中宋" w:cs="华文中宋"/>
                <w:bCs/>
                <w:kern w:val="0"/>
                <w:szCs w:val="21"/>
              </w:rPr>
            </w:pPr>
            <w:r>
              <w:rPr>
                <w:rFonts w:ascii="华文中宋" w:hAnsi="华文中宋" w:eastAsia="华文中宋" w:cs="华文中宋"/>
                <w:bCs/>
                <w:kern w:val="0"/>
                <w:szCs w:val="21"/>
              </w:rPr>
              <w:t>89.6</w:t>
            </w:r>
          </w:p>
        </w:tc>
        <w:tc>
          <w:tcPr>
            <w:tcW w:w="108" w:type="pct"/>
            <w:vAlign w:val="center"/>
          </w:tcPr>
          <w:p>
            <w:pPr>
              <w:widowControl/>
              <w:jc w:val="left"/>
              <w:rPr>
                <w:rFonts w:ascii="华文中宋" w:hAnsi="华文中宋" w:eastAsia="华文中宋" w:cs="华文中宋"/>
                <w:kern w:val="0"/>
                <w:sz w:val="20"/>
                <w:szCs w:val="20"/>
              </w:rPr>
            </w:pPr>
          </w:p>
        </w:tc>
      </w:tr>
      <w:tr>
        <w:tblPrEx>
          <w:tblCellMar>
            <w:top w:w="0" w:type="dxa"/>
            <w:left w:w="108" w:type="dxa"/>
            <w:bottom w:w="0" w:type="dxa"/>
            <w:right w:w="108" w:type="dxa"/>
          </w:tblCellMar>
        </w:tblPrEx>
        <w:trPr>
          <w:trHeight w:val="300" w:hRule="atLeast"/>
        </w:trPr>
        <w:tc>
          <w:tcPr>
            <w:tcW w:w="2674" w:type="pct"/>
            <w:gridSpan w:val="3"/>
            <w:tcBorders>
              <w:top w:val="nil"/>
              <w:left w:val="single" w:color="auto" w:sz="8" w:space="0"/>
              <w:bottom w:val="single" w:color="auto" w:sz="8" w:space="0"/>
              <w:right w:val="single" w:color="auto" w:sz="8" w:space="0"/>
            </w:tcBorders>
            <w:shd w:val="clear" w:color="auto" w:fill="auto"/>
            <w:noWrap/>
          </w:tcPr>
          <w:p>
            <w:pPr>
              <w:widowControl/>
              <w:jc w:val="center"/>
              <w:rPr>
                <w:rFonts w:ascii="华文中宋" w:hAnsi="华文中宋" w:eastAsia="华文中宋" w:cs="华文中宋"/>
                <w:bCs/>
                <w:kern w:val="0"/>
                <w:szCs w:val="21"/>
              </w:rPr>
            </w:pPr>
            <w:r>
              <w:rPr>
                <w:rFonts w:hint="eastAsia" w:ascii="华文中宋" w:hAnsi="华文中宋" w:eastAsia="华文中宋" w:cs="华文中宋"/>
                <w:bCs/>
                <w:kern w:val="0"/>
                <w:szCs w:val="21"/>
              </w:rPr>
              <w:t>合计</w:t>
            </w:r>
          </w:p>
        </w:tc>
        <w:tc>
          <w:tcPr>
            <w:tcW w:w="828" w:type="pc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华文中宋" w:hAnsi="华文中宋" w:eastAsia="华文中宋" w:cs="华文中宋"/>
                <w:bCs/>
                <w:kern w:val="0"/>
                <w:szCs w:val="21"/>
              </w:rPr>
            </w:pPr>
            <w:r>
              <w:rPr>
                <w:rFonts w:ascii="华文中宋" w:hAnsi="华文中宋" w:eastAsia="华文中宋" w:cs="华文中宋"/>
                <w:bCs/>
                <w:kern w:val="0"/>
                <w:szCs w:val="21"/>
              </w:rPr>
              <w:t>112</w:t>
            </w:r>
          </w:p>
        </w:tc>
        <w:tc>
          <w:tcPr>
            <w:tcW w:w="1391" w:type="pct"/>
            <w:tcBorders>
              <w:top w:val="nil"/>
              <w:left w:val="nil"/>
              <w:bottom w:val="single" w:color="auto" w:sz="4" w:space="0"/>
              <w:right w:val="single" w:color="auto" w:sz="4" w:space="0"/>
            </w:tcBorders>
            <w:shd w:val="clear" w:color="auto" w:fill="auto"/>
            <w:noWrap/>
            <w:vAlign w:val="bottom"/>
          </w:tcPr>
          <w:p>
            <w:pPr>
              <w:widowControl/>
              <w:jc w:val="center"/>
              <w:rPr>
                <w:rFonts w:ascii="华文中宋" w:hAnsi="华文中宋" w:eastAsia="华文中宋" w:cs="华文中宋"/>
                <w:bCs/>
                <w:kern w:val="0"/>
                <w:szCs w:val="21"/>
              </w:rPr>
            </w:pPr>
            <w:r>
              <w:rPr>
                <w:rFonts w:ascii="华文中宋" w:hAnsi="华文中宋" w:eastAsia="华文中宋" w:cs="华文中宋"/>
                <w:bCs/>
                <w:kern w:val="0"/>
                <w:szCs w:val="21"/>
              </w:rPr>
              <w:t>89.6</w:t>
            </w:r>
          </w:p>
        </w:tc>
        <w:tc>
          <w:tcPr>
            <w:tcW w:w="108" w:type="pct"/>
            <w:vAlign w:val="center"/>
          </w:tcPr>
          <w:p>
            <w:pPr>
              <w:widowControl/>
              <w:jc w:val="left"/>
              <w:rPr>
                <w:rFonts w:ascii="华文中宋" w:hAnsi="华文中宋" w:eastAsia="华文中宋" w:cs="华文中宋"/>
                <w:kern w:val="0"/>
                <w:sz w:val="20"/>
                <w:szCs w:val="20"/>
              </w:rPr>
            </w:pPr>
          </w:p>
        </w:tc>
      </w:tr>
    </w:tbl>
    <w:p>
      <w:pPr>
        <w:spacing w:line="360" w:lineRule="auto"/>
        <w:ind w:firstLine="480"/>
        <w:rPr>
          <w:rFonts w:ascii="华文中宋" w:hAnsi="华文中宋" w:eastAsia="华文中宋" w:cs="华文中宋"/>
          <w:sz w:val="28"/>
          <w:szCs w:val="28"/>
        </w:rPr>
      </w:pPr>
      <w:r>
        <w:rPr>
          <w:rFonts w:hint="eastAsia" w:ascii="华文中宋" w:hAnsi="华文中宋" w:eastAsia="华文中宋" w:cs="华文中宋"/>
          <w:sz w:val="28"/>
          <w:szCs w:val="28"/>
        </w:rPr>
        <w:t>部分企业由于生产工艺特殊，极有可能会出现需求量大于预测量的情况，需另做规划。</w:t>
      </w:r>
    </w:p>
    <w:p>
      <w:pPr>
        <w:pStyle w:val="5"/>
        <w:spacing w:before="0" w:after="0"/>
        <w:rPr>
          <w:rFonts w:ascii="华文中宋" w:hAnsi="华文中宋" w:eastAsia="华文中宋" w:cs="华文中宋"/>
          <w:sz w:val="28"/>
          <w:szCs w:val="28"/>
        </w:rPr>
      </w:pPr>
      <w:r>
        <w:rPr>
          <w:rFonts w:hint="eastAsia" w:ascii="华文中宋" w:hAnsi="华文中宋" w:eastAsia="华文中宋" w:cs="华文中宋"/>
          <w:sz w:val="28"/>
          <w:szCs w:val="28"/>
        </w:rPr>
        <w:t>4.8.4 蒸汽管道设计</w:t>
      </w:r>
    </w:p>
    <w:p>
      <w:pPr>
        <w:spacing w:line="360" w:lineRule="auto"/>
        <w:ind w:firstLine="480"/>
        <w:rPr>
          <w:rFonts w:ascii="华文中宋" w:hAnsi="华文中宋" w:eastAsia="华文中宋" w:cs="华文中宋"/>
          <w:sz w:val="28"/>
          <w:szCs w:val="28"/>
        </w:rPr>
      </w:pPr>
      <w:bookmarkStart w:id="102" w:name="_Hlk80262617"/>
      <w:r>
        <w:rPr>
          <w:rFonts w:hint="eastAsia" w:ascii="华文中宋" w:hAnsi="华文中宋" w:eastAsia="华文中宋" w:cs="华文中宋"/>
          <w:sz w:val="28"/>
          <w:szCs w:val="28"/>
        </w:rPr>
        <w:t>（1）管道敷设方式</w:t>
      </w:r>
    </w:p>
    <w:p>
      <w:pPr>
        <w:spacing w:line="360" w:lineRule="auto"/>
        <w:ind w:firstLine="560" w:firstLineChars="200"/>
        <w:rPr>
          <w:rFonts w:ascii="华文中宋" w:hAnsi="华文中宋" w:eastAsia="华文中宋" w:cs="华文中宋"/>
          <w:sz w:val="28"/>
          <w:szCs w:val="28"/>
        </w:rPr>
      </w:pPr>
      <w:bookmarkStart w:id="103" w:name="_Hlk126937952"/>
      <w:r>
        <w:rPr>
          <w:rFonts w:hint="eastAsia" w:ascii="华文中宋" w:hAnsi="华文中宋" w:eastAsia="华文中宋" w:cs="华文中宋"/>
          <w:sz w:val="28"/>
          <w:szCs w:val="28"/>
        </w:rPr>
        <w:t>根据《城市供热规划规范（GB/T51074-2015）》的要求，热网应采用地下敷设方式，工业园区的蒸汽管网在环境景观、安全条件允许时可采用地上架空敷设方式。本次规划考虑A片区的未来发展对环境和安全等方面的要求，确定蒸汽管道采用地下直埋敷设方式。</w:t>
      </w:r>
    </w:p>
    <w:bookmarkEnd w:id="103"/>
    <w:p>
      <w:pPr>
        <w:spacing w:line="360" w:lineRule="auto"/>
        <w:ind w:firstLine="480"/>
        <w:rPr>
          <w:rFonts w:ascii="华文中宋" w:hAnsi="华文中宋" w:eastAsia="华文中宋" w:cs="华文中宋"/>
          <w:sz w:val="28"/>
          <w:szCs w:val="28"/>
        </w:rPr>
      </w:pPr>
      <w:r>
        <w:rPr>
          <w:rFonts w:hint="eastAsia" w:ascii="华文中宋" w:hAnsi="华文中宋" w:eastAsia="华文中宋" w:cs="华文中宋"/>
          <w:sz w:val="28"/>
          <w:szCs w:val="28"/>
        </w:rPr>
        <w:t>（</w:t>
      </w:r>
      <w:r>
        <w:rPr>
          <w:rFonts w:ascii="华文中宋" w:hAnsi="华文中宋" w:eastAsia="华文中宋" w:cs="华文中宋"/>
          <w:sz w:val="28"/>
          <w:szCs w:val="28"/>
        </w:rPr>
        <w:t>2</w:t>
      </w:r>
      <w:r>
        <w:rPr>
          <w:rFonts w:hint="eastAsia" w:ascii="华文中宋" w:hAnsi="华文中宋" w:eastAsia="华文中宋" w:cs="华文中宋"/>
          <w:sz w:val="28"/>
          <w:szCs w:val="28"/>
        </w:rPr>
        <w:t>）管网与用户的连接</w:t>
      </w:r>
    </w:p>
    <w:bookmarkEnd w:id="102"/>
    <w:p>
      <w:pPr>
        <w:spacing w:line="360" w:lineRule="auto"/>
        <w:ind w:firstLine="560" w:firstLineChars="200"/>
        <w:rPr>
          <w:rFonts w:ascii="华文中宋" w:hAnsi="华文中宋" w:eastAsia="华文中宋" w:cs="华文中宋"/>
          <w:sz w:val="28"/>
          <w:szCs w:val="28"/>
        </w:rPr>
      </w:pPr>
      <w:bookmarkStart w:id="104" w:name="_Toc12982987"/>
      <w:r>
        <w:rPr>
          <w:rFonts w:hint="eastAsia" w:ascii="华文中宋" w:hAnsi="华文中宋" w:eastAsia="华文中宋" w:cs="华文中宋"/>
          <w:sz w:val="28"/>
          <w:szCs w:val="28"/>
        </w:rPr>
        <w:t>蒸汽管网与用户采用直接连接，根据每个用户的参数要求，在每个用户处设置蒸汽减温减压设施，经减温减压后满足用户生产工艺要求后与用户蒸汽系统连接。</w:t>
      </w:r>
    </w:p>
    <w:p>
      <w:pPr>
        <w:spacing w:line="360" w:lineRule="auto"/>
        <w:ind w:firstLine="560" w:firstLineChars="200"/>
        <w:rPr>
          <w:rFonts w:ascii="华文中宋" w:hAnsi="华文中宋" w:eastAsia="华文中宋" w:cs="华文中宋"/>
          <w:color w:val="FF0000"/>
          <w:sz w:val="28"/>
          <w:szCs w:val="28"/>
        </w:rPr>
      </w:pPr>
      <w:r>
        <w:rPr>
          <w:rFonts w:hint="eastAsia" w:ascii="华文中宋" w:hAnsi="华文中宋" w:eastAsia="华文中宋" w:cs="华文中宋"/>
          <w:sz w:val="28"/>
          <w:szCs w:val="28"/>
        </w:rPr>
        <w:t>每个用户设减温减压站，位置设置在用户企业厂区内，满足用户厂区总体规划要求，站内主要设备为蒸汽减温减压器、分汽缸、热计量装置、关断阀、安全阀、冷凝水箱，冷凝水回水泵等。 蒸汽进入减温减压站后，进入分气缸，按用户对蒸汽的需求，分环设置，并在各环路设置调压阀、压力表和温度计等，通过调压阀调节到各环路需要的用气参数。</w:t>
      </w:r>
    </w:p>
    <w:p>
      <w:pPr>
        <w:pStyle w:val="4"/>
        <w:spacing w:before="260" w:after="260"/>
        <w:rPr>
          <w:rFonts w:ascii="华文中宋" w:hAnsi="华文中宋" w:eastAsia="华文中宋" w:cs="华文中宋"/>
        </w:rPr>
      </w:pPr>
      <w:bookmarkStart w:id="105" w:name="_Toc8642"/>
      <w:r>
        <w:rPr>
          <w:rFonts w:hint="eastAsia" w:ascii="华文中宋" w:hAnsi="华文中宋" w:eastAsia="华文中宋" w:cs="华文中宋"/>
        </w:rPr>
        <w:t>4.9 管线综合</w:t>
      </w:r>
      <w:bookmarkEnd w:id="104"/>
      <w:bookmarkEnd w:id="105"/>
    </w:p>
    <w:p>
      <w:pPr>
        <w:spacing w:line="360" w:lineRule="auto"/>
        <w:ind w:firstLine="560" w:firstLineChars="200"/>
        <w:rPr>
          <w:rFonts w:ascii="华文中宋" w:hAnsi="华文中宋" w:eastAsia="华文中宋" w:cs="华文中宋"/>
          <w:sz w:val="28"/>
          <w:szCs w:val="28"/>
        </w:rPr>
      </w:pPr>
      <w:r>
        <w:rPr>
          <w:rFonts w:hint="eastAsia" w:ascii="华文中宋" w:hAnsi="华文中宋" w:eastAsia="华文中宋" w:cs="华文中宋"/>
          <w:sz w:val="28"/>
          <w:szCs w:val="28"/>
        </w:rPr>
        <w:t>工程管线在道路下面的规划位置宜相对固定，分支线少、埋深大、检修周期短和损坏时对建筑物基础安全有影响的工程管线应远离建筑物。工程管线从道路红线向道路中心线方向平行布置的次序宜为：电力、通信、给水（配水）、燃气（配气）、给水（输水）、再生水、污水、雨水。各道路依实际情况可做调整。</w:t>
      </w:r>
    </w:p>
    <w:p>
      <w:pPr>
        <w:spacing w:line="360" w:lineRule="auto"/>
        <w:ind w:firstLine="560" w:firstLineChars="200"/>
        <w:rPr>
          <w:rFonts w:ascii="华文中宋" w:hAnsi="华文中宋" w:eastAsia="华文中宋" w:cs="华文中宋"/>
          <w:sz w:val="28"/>
          <w:szCs w:val="28"/>
        </w:rPr>
      </w:pPr>
      <w:r>
        <w:rPr>
          <w:rFonts w:hint="eastAsia" w:ascii="华文中宋" w:hAnsi="华文中宋" w:eastAsia="华文中宋" w:cs="华文中宋"/>
          <w:sz w:val="28"/>
          <w:szCs w:val="28"/>
        </w:rPr>
        <w:t>当工程管线竖向位置发生矛盾时，宜按下列规定处理：</w:t>
      </w:r>
    </w:p>
    <w:p>
      <w:pPr>
        <w:spacing w:line="360" w:lineRule="auto"/>
        <w:ind w:firstLine="480"/>
        <w:rPr>
          <w:rFonts w:ascii="华文中宋" w:hAnsi="华文中宋" w:eastAsia="华文中宋" w:cs="华文中宋"/>
          <w:sz w:val="28"/>
          <w:szCs w:val="28"/>
        </w:rPr>
      </w:pPr>
      <w:r>
        <w:rPr>
          <w:rFonts w:hint="eastAsia" w:ascii="华文中宋" w:hAnsi="华文中宋" w:eastAsia="华文中宋" w:cs="华文中宋"/>
          <w:sz w:val="28"/>
          <w:szCs w:val="28"/>
        </w:rPr>
        <w:t>（1）压力管线宜避让重力流管线。</w:t>
      </w:r>
    </w:p>
    <w:p>
      <w:pPr>
        <w:spacing w:line="360" w:lineRule="auto"/>
        <w:ind w:firstLine="480"/>
        <w:rPr>
          <w:rFonts w:ascii="华文中宋" w:hAnsi="华文中宋" w:eastAsia="华文中宋" w:cs="华文中宋"/>
          <w:sz w:val="28"/>
          <w:szCs w:val="28"/>
        </w:rPr>
      </w:pPr>
      <w:r>
        <w:rPr>
          <w:rFonts w:hint="eastAsia" w:ascii="华文中宋" w:hAnsi="华文中宋" w:eastAsia="华文中宋" w:cs="华文中宋"/>
          <w:sz w:val="28"/>
          <w:szCs w:val="28"/>
        </w:rPr>
        <w:t>（2）易弯曲管线宜避让不易弯曲管线。</w:t>
      </w:r>
    </w:p>
    <w:p>
      <w:pPr>
        <w:spacing w:line="360" w:lineRule="auto"/>
        <w:ind w:firstLine="480"/>
        <w:rPr>
          <w:rFonts w:ascii="华文中宋" w:hAnsi="华文中宋" w:eastAsia="华文中宋" w:cs="华文中宋"/>
          <w:sz w:val="28"/>
          <w:szCs w:val="28"/>
        </w:rPr>
      </w:pPr>
      <w:r>
        <w:rPr>
          <w:rFonts w:hint="eastAsia" w:ascii="华文中宋" w:hAnsi="华文中宋" w:eastAsia="华文中宋" w:cs="华文中宋"/>
          <w:sz w:val="28"/>
          <w:szCs w:val="28"/>
        </w:rPr>
        <w:t>（3）分支管线宜避让主干管线。</w:t>
      </w:r>
    </w:p>
    <w:p>
      <w:pPr>
        <w:spacing w:line="360" w:lineRule="auto"/>
        <w:ind w:firstLine="480"/>
        <w:rPr>
          <w:rFonts w:ascii="华文中宋" w:hAnsi="华文中宋" w:eastAsia="华文中宋" w:cs="华文中宋"/>
          <w:sz w:val="28"/>
          <w:szCs w:val="28"/>
        </w:rPr>
      </w:pPr>
      <w:r>
        <w:rPr>
          <w:rFonts w:hint="eastAsia" w:ascii="华文中宋" w:hAnsi="华文中宋" w:eastAsia="华文中宋" w:cs="华文中宋"/>
          <w:sz w:val="28"/>
          <w:szCs w:val="28"/>
        </w:rPr>
        <w:t>（4）小管径管线宜避让大管径管线。</w:t>
      </w:r>
      <w:bookmarkStart w:id="106" w:name="_GoBack"/>
      <w:bookmarkEnd w:id="106"/>
    </w:p>
    <w:p>
      <w:pPr>
        <w:spacing w:line="360" w:lineRule="auto"/>
        <w:ind w:firstLine="480"/>
        <w:rPr>
          <w:rFonts w:ascii="华文中宋" w:hAnsi="华文中宋" w:eastAsia="华文中宋" w:cs="华文中宋"/>
          <w:sz w:val="28"/>
          <w:szCs w:val="28"/>
        </w:rPr>
      </w:pPr>
      <w:r>
        <w:rPr>
          <w:rFonts w:hint="eastAsia" w:ascii="华文中宋" w:hAnsi="华文中宋" w:eastAsia="华文中宋" w:cs="华文中宋"/>
          <w:sz w:val="28"/>
          <w:szCs w:val="28"/>
        </w:rPr>
        <w:t>（5）临时管线宜避让永久管线。</w:t>
      </w:r>
    </w:p>
    <w:p>
      <w:pPr>
        <w:spacing w:line="360" w:lineRule="auto"/>
        <w:ind w:firstLine="560" w:firstLineChars="200"/>
        <w:rPr>
          <w:rFonts w:ascii="华文中宋" w:hAnsi="华文中宋" w:eastAsia="华文中宋" w:cs="华文中宋"/>
          <w:sz w:val="24"/>
          <w:szCs w:val="24"/>
        </w:rPr>
      </w:pPr>
      <w:r>
        <w:rPr>
          <w:rFonts w:hint="eastAsia" w:ascii="华文中宋" w:hAnsi="华文中宋" w:eastAsia="华文中宋" w:cs="华文中宋"/>
          <w:sz w:val="28"/>
          <w:szCs w:val="28"/>
        </w:rPr>
        <w:t>对地下空间有限的道路，可考虑将部分工程管线架空敷设，架空管线布置应符合《城市工程管线综合规划规范》（GB50289-2016）的要求。</w:t>
      </w:r>
    </w:p>
    <w:sectPr>
      <w:headerReference r:id="rId3" w:type="default"/>
      <w:footerReference r:id="rId5" w:type="default"/>
      <w:headerReference r:id="rId4" w:type="even"/>
      <w:footerReference r:id="rId6" w:type="even"/>
      <w:pgSz w:w="23814" w:h="16839" w:orient="landscape"/>
      <w:pgMar w:top="1080" w:right="1440" w:bottom="1080" w:left="1440" w:header="720" w:footer="720" w:gutter="0"/>
      <w:cols w:space="720" w:num="2"/>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Arial">
    <w:panose1 w:val="020B0604020202020204"/>
    <w:charset w:val="00"/>
    <w:family w:val="swiss"/>
    <w:pitch w:val="default"/>
    <w:sig w:usb0="E0002EFF" w:usb1="C000785B" w:usb2="00000009" w:usb3="00000000" w:csb0="400001FF" w:csb1="FFFF0000"/>
  </w:font>
  <w:font w:name="Cambria">
    <w:panose1 w:val="02040503050406030204"/>
    <w:charset w:val="00"/>
    <w:family w:val="roman"/>
    <w:pitch w:val="default"/>
    <w:sig w:usb0="E00006FF" w:usb1="420024FF" w:usb2="02000000" w:usb3="00000000" w:csb0="2000019F" w:csb1="00000000"/>
  </w:font>
  <w:font w:name="Calibri Light">
    <w:panose1 w:val="020F0302020204030204"/>
    <w:charset w:val="00"/>
    <w:family w:val="swiss"/>
    <w:pitch w:val="default"/>
    <w:sig w:usb0="E4002EFF" w:usb1="C000247B" w:usb2="00000009" w:usb3="00000000" w:csb0="200001FF" w:csb1="00000000"/>
  </w:font>
  <w:font w:name="仿宋_GB2312">
    <w:altName w:val="仿宋"/>
    <w:panose1 w:val="00000000000000000000"/>
    <w:charset w:val="00"/>
    <w:family w:val="auto"/>
    <w:pitch w:val="default"/>
    <w:sig w:usb0="00000000" w:usb1="00000000" w:usb2="00000000" w:usb3="00000000" w:csb0="00000000" w:csb1="00000000"/>
  </w:font>
  <w:font w:name="华文中宋">
    <w:panose1 w:val="02010600040101010101"/>
    <w:charset w:val="86"/>
    <w:family w:val="auto"/>
    <w:pitch w:val="default"/>
    <w:sig w:usb0="00000287" w:usb1="080F0000" w:usb2="00000000" w:usb3="00000000" w:csb0="0004009F" w:csb1="DFD70000"/>
    <w:embedRegular r:id="rId1" w:fontKey="{4B8AC633-C4C9-4A53-B993-9F0752EF5876}"/>
  </w:font>
  <w:font w:name="Cambria Math">
    <w:panose1 w:val="02040503050406030204"/>
    <w:charset w:val="00"/>
    <w:family w:val="roman"/>
    <w:pitch w:val="default"/>
    <w:sig w:usb0="E00006FF" w:usb1="420024FF" w:usb2="02000000" w:usb3="00000000" w:csb0="2000019F" w:csb1="00000000"/>
    <w:embedRegular r:id="rId2" w:fontKey="{D5A13FE4-4AE1-4B26-B8E2-47F2F4CD24D9}"/>
  </w:font>
  <w:font w:name="仿宋">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jc w:val="center"/>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0"/>
                            <w:jc w:val="center"/>
                          </w:pPr>
                          <w:r>
                            <w:fldChar w:fldCharType="begin"/>
                          </w:r>
                          <w:r>
                            <w:instrText xml:space="preserve">PAGE   \* MERGEFORMAT</w:instrText>
                          </w:r>
                          <w:r>
                            <w:fldChar w:fldCharType="separate"/>
                          </w:r>
                          <w:r>
                            <w:t>5</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q/o+UsAgAAV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yr+j5SwCAABVBAAADgAAAAAAAAABACAAAAAfAQAAZHJzL2Uyb0RvYy54bWxQSwUGAAAAAAYA&#10;BgBZAQAAvQUAAAAA&#10;">
              <v:fill on="f" focussize="0,0"/>
              <v:stroke on="f" weight="0.5pt"/>
              <v:imagedata o:title=""/>
              <o:lock v:ext="edit" aspectratio="f"/>
              <v:textbox inset="0mm,0mm,0mm,0mm" style="mso-fit-shape-to-text:t;">
                <w:txbxContent>
                  <w:p>
                    <w:pPr>
                      <w:pStyle w:val="20"/>
                      <w:jc w:val="center"/>
                    </w:pPr>
                    <w:r>
                      <w:fldChar w:fldCharType="begin"/>
                    </w:r>
                    <w:r>
                      <w:instrText xml:space="preserve">PAGE   \* MERGEFORMAT</w:instrText>
                    </w:r>
                    <w:r>
                      <w:fldChar w:fldCharType="separate"/>
                    </w:r>
                    <w:r>
                      <w:t>5</w:t>
                    </w:r>
                    <w:r>
                      <w:fldChar w:fldCharType="end"/>
                    </w:r>
                  </w:p>
                </w:txbxContent>
              </v:textbox>
            </v:shape>
          </w:pict>
        </mc:Fallback>
      </mc:AlternateContent>
    </w:r>
  </w:p>
  <w:p>
    <w:pPr>
      <w:pStyle w:val="20"/>
    </w:pPr>
  </w:p>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0"/>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3" name="文本框 1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0"/>
                          </w:pPr>
                          <w:r>
                            <w:fldChar w:fldCharType="begin"/>
                          </w:r>
                          <w:r>
                            <w:instrText xml:space="preserve"> PAGE  \* MERGEFORMAT </w:instrText>
                          </w:r>
                          <w:r>
                            <w:fldChar w:fldCharType="separate"/>
                          </w:r>
                          <w:r>
                            <w:t>38</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ILIswsAgAAVwQAAA4AAABkcnMvZTJvRG9jLnhtbK1UzY7TMBC+I/EO&#10;lu80bVes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MgsizCwCAABXBAAADgAAAAAAAAABACAAAAAfAQAAZHJzL2Uyb0RvYy54bWxQSwUGAAAAAAYA&#10;BgBZAQAAvQUAAAAA&#10;">
              <v:fill on="f" focussize="0,0"/>
              <v:stroke on="f" weight="0.5pt"/>
              <v:imagedata o:title=""/>
              <o:lock v:ext="edit" aspectratio="f"/>
              <v:textbox inset="0mm,0mm,0mm,0mm" style="mso-fit-shape-to-text:t;">
                <w:txbxContent>
                  <w:p>
                    <w:pPr>
                      <w:pStyle w:val="20"/>
                    </w:pPr>
                    <w:r>
                      <w:fldChar w:fldCharType="begin"/>
                    </w:r>
                    <w:r>
                      <w:instrText xml:space="preserve"> PAGE  \* MERGEFORMAT </w:instrText>
                    </w:r>
                    <w:r>
                      <w:fldChar w:fldCharType="separate"/>
                    </w:r>
                    <w:r>
                      <w:t>38</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pBdr>
        <w:bottom w:val="single" w:color="auto" w:sz="4" w:space="1"/>
      </w:pBdr>
    </w:pPr>
    <w:r>
      <w:rPr>
        <w:rFonts w:hint="eastAsia"/>
        <w:lang w:val="en-US"/>
      </w:rPr>
      <w:t>乌海高新技术产业开发区乌达产业园控制性详细规划调整</w:t>
    </w:r>
    <w:r>
      <w:ptab w:relativeTo="margin" w:alignment="center" w:leader="none"/>
    </w:r>
    <w:r>
      <w:ptab w:relativeTo="margin" w:alignment="right" w:leader="none"/>
    </w:r>
    <w:r>
      <w:rPr>
        <w:rFonts w:hint="eastAsia"/>
      </w:rPr>
      <w:t>说明书</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1"/>
      <w:pBdr>
        <w:bottom w:val="single" w:color="auto" w:sz="4" w:space="1"/>
      </w:pBdr>
    </w:pPr>
    <w:r>
      <w:rPr>
        <w:rFonts w:hint="eastAsia"/>
        <w:lang w:val="en-US"/>
      </w:rPr>
      <w:t>乌海经济开发区乌达工业园控制性详细规划</w:t>
    </w:r>
    <w:r>
      <w:ptab w:relativeTo="margin" w:alignment="center" w:leader="none"/>
    </w:r>
    <w:r>
      <w:ptab w:relativeTo="margin" w:alignment="right" w:leader="none"/>
    </w:r>
    <w:r>
      <w:rPr>
        <w:rFonts w:hint="eastAsia"/>
      </w:rPr>
      <w:t>说明书</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4171A6AD"/>
    <w:multiLevelType w:val="singleLevel"/>
    <w:tmpl w:val="4171A6AD"/>
    <w:lvl w:ilvl="0" w:tentative="0">
      <w:start w:val="2"/>
      <w:numFmt w:val="decimal"/>
      <w:suff w:val="space"/>
      <w:lvlText w:val="%1."/>
      <w:lvlJc w:val="left"/>
    </w:lvl>
  </w:abstractNum>
  <w:abstractNum w:abstractNumId="1">
    <w:nsid w:val="425D2EFE"/>
    <w:multiLevelType w:val="multilevel"/>
    <w:tmpl w:val="425D2EFE"/>
    <w:lvl w:ilvl="0" w:tentative="0">
      <w:start w:val="1"/>
      <w:numFmt w:val="decimal"/>
      <w:suff w:val="nothing"/>
      <w:lvlText w:val="（%1）"/>
      <w:lvlJc w:val="left"/>
      <w:pPr>
        <w:ind w:left="0" w:firstLine="480"/>
      </w:pPr>
      <w:rPr>
        <w:rFonts w:hint="default" w:ascii="华文中宋" w:hAnsi="华文中宋" w:eastAsia="华文中宋" w:cs="华文中宋"/>
        <w:sz w:val="28"/>
        <w:szCs w:val="28"/>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num w:numId="1">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TrueTypeFonts/>
  <w:saveSubsetFonts/>
  <w:bordersDoNotSurroundHeader w:val="0"/>
  <w:bordersDoNotSurroundFooter w:val="0"/>
  <w:hideSpellingErrors/>
  <w:documentProtection w:enforcement="0"/>
  <w:defaultTabStop w:val="420"/>
  <w:drawingGridHorizontalSpacing w:val="105"/>
  <w:drawingGridVerticalSpacing w:val="156"/>
  <w:displayHorizontalDrawingGridEvery w:val="1"/>
  <w:displayVerticalDrawingGridEvery w:val="1"/>
  <w:noPunctuationKerning w:val="1"/>
  <w:characterSpacingControl w:val="compressPunctuation"/>
  <w:doNotValidateAgainstSchema/>
  <w:doNotDemarcateInvalidXml/>
  <w:compat>
    <w:spaceForUL/>
    <w:balanceSingleByteDoubleByteWidth/>
    <w:doNotLeaveBackslashAlon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YzQwN2UzOWJhZDYzYjMwZjNlOTIzNDVmNTQ0MDJkNzgifQ=="/>
  </w:docVars>
  <w:rsids>
    <w:rsidRoot w:val="00172A27"/>
    <w:rsid w:val="00010267"/>
    <w:rsid w:val="00012208"/>
    <w:rsid w:val="000134F0"/>
    <w:rsid w:val="00015B35"/>
    <w:rsid w:val="00016AAE"/>
    <w:rsid w:val="00020F6A"/>
    <w:rsid w:val="00022982"/>
    <w:rsid w:val="00023B19"/>
    <w:rsid w:val="000249BA"/>
    <w:rsid w:val="00025EB3"/>
    <w:rsid w:val="000265A5"/>
    <w:rsid w:val="000270A0"/>
    <w:rsid w:val="00031B7A"/>
    <w:rsid w:val="00031D1F"/>
    <w:rsid w:val="00033180"/>
    <w:rsid w:val="00034450"/>
    <w:rsid w:val="00034782"/>
    <w:rsid w:val="00034CA1"/>
    <w:rsid w:val="00035540"/>
    <w:rsid w:val="00035832"/>
    <w:rsid w:val="000358DB"/>
    <w:rsid w:val="0003660E"/>
    <w:rsid w:val="00036C50"/>
    <w:rsid w:val="0004286B"/>
    <w:rsid w:val="00043443"/>
    <w:rsid w:val="00044549"/>
    <w:rsid w:val="00045B9B"/>
    <w:rsid w:val="00045F5C"/>
    <w:rsid w:val="000507C7"/>
    <w:rsid w:val="000507FA"/>
    <w:rsid w:val="000509D6"/>
    <w:rsid w:val="000517AB"/>
    <w:rsid w:val="000519C8"/>
    <w:rsid w:val="000531A5"/>
    <w:rsid w:val="000568E2"/>
    <w:rsid w:val="00057D3E"/>
    <w:rsid w:val="00057EBA"/>
    <w:rsid w:val="00060B23"/>
    <w:rsid w:val="0006280D"/>
    <w:rsid w:val="000640AD"/>
    <w:rsid w:val="0006437F"/>
    <w:rsid w:val="0006508F"/>
    <w:rsid w:val="00065092"/>
    <w:rsid w:val="0006537A"/>
    <w:rsid w:val="00070F30"/>
    <w:rsid w:val="000712A5"/>
    <w:rsid w:val="00071ED0"/>
    <w:rsid w:val="000720E4"/>
    <w:rsid w:val="000744B3"/>
    <w:rsid w:val="000753A9"/>
    <w:rsid w:val="000823E0"/>
    <w:rsid w:val="000830F5"/>
    <w:rsid w:val="00084046"/>
    <w:rsid w:val="000840E3"/>
    <w:rsid w:val="00084CD3"/>
    <w:rsid w:val="00085E71"/>
    <w:rsid w:val="000861DA"/>
    <w:rsid w:val="000866A4"/>
    <w:rsid w:val="00086E38"/>
    <w:rsid w:val="00090244"/>
    <w:rsid w:val="00090407"/>
    <w:rsid w:val="00092889"/>
    <w:rsid w:val="00093FD3"/>
    <w:rsid w:val="00095B7F"/>
    <w:rsid w:val="000A095B"/>
    <w:rsid w:val="000A1A18"/>
    <w:rsid w:val="000A1DF1"/>
    <w:rsid w:val="000A29D6"/>
    <w:rsid w:val="000A33B5"/>
    <w:rsid w:val="000A3CC7"/>
    <w:rsid w:val="000A4253"/>
    <w:rsid w:val="000A429E"/>
    <w:rsid w:val="000A5375"/>
    <w:rsid w:val="000A5ADE"/>
    <w:rsid w:val="000A5B69"/>
    <w:rsid w:val="000A6A63"/>
    <w:rsid w:val="000A7051"/>
    <w:rsid w:val="000B0EA0"/>
    <w:rsid w:val="000B11F2"/>
    <w:rsid w:val="000B13A5"/>
    <w:rsid w:val="000B2BEB"/>
    <w:rsid w:val="000B3DA1"/>
    <w:rsid w:val="000B4164"/>
    <w:rsid w:val="000B4BE3"/>
    <w:rsid w:val="000B5133"/>
    <w:rsid w:val="000B6058"/>
    <w:rsid w:val="000B6906"/>
    <w:rsid w:val="000B7A24"/>
    <w:rsid w:val="000C0E87"/>
    <w:rsid w:val="000C651F"/>
    <w:rsid w:val="000C6D8C"/>
    <w:rsid w:val="000D2505"/>
    <w:rsid w:val="000D3B34"/>
    <w:rsid w:val="000D730C"/>
    <w:rsid w:val="000E1526"/>
    <w:rsid w:val="000E2006"/>
    <w:rsid w:val="000E363D"/>
    <w:rsid w:val="000E45CE"/>
    <w:rsid w:val="000E47A3"/>
    <w:rsid w:val="000E4FA9"/>
    <w:rsid w:val="000E6DD3"/>
    <w:rsid w:val="000E6E06"/>
    <w:rsid w:val="000E73CF"/>
    <w:rsid w:val="000E7F9F"/>
    <w:rsid w:val="000F0E06"/>
    <w:rsid w:val="000F1857"/>
    <w:rsid w:val="000F2A69"/>
    <w:rsid w:val="000F2AD6"/>
    <w:rsid w:val="000F320D"/>
    <w:rsid w:val="000F3AD3"/>
    <w:rsid w:val="000F4B6A"/>
    <w:rsid w:val="000F4FD5"/>
    <w:rsid w:val="000F52E3"/>
    <w:rsid w:val="000F6165"/>
    <w:rsid w:val="000F7DA2"/>
    <w:rsid w:val="00100C91"/>
    <w:rsid w:val="001014AB"/>
    <w:rsid w:val="00101518"/>
    <w:rsid w:val="001018F4"/>
    <w:rsid w:val="001021E7"/>
    <w:rsid w:val="001024B9"/>
    <w:rsid w:val="00102A8E"/>
    <w:rsid w:val="0010648A"/>
    <w:rsid w:val="00106BC5"/>
    <w:rsid w:val="00110030"/>
    <w:rsid w:val="001103E6"/>
    <w:rsid w:val="001116BC"/>
    <w:rsid w:val="00113CEB"/>
    <w:rsid w:val="00114EC7"/>
    <w:rsid w:val="00115149"/>
    <w:rsid w:val="00116C3C"/>
    <w:rsid w:val="00117EE3"/>
    <w:rsid w:val="00120401"/>
    <w:rsid w:val="00121143"/>
    <w:rsid w:val="00121A71"/>
    <w:rsid w:val="00121CDC"/>
    <w:rsid w:val="00122465"/>
    <w:rsid w:val="00123C00"/>
    <w:rsid w:val="00124CAD"/>
    <w:rsid w:val="00125326"/>
    <w:rsid w:val="00126661"/>
    <w:rsid w:val="00126EB9"/>
    <w:rsid w:val="00130304"/>
    <w:rsid w:val="0013194F"/>
    <w:rsid w:val="00133CC1"/>
    <w:rsid w:val="00134FB4"/>
    <w:rsid w:val="001375B8"/>
    <w:rsid w:val="00137AAA"/>
    <w:rsid w:val="00141135"/>
    <w:rsid w:val="00141C2B"/>
    <w:rsid w:val="001425DD"/>
    <w:rsid w:val="0014327B"/>
    <w:rsid w:val="001441B3"/>
    <w:rsid w:val="00144B68"/>
    <w:rsid w:val="001457D4"/>
    <w:rsid w:val="001470DC"/>
    <w:rsid w:val="001477E1"/>
    <w:rsid w:val="0015068C"/>
    <w:rsid w:val="001539B6"/>
    <w:rsid w:val="00153C6D"/>
    <w:rsid w:val="00154A6A"/>
    <w:rsid w:val="00154D3F"/>
    <w:rsid w:val="00155223"/>
    <w:rsid w:val="00155468"/>
    <w:rsid w:val="00156B66"/>
    <w:rsid w:val="00160352"/>
    <w:rsid w:val="001627AC"/>
    <w:rsid w:val="00162A86"/>
    <w:rsid w:val="001636C9"/>
    <w:rsid w:val="001636E2"/>
    <w:rsid w:val="001642F0"/>
    <w:rsid w:val="00164AA7"/>
    <w:rsid w:val="00164D41"/>
    <w:rsid w:val="00165C88"/>
    <w:rsid w:val="00166F7C"/>
    <w:rsid w:val="00167ACD"/>
    <w:rsid w:val="001707A8"/>
    <w:rsid w:val="00172090"/>
    <w:rsid w:val="001725F8"/>
    <w:rsid w:val="00172A27"/>
    <w:rsid w:val="00174773"/>
    <w:rsid w:val="00175FDE"/>
    <w:rsid w:val="00176068"/>
    <w:rsid w:val="0018378C"/>
    <w:rsid w:val="0018459F"/>
    <w:rsid w:val="0018497B"/>
    <w:rsid w:val="00184D47"/>
    <w:rsid w:val="00185349"/>
    <w:rsid w:val="001859B9"/>
    <w:rsid w:val="00187591"/>
    <w:rsid w:val="00187607"/>
    <w:rsid w:val="001902B2"/>
    <w:rsid w:val="00191908"/>
    <w:rsid w:val="001920EE"/>
    <w:rsid w:val="0019246D"/>
    <w:rsid w:val="00193EFD"/>
    <w:rsid w:val="00194250"/>
    <w:rsid w:val="00196240"/>
    <w:rsid w:val="0019630E"/>
    <w:rsid w:val="001969F2"/>
    <w:rsid w:val="00197C41"/>
    <w:rsid w:val="001A0E9A"/>
    <w:rsid w:val="001A16B2"/>
    <w:rsid w:val="001A1EC8"/>
    <w:rsid w:val="001A28AA"/>
    <w:rsid w:val="001A344E"/>
    <w:rsid w:val="001A65C0"/>
    <w:rsid w:val="001B10EC"/>
    <w:rsid w:val="001B116F"/>
    <w:rsid w:val="001B1461"/>
    <w:rsid w:val="001B31BB"/>
    <w:rsid w:val="001B3C67"/>
    <w:rsid w:val="001B4BFF"/>
    <w:rsid w:val="001B5F9F"/>
    <w:rsid w:val="001B634F"/>
    <w:rsid w:val="001B7A55"/>
    <w:rsid w:val="001B7A6E"/>
    <w:rsid w:val="001B7FF4"/>
    <w:rsid w:val="001C09B7"/>
    <w:rsid w:val="001C0F88"/>
    <w:rsid w:val="001C127D"/>
    <w:rsid w:val="001C1F47"/>
    <w:rsid w:val="001C405F"/>
    <w:rsid w:val="001C42AA"/>
    <w:rsid w:val="001C505B"/>
    <w:rsid w:val="001C6755"/>
    <w:rsid w:val="001C68A7"/>
    <w:rsid w:val="001C7290"/>
    <w:rsid w:val="001C75D9"/>
    <w:rsid w:val="001C7F77"/>
    <w:rsid w:val="001D0B9B"/>
    <w:rsid w:val="001D0E6F"/>
    <w:rsid w:val="001D4D2E"/>
    <w:rsid w:val="001D6BDC"/>
    <w:rsid w:val="001D73C6"/>
    <w:rsid w:val="001E0DC4"/>
    <w:rsid w:val="001E3045"/>
    <w:rsid w:val="001E3C6C"/>
    <w:rsid w:val="001E4982"/>
    <w:rsid w:val="001E4CBF"/>
    <w:rsid w:val="001E4D69"/>
    <w:rsid w:val="001E505B"/>
    <w:rsid w:val="001E6F04"/>
    <w:rsid w:val="001E7708"/>
    <w:rsid w:val="001E7D7B"/>
    <w:rsid w:val="001F1AF8"/>
    <w:rsid w:val="001F584D"/>
    <w:rsid w:val="001F6146"/>
    <w:rsid w:val="001F6E78"/>
    <w:rsid w:val="001F7CCA"/>
    <w:rsid w:val="00202319"/>
    <w:rsid w:val="00202B5E"/>
    <w:rsid w:val="002042C9"/>
    <w:rsid w:val="00205302"/>
    <w:rsid w:val="002071B5"/>
    <w:rsid w:val="00207DE5"/>
    <w:rsid w:val="0021101C"/>
    <w:rsid w:val="00212F85"/>
    <w:rsid w:val="00213275"/>
    <w:rsid w:val="00213704"/>
    <w:rsid w:val="002147D3"/>
    <w:rsid w:val="0021532C"/>
    <w:rsid w:val="002174B9"/>
    <w:rsid w:val="00217BDF"/>
    <w:rsid w:val="00217D5E"/>
    <w:rsid w:val="002207BC"/>
    <w:rsid w:val="00221C98"/>
    <w:rsid w:val="00223D52"/>
    <w:rsid w:val="00225A5A"/>
    <w:rsid w:val="00226C12"/>
    <w:rsid w:val="00227D68"/>
    <w:rsid w:val="002308B1"/>
    <w:rsid w:val="002318D4"/>
    <w:rsid w:val="00233F2B"/>
    <w:rsid w:val="002346F4"/>
    <w:rsid w:val="0023491A"/>
    <w:rsid w:val="00235B04"/>
    <w:rsid w:val="00236370"/>
    <w:rsid w:val="0023727E"/>
    <w:rsid w:val="00237536"/>
    <w:rsid w:val="002409CF"/>
    <w:rsid w:val="0024221B"/>
    <w:rsid w:val="00243647"/>
    <w:rsid w:val="002444A9"/>
    <w:rsid w:val="00244EAA"/>
    <w:rsid w:val="00245459"/>
    <w:rsid w:val="002460B3"/>
    <w:rsid w:val="00246A55"/>
    <w:rsid w:val="002478B9"/>
    <w:rsid w:val="00251FE0"/>
    <w:rsid w:val="00252E77"/>
    <w:rsid w:val="0025354D"/>
    <w:rsid w:val="002548CB"/>
    <w:rsid w:val="00254D44"/>
    <w:rsid w:val="002577CE"/>
    <w:rsid w:val="002578C1"/>
    <w:rsid w:val="002668E7"/>
    <w:rsid w:val="00267EE2"/>
    <w:rsid w:val="00267FED"/>
    <w:rsid w:val="0027180B"/>
    <w:rsid w:val="00271A1D"/>
    <w:rsid w:val="00274770"/>
    <w:rsid w:val="00276519"/>
    <w:rsid w:val="00281E27"/>
    <w:rsid w:val="00282436"/>
    <w:rsid w:val="0028373F"/>
    <w:rsid w:val="00285384"/>
    <w:rsid w:val="002866DF"/>
    <w:rsid w:val="00291F96"/>
    <w:rsid w:val="00293BBF"/>
    <w:rsid w:val="00293E3D"/>
    <w:rsid w:val="00293E8D"/>
    <w:rsid w:val="00294DC2"/>
    <w:rsid w:val="00295329"/>
    <w:rsid w:val="00295566"/>
    <w:rsid w:val="002A19C3"/>
    <w:rsid w:val="002A3068"/>
    <w:rsid w:val="002A5746"/>
    <w:rsid w:val="002A6A64"/>
    <w:rsid w:val="002A7C50"/>
    <w:rsid w:val="002B11DD"/>
    <w:rsid w:val="002B538C"/>
    <w:rsid w:val="002B769D"/>
    <w:rsid w:val="002B78FA"/>
    <w:rsid w:val="002B7F65"/>
    <w:rsid w:val="002C142B"/>
    <w:rsid w:val="002C1672"/>
    <w:rsid w:val="002C2180"/>
    <w:rsid w:val="002C3FCB"/>
    <w:rsid w:val="002C4EDD"/>
    <w:rsid w:val="002C712B"/>
    <w:rsid w:val="002C7235"/>
    <w:rsid w:val="002C7264"/>
    <w:rsid w:val="002C72EF"/>
    <w:rsid w:val="002D01C8"/>
    <w:rsid w:val="002D3069"/>
    <w:rsid w:val="002D317A"/>
    <w:rsid w:val="002D45BE"/>
    <w:rsid w:val="002D579C"/>
    <w:rsid w:val="002D644C"/>
    <w:rsid w:val="002D6AC7"/>
    <w:rsid w:val="002E00F7"/>
    <w:rsid w:val="002E0832"/>
    <w:rsid w:val="002E1BF1"/>
    <w:rsid w:val="002E2948"/>
    <w:rsid w:val="002E3E2F"/>
    <w:rsid w:val="002E5CC8"/>
    <w:rsid w:val="002E63D3"/>
    <w:rsid w:val="002E7471"/>
    <w:rsid w:val="002F127A"/>
    <w:rsid w:val="002F27F1"/>
    <w:rsid w:val="002F29EE"/>
    <w:rsid w:val="002F2D23"/>
    <w:rsid w:val="002F3129"/>
    <w:rsid w:val="002F3519"/>
    <w:rsid w:val="002F3C55"/>
    <w:rsid w:val="002F450B"/>
    <w:rsid w:val="002F6A92"/>
    <w:rsid w:val="002F6FD8"/>
    <w:rsid w:val="0030007C"/>
    <w:rsid w:val="003002C2"/>
    <w:rsid w:val="003002D5"/>
    <w:rsid w:val="00300D86"/>
    <w:rsid w:val="00301D54"/>
    <w:rsid w:val="00301F43"/>
    <w:rsid w:val="003024EA"/>
    <w:rsid w:val="00303BB5"/>
    <w:rsid w:val="003054FA"/>
    <w:rsid w:val="00305847"/>
    <w:rsid w:val="003063F0"/>
    <w:rsid w:val="00307E86"/>
    <w:rsid w:val="00311583"/>
    <w:rsid w:val="00311E5D"/>
    <w:rsid w:val="00312E90"/>
    <w:rsid w:val="00314834"/>
    <w:rsid w:val="0031674D"/>
    <w:rsid w:val="00316822"/>
    <w:rsid w:val="0031734A"/>
    <w:rsid w:val="003215D9"/>
    <w:rsid w:val="00321643"/>
    <w:rsid w:val="00321C07"/>
    <w:rsid w:val="00321D5A"/>
    <w:rsid w:val="003228E7"/>
    <w:rsid w:val="00322BFB"/>
    <w:rsid w:val="00322C3C"/>
    <w:rsid w:val="00322DF9"/>
    <w:rsid w:val="00324655"/>
    <w:rsid w:val="0032475A"/>
    <w:rsid w:val="003275B1"/>
    <w:rsid w:val="003306EF"/>
    <w:rsid w:val="00331E5F"/>
    <w:rsid w:val="00333765"/>
    <w:rsid w:val="00334F97"/>
    <w:rsid w:val="0033714B"/>
    <w:rsid w:val="00340639"/>
    <w:rsid w:val="0034084F"/>
    <w:rsid w:val="00341B37"/>
    <w:rsid w:val="00341D23"/>
    <w:rsid w:val="00342656"/>
    <w:rsid w:val="003426F2"/>
    <w:rsid w:val="00343237"/>
    <w:rsid w:val="003432D9"/>
    <w:rsid w:val="003435A8"/>
    <w:rsid w:val="003436E5"/>
    <w:rsid w:val="00344807"/>
    <w:rsid w:val="0034611B"/>
    <w:rsid w:val="003463FD"/>
    <w:rsid w:val="00350386"/>
    <w:rsid w:val="00352257"/>
    <w:rsid w:val="00352529"/>
    <w:rsid w:val="00352B7E"/>
    <w:rsid w:val="00352CD5"/>
    <w:rsid w:val="0035486E"/>
    <w:rsid w:val="0035526D"/>
    <w:rsid w:val="003558EC"/>
    <w:rsid w:val="00356B39"/>
    <w:rsid w:val="00356BFC"/>
    <w:rsid w:val="003600B8"/>
    <w:rsid w:val="00360F86"/>
    <w:rsid w:val="00361484"/>
    <w:rsid w:val="003614A9"/>
    <w:rsid w:val="00363C8E"/>
    <w:rsid w:val="00366AA5"/>
    <w:rsid w:val="00366BE7"/>
    <w:rsid w:val="00367A9F"/>
    <w:rsid w:val="00367BE2"/>
    <w:rsid w:val="00371BB5"/>
    <w:rsid w:val="003721C8"/>
    <w:rsid w:val="0037296A"/>
    <w:rsid w:val="003736A3"/>
    <w:rsid w:val="0037566E"/>
    <w:rsid w:val="0037635A"/>
    <w:rsid w:val="0037638D"/>
    <w:rsid w:val="003775E8"/>
    <w:rsid w:val="003805CB"/>
    <w:rsid w:val="00380FD5"/>
    <w:rsid w:val="00383A82"/>
    <w:rsid w:val="00384C63"/>
    <w:rsid w:val="00387C16"/>
    <w:rsid w:val="0039002C"/>
    <w:rsid w:val="003901F1"/>
    <w:rsid w:val="003932AB"/>
    <w:rsid w:val="00393D37"/>
    <w:rsid w:val="00393EAB"/>
    <w:rsid w:val="0039463A"/>
    <w:rsid w:val="003961B2"/>
    <w:rsid w:val="00396EB7"/>
    <w:rsid w:val="00397193"/>
    <w:rsid w:val="003A18B4"/>
    <w:rsid w:val="003A2D5D"/>
    <w:rsid w:val="003A3EA9"/>
    <w:rsid w:val="003A4827"/>
    <w:rsid w:val="003A5757"/>
    <w:rsid w:val="003A64BE"/>
    <w:rsid w:val="003A71DD"/>
    <w:rsid w:val="003B0885"/>
    <w:rsid w:val="003B0B52"/>
    <w:rsid w:val="003B0BC7"/>
    <w:rsid w:val="003B10BF"/>
    <w:rsid w:val="003B2388"/>
    <w:rsid w:val="003B3CE3"/>
    <w:rsid w:val="003B5769"/>
    <w:rsid w:val="003B6AD0"/>
    <w:rsid w:val="003B75BD"/>
    <w:rsid w:val="003B7690"/>
    <w:rsid w:val="003B7A21"/>
    <w:rsid w:val="003B7F37"/>
    <w:rsid w:val="003C0076"/>
    <w:rsid w:val="003C2E46"/>
    <w:rsid w:val="003C4171"/>
    <w:rsid w:val="003C4ECC"/>
    <w:rsid w:val="003C5B77"/>
    <w:rsid w:val="003D5FE5"/>
    <w:rsid w:val="003D763B"/>
    <w:rsid w:val="003E0E67"/>
    <w:rsid w:val="003E1D4B"/>
    <w:rsid w:val="003E1F32"/>
    <w:rsid w:val="003E4638"/>
    <w:rsid w:val="003E604B"/>
    <w:rsid w:val="003E768B"/>
    <w:rsid w:val="003E782D"/>
    <w:rsid w:val="003F0BB1"/>
    <w:rsid w:val="003F10B3"/>
    <w:rsid w:val="003F18D7"/>
    <w:rsid w:val="003F2791"/>
    <w:rsid w:val="003F3CA9"/>
    <w:rsid w:val="003F7671"/>
    <w:rsid w:val="00400C20"/>
    <w:rsid w:val="0040121D"/>
    <w:rsid w:val="0040671D"/>
    <w:rsid w:val="0040688C"/>
    <w:rsid w:val="00406ED3"/>
    <w:rsid w:val="004072EE"/>
    <w:rsid w:val="00411326"/>
    <w:rsid w:val="00413587"/>
    <w:rsid w:val="0041440D"/>
    <w:rsid w:val="00414697"/>
    <w:rsid w:val="00414A80"/>
    <w:rsid w:val="00415385"/>
    <w:rsid w:val="0042155A"/>
    <w:rsid w:val="004219DE"/>
    <w:rsid w:val="00422908"/>
    <w:rsid w:val="00422B87"/>
    <w:rsid w:val="0042350F"/>
    <w:rsid w:val="00425BEF"/>
    <w:rsid w:val="0043328D"/>
    <w:rsid w:val="00433D9A"/>
    <w:rsid w:val="00433F15"/>
    <w:rsid w:val="00435343"/>
    <w:rsid w:val="004356BA"/>
    <w:rsid w:val="0043681A"/>
    <w:rsid w:val="004371C1"/>
    <w:rsid w:val="00440080"/>
    <w:rsid w:val="00440C60"/>
    <w:rsid w:val="00441876"/>
    <w:rsid w:val="00441DF9"/>
    <w:rsid w:val="00442075"/>
    <w:rsid w:val="00442843"/>
    <w:rsid w:val="004435A3"/>
    <w:rsid w:val="00443CBC"/>
    <w:rsid w:val="00446A18"/>
    <w:rsid w:val="00447417"/>
    <w:rsid w:val="0045055F"/>
    <w:rsid w:val="00451427"/>
    <w:rsid w:val="004523C7"/>
    <w:rsid w:val="00453BBC"/>
    <w:rsid w:val="00453E8C"/>
    <w:rsid w:val="0045450B"/>
    <w:rsid w:val="004546AB"/>
    <w:rsid w:val="00456CD6"/>
    <w:rsid w:val="00457977"/>
    <w:rsid w:val="00457CED"/>
    <w:rsid w:val="00457ECA"/>
    <w:rsid w:val="00460294"/>
    <w:rsid w:val="0046058C"/>
    <w:rsid w:val="00464310"/>
    <w:rsid w:val="0046728B"/>
    <w:rsid w:val="00467548"/>
    <w:rsid w:val="00467B1F"/>
    <w:rsid w:val="00470282"/>
    <w:rsid w:val="00470C52"/>
    <w:rsid w:val="00470C6B"/>
    <w:rsid w:val="00471839"/>
    <w:rsid w:val="00473E30"/>
    <w:rsid w:val="004800AB"/>
    <w:rsid w:val="00480A6C"/>
    <w:rsid w:val="004814CF"/>
    <w:rsid w:val="00481787"/>
    <w:rsid w:val="0048254D"/>
    <w:rsid w:val="00484E33"/>
    <w:rsid w:val="00485A53"/>
    <w:rsid w:val="00486579"/>
    <w:rsid w:val="00490D2F"/>
    <w:rsid w:val="0049171E"/>
    <w:rsid w:val="00491AE1"/>
    <w:rsid w:val="00491FBD"/>
    <w:rsid w:val="004925E2"/>
    <w:rsid w:val="0049313E"/>
    <w:rsid w:val="00494F4D"/>
    <w:rsid w:val="004968DC"/>
    <w:rsid w:val="0049732C"/>
    <w:rsid w:val="00497D9A"/>
    <w:rsid w:val="004A2996"/>
    <w:rsid w:val="004A2D56"/>
    <w:rsid w:val="004A3766"/>
    <w:rsid w:val="004A3996"/>
    <w:rsid w:val="004A5D38"/>
    <w:rsid w:val="004A60A3"/>
    <w:rsid w:val="004A6B31"/>
    <w:rsid w:val="004A6CFA"/>
    <w:rsid w:val="004A7CC6"/>
    <w:rsid w:val="004A7D7D"/>
    <w:rsid w:val="004B32B4"/>
    <w:rsid w:val="004B4156"/>
    <w:rsid w:val="004C1356"/>
    <w:rsid w:val="004C1B0A"/>
    <w:rsid w:val="004C3B70"/>
    <w:rsid w:val="004C4F50"/>
    <w:rsid w:val="004C61D0"/>
    <w:rsid w:val="004C6949"/>
    <w:rsid w:val="004C6BCE"/>
    <w:rsid w:val="004D0139"/>
    <w:rsid w:val="004D01CF"/>
    <w:rsid w:val="004D0311"/>
    <w:rsid w:val="004D0C27"/>
    <w:rsid w:val="004D250B"/>
    <w:rsid w:val="004D3017"/>
    <w:rsid w:val="004D3216"/>
    <w:rsid w:val="004D3724"/>
    <w:rsid w:val="004D439F"/>
    <w:rsid w:val="004D50D1"/>
    <w:rsid w:val="004D5DCD"/>
    <w:rsid w:val="004D5FD2"/>
    <w:rsid w:val="004D71D6"/>
    <w:rsid w:val="004D72C7"/>
    <w:rsid w:val="004D7A0B"/>
    <w:rsid w:val="004E006C"/>
    <w:rsid w:val="004E0C0A"/>
    <w:rsid w:val="004E10F1"/>
    <w:rsid w:val="004E6D8B"/>
    <w:rsid w:val="004E7D4F"/>
    <w:rsid w:val="004F034F"/>
    <w:rsid w:val="004F0598"/>
    <w:rsid w:val="004F0A93"/>
    <w:rsid w:val="004F22D5"/>
    <w:rsid w:val="004F3DA8"/>
    <w:rsid w:val="004F498D"/>
    <w:rsid w:val="004F70D7"/>
    <w:rsid w:val="004F7B61"/>
    <w:rsid w:val="005017C1"/>
    <w:rsid w:val="005026C5"/>
    <w:rsid w:val="0050306A"/>
    <w:rsid w:val="00503B0E"/>
    <w:rsid w:val="005051F4"/>
    <w:rsid w:val="00506994"/>
    <w:rsid w:val="00506A8C"/>
    <w:rsid w:val="005075D2"/>
    <w:rsid w:val="005105B9"/>
    <w:rsid w:val="005124EA"/>
    <w:rsid w:val="00512E66"/>
    <w:rsid w:val="00513725"/>
    <w:rsid w:val="00514338"/>
    <w:rsid w:val="0051525A"/>
    <w:rsid w:val="00517963"/>
    <w:rsid w:val="0052140F"/>
    <w:rsid w:val="00521826"/>
    <w:rsid w:val="0052233C"/>
    <w:rsid w:val="00523410"/>
    <w:rsid w:val="0052381A"/>
    <w:rsid w:val="00525147"/>
    <w:rsid w:val="00525C5C"/>
    <w:rsid w:val="005268FF"/>
    <w:rsid w:val="00527721"/>
    <w:rsid w:val="005320AD"/>
    <w:rsid w:val="00532EBE"/>
    <w:rsid w:val="00535176"/>
    <w:rsid w:val="005356EE"/>
    <w:rsid w:val="005358B2"/>
    <w:rsid w:val="0053619E"/>
    <w:rsid w:val="0053759A"/>
    <w:rsid w:val="005423E1"/>
    <w:rsid w:val="005455E7"/>
    <w:rsid w:val="005469BF"/>
    <w:rsid w:val="00547590"/>
    <w:rsid w:val="00547B83"/>
    <w:rsid w:val="00547E46"/>
    <w:rsid w:val="00550A22"/>
    <w:rsid w:val="00551931"/>
    <w:rsid w:val="00551F51"/>
    <w:rsid w:val="00552124"/>
    <w:rsid w:val="0055259B"/>
    <w:rsid w:val="00553B0F"/>
    <w:rsid w:val="00553BBE"/>
    <w:rsid w:val="005553FB"/>
    <w:rsid w:val="005556FD"/>
    <w:rsid w:val="00555C3E"/>
    <w:rsid w:val="00561455"/>
    <w:rsid w:val="00562722"/>
    <w:rsid w:val="0056281C"/>
    <w:rsid w:val="005638BB"/>
    <w:rsid w:val="00563B9C"/>
    <w:rsid w:val="00564F7B"/>
    <w:rsid w:val="00566BEE"/>
    <w:rsid w:val="00566D19"/>
    <w:rsid w:val="00566D1C"/>
    <w:rsid w:val="00567DE1"/>
    <w:rsid w:val="00567E2C"/>
    <w:rsid w:val="0057032E"/>
    <w:rsid w:val="00571030"/>
    <w:rsid w:val="0057183C"/>
    <w:rsid w:val="00573647"/>
    <w:rsid w:val="00575075"/>
    <w:rsid w:val="005762FE"/>
    <w:rsid w:val="0057675F"/>
    <w:rsid w:val="0057779D"/>
    <w:rsid w:val="005778CA"/>
    <w:rsid w:val="005826FD"/>
    <w:rsid w:val="00582ED3"/>
    <w:rsid w:val="00582F8B"/>
    <w:rsid w:val="00583E9D"/>
    <w:rsid w:val="00583F33"/>
    <w:rsid w:val="00584451"/>
    <w:rsid w:val="005849E3"/>
    <w:rsid w:val="005863FB"/>
    <w:rsid w:val="00590C98"/>
    <w:rsid w:val="00594566"/>
    <w:rsid w:val="00594F58"/>
    <w:rsid w:val="005963B4"/>
    <w:rsid w:val="00597EFA"/>
    <w:rsid w:val="005A1DA0"/>
    <w:rsid w:val="005A4B1A"/>
    <w:rsid w:val="005A7722"/>
    <w:rsid w:val="005A7958"/>
    <w:rsid w:val="005A7A64"/>
    <w:rsid w:val="005B0614"/>
    <w:rsid w:val="005B07BA"/>
    <w:rsid w:val="005B0A61"/>
    <w:rsid w:val="005B2963"/>
    <w:rsid w:val="005B2A65"/>
    <w:rsid w:val="005B2B77"/>
    <w:rsid w:val="005B3B72"/>
    <w:rsid w:val="005B4E06"/>
    <w:rsid w:val="005C0B0F"/>
    <w:rsid w:val="005C1041"/>
    <w:rsid w:val="005C2351"/>
    <w:rsid w:val="005C431A"/>
    <w:rsid w:val="005C583A"/>
    <w:rsid w:val="005C5FDC"/>
    <w:rsid w:val="005C73A8"/>
    <w:rsid w:val="005D09BD"/>
    <w:rsid w:val="005D1CB4"/>
    <w:rsid w:val="005D203C"/>
    <w:rsid w:val="005D2222"/>
    <w:rsid w:val="005D2625"/>
    <w:rsid w:val="005D2DBA"/>
    <w:rsid w:val="005D344F"/>
    <w:rsid w:val="005D3A6C"/>
    <w:rsid w:val="005D4B0E"/>
    <w:rsid w:val="005D65CE"/>
    <w:rsid w:val="005D6E40"/>
    <w:rsid w:val="005D7556"/>
    <w:rsid w:val="005E05C6"/>
    <w:rsid w:val="005E0777"/>
    <w:rsid w:val="005E0991"/>
    <w:rsid w:val="005E2346"/>
    <w:rsid w:val="005E374F"/>
    <w:rsid w:val="005E43F0"/>
    <w:rsid w:val="005E598F"/>
    <w:rsid w:val="005E5FC1"/>
    <w:rsid w:val="005E638D"/>
    <w:rsid w:val="005E7486"/>
    <w:rsid w:val="005E7C5E"/>
    <w:rsid w:val="005E7DD7"/>
    <w:rsid w:val="005F11E5"/>
    <w:rsid w:val="005F11EC"/>
    <w:rsid w:val="005F19A6"/>
    <w:rsid w:val="005F2387"/>
    <w:rsid w:val="005F429C"/>
    <w:rsid w:val="00600A68"/>
    <w:rsid w:val="0060157F"/>
    <w:rsid w:val="00602217"/>
    <w:rsid w:val="0060330F"/>
    <w:rsid w:val="00606C47"/>
    <w:rsid w:val="006104E9"/>
    <w:rsid w:val="006153F6"/>
    <w:rsid w:val="0061592A"/>
    <w:rsid w:val="006162A7"/>
    <w:rsid w:val="00616AD9"/>
    <w:rsid w:val="006172DA"/>
    <w:rsid w:val="0061747D"/>
    <w:rsid w:val="00617D84"/>
    <w:rsid w:val="00620011"/>
    <w:rsid w:val="006205BC"/>
    <w:rsid w:val="00621254"/>
    <w:rsid w:val="006258CB"/>
    <w:rsid w:val="00625D71"/>
    <w:rsid w:val="006268B4"/>
    <w:rsid w:val="00626CF7"/>
    <w:rsid w:val="00627D92"/>
    <w:rsid w:val="00630706"/>
    <w:rsid w:val="006307EB"/>
    <w:rsid w:val="006329F3"/>
    <w:rsid w:val="00634B3E"/>
    <w:rsid w:val="00634E8E"/>
    <w:rsid w:val="00637284"/>
    <w:rsid w:val="00640C55"/>
    <w:rsid w:val="00640DC4"/>
    <w:rsid w:val="00641221"/>
    <w:rsid w:val="006423CA"/>
    <w:rsid w:val="00642ACB"/>
    <w:rsid w:val="00643975"/>
    <w:rsid w:val="00643FEC"/>
    <w:rsid w:val="006441EF"/>
    <w:rsid w:val="00645E3D"/>
    <w:rsid w:val="00646BB2"/>
    <w:rsid w:val="006500AF"/>
    <w:rsid w:val="00650587"/>
    <w:rsid w:val="00650E23"/>
    <w:rsid w:val="006516E2"/>
    <w:rsid w:val="00653C99"/>
    <w:rsid w:val="00653E35"/>
    <w:rsid w:val="00654124"/>
    <w:rsid w:val="00656634"/>
    <w:rsid w:val="00660E29"/>
    <w:rsid w:val="00660F49"/>
    <w:rsid w:val="00661B15"/>
    <w:rsid w:val="00662543"/>
    <w:rsid w:val="00663077"/>
    <w:rsid w:val="006639BD"/>
    <w:rsid w:val="00663AE9"/>
    <w:rsid w:val="00663E55"/>
    <w:rsid w:val="006642E4"/>
    <w:rsid w:val="00664D5A"/>
    <w:rsid w:val="006651A4"/>
    <w:rsid w:val="00667F78"/>
    <w:rsid w:val="00671A5D"/>
    <w:rsid w:val="006724D0"/>
    <w:rsid w:val="00673FFE"/>
    <w:rsid w:val="00674645"/>
    <w:rsid w:val="00674F49"/>
    <w:rsid w:val="00680D4A"/>
    <w:rsid w:val="00680FDE"/>
    <w:rsid w:val="00681496"/>
    <w:rsid w:val="0068286E"/>
    <w:rsid w:val="00682A6B"/>
    <w:rsid w:val="00684145"/>
    <w:rsid w:val="00684AA8"/>
    <w:rsid w:val="00685D75"/>
    <w:rsid w:val="00686241"/>
    <w:rsid w:val="006862E6"/>
    <w:rsid w:val="00687EAC"/>
    <w:rsid w:val="00690529"/>
    <w:rsid w:val="00690AA7"/>
    <w:rsid w:val="006917B2"/>
    <w:rsid w:val="00693294"/>
    <w:rsid w:val="00693408"/>
    <w:rsid w:val="006952CE"/>
    <w:rsid w:val="006A1DD0"/>
    <w:rsid w:val="006A1E37"/>
    <w:rsid w:val="006A3479"/>
    <w:rsid w:val="006A3D23"/>
    <w:rsid w:val="006A4F73"/>
    <w:rsid w:val="006A573A"/>
    <w:rsid w:val="006A6385"/>
    <w:rsid w:val="006A69F6"/>
    <w:rsid w:val="006A7337"/>
    <w:rsid w:val="006A73A3"/>
    <w:rsid w:val="006A7433"/>
    <w:rsid w:val="006B0CDA"/>
    <w:rsid w:val="006B1B25"/>
    <w:rsid w:val="006B2E06"/>
    <w:rsid w:val="006B31AE"/>
    <w:rsid w:val="006B58CF"/>
    <w:rsid w:val="006B71EE"/>
    <w:rsid w:val="006C04A9"/>
    <w:rsid w:val="006C1E03"/>
    <w:rsid w:val="006C294A"/>
    <w:rsid w:val="006C2C3C"/>
    <w:rsid w:val="006C306A"/>
    <w:rsid w:val="006C30B3"/>
    <w:rsid w:val="006C3467"/>
    <w:rsid w:val="006C42D5"/>
    <w:rsid w:val="006C6A39"/>
    <w:rsid w:val="006C7ED5"/>
    <w:rsid w:val="006D1D58"/>
    <w:rsid w:val="006D41C8"/>
    <w:rsid w:val="006D5B34"/>
    <w:rsid w:val="006D740B"/>
    <w:rsid w:val="006E2975"/>
    <w:rsid w:val="006E2B0A"/>
    <w:rsid w:val="006E2D9C"/>
    <w:rsid w:val="006E334A"/>
    <w:rsid w:val="006E44DA"/>
    <w:rsid w:val="006E63A6"/>
    <w:rsid w:val="006E7AA4"/>
    <w:rsid w:val="006F1FB9"/>
    <w:rsid w:val="006F290C"/>
    <w:rsid w:val="006F3991"/>
    <w:rsid w:val="006F43CA"/>
    <w:rsid w:val="006F66AD"/>
    <w:rsid w:val="006F72FA"/>
    <w:rsid w:val="006F7454"/>
    <w:rsid w:val="006F748E"/>
    <w:rsid w:val="007002ED"/>
    <w:rsid w:val="00705174"/>
    <w:rsid w:val="00706A70"/>
    <w:rsid w:val="00707612"/>
    <w:rsid w:val="00707621"/>
    <w:rsid w:val="00710144"/>
    <w:rsid w:val="00710ECD"/>
    <w:rsid w:val="007126DB"/>
    <w:rsid w:val="00712AF4"/>
    <w:rsid w:val="00712C27"/>
    <w:rsid w:val="00713586"/>
    <w:rsid w:val="00714B3C"/>
    <w:rsid w:val="00715D01"/>
    <w:rsid w:val="0072057F"/>
    <w:rsid w:val="00721484"/>
    <w:rsid w:val="00721EDE"/>
    <w:rsid w:val="00723184"/>
    <w:rsid w:val="007236D8"/>
    <w:rsid w:val="00725D1A"/>
    <w:rsid w:val="00732076"/>
    <w:rsid w:val="007328B7"/>
    <w:rsid w:val="007329E7"/>
    <w:rsid w:val="00733877"/>
    <w:rsid w:val="00736530"/>
    <w:rsid w:val="00736DB3"/>
    <w:rsid w:val="0073793F"/>
    <w:rsid w:val="00741953"/>
    <w:rsid w:val="00744356"/>
    <w:rsid w:val="00744484"/>
    <w:rsid w:val="00744C68"/>
    <w:rsid w:val="007459D2"/>
    <w:rsid w:val="00746B8C"/>
    <w:rsid w:val="00746DBA"/>
    <w:rsid w:val="0074776E"/>
    <w:rsid w:val="0075027B"/>
    <w:rsid w:val="00750557"/>
    <w:rsid w:val="00750771"/>
    <w:rsid w:val="0075088E"/>
    <w:rsid w:val="00750B2B"/>
    <w:rsid w:val="00751DA7"/>
    <w:rsid w:val="00752997"/>
    <w:rsid w:val="00753047"/>
    <w:rsid w:val="00753066"/>
    <w:rsid w:val="007539E7"/>
    <w:rsid w:val="00754740"/>
    <w:rsid w:val="007550F9"/>
    <w:rsid w:val="0075543D"/>
    <w:rsid w:val="00755FAD"/>
    <w:rsid w:val="00756108"/>
    <w:rsid w:val="00756BA2"/>
    <w:rsid w:val="00757AAB"/>
    <w:rsid w:val="00757B16"/>
    <w:rsid w:val="007625C7"/>
    <w:rsid w:val="00763C8C"/>
    <w:rsid w:val="00763CA8"/>
    <w:rsid w:val="00765016"/>
    <w:rsid w:val="00770E53"/>
    <w:rsid w:val="00771FE7"/>
    <w:rsid w:val="00773B10"/>
    <w:rsid w:val="00774933"/>
    <w:rsid w:val="00774E87"/>
    <w:rsid w:val="00775457"/>
    <w:rsid w:val="00775C79"/>
    <w:rsid w:val="00776030"/>
    <w:rsid w:val="00776CA9"/>
    <w:rsid w:val="00781C0B"/>
    <w:rsid w:val="00781D32"/>
    <w:rsid w:val="007851A5"/>
    <w:rsid w:val="00785B58"/>
    <w:rsid w:val="00785F17"/>
    <w:rsid w:val="00791F88"/>
    <w:rsid w:val="00792EB7"/>
    <w:rsid w:val="00793151"/>
    <w:rsid w:val="007934B9"/>
    <w:rsid w:val="00793525"/>
    <w:rsid w:val="00794526"/>
    <w:rsid w:val="00796BEE"/>
    <w:rsid w:val="007A20F2"/>
    <w:rsid w:val="007A2DB7"/>
    <w:rsid w:val="007A388F"/>
    <w:rsid w:val="007A51C9"/>
    <w:rsid w:val="007A5B5F"/>
    <w:rsid w:val="007A682D"/>
    <w:rsid w:val="007B051B"/>
    <w:rsid w:val="007B0F46"/>
    <w:rsid w:val="007B218A"/>
    <w:rsid w:val="007B21E5"/>
    <w:rsid w:val="007B5A0A"/>
    <w:rsid w:val="007B6340"/>
    <w:rsid w:val="007B6E31"/>
    <w:rsid w:val="007B7ACB"/>
    <w:rsid w:val="007C25E5"/>
    <w:rsid w:val="007C2746"/>
    <w:rsid w:val="007C2C38"/>
    <w:rsid w:val="007C344B"/>
    <w:rsid w:val="007C4719"/>
    <w:rsid w:val="007C4EF7"/>
    <w:rsid w:val="007C4F0E"/>
    <w:rsid w:val="007C6963"/>
    <w:rsid w:val="007D0308"/>
    <w:rsid w:val="007D08EF"/>
    <w:rsid w:val="007D0BDE"/>
    <w:rsid w:val="007D0C64"/>
    <w:rsid w:val="007D35CB"/>
    <w:rsid w:val="007D3CAA"/>
    <w:rsid w:val="007D4A7E"/>
    <w:rsid w:val="007D50E7"/>
    <w:rsid w:val="007D6453"/>
    <w:rsid w:val="007D67E4"/>
    <w:rsid w:val="007D6C24"/>
    <w:rsid w:val="007D6C5C"/>
    <w:rsid w:val="007D74CE"/>
    <w:rsid w:val="007E1AB9"/>
    <w:rsid w:val="007E29CE"/>
    <w:rsid w:val="007E37BA"/>
    <w:rsid w:val="007E610C"/>
    <w:rsid w:val="007E6854"/>
    <w:rsid w:val="007E6CD0"/>
    <w:rsid w:val="007F0856"/>
    <w:rsid w:val="007F0DCC"/>
    <w:rsid w:val="007F13A9"/>
    <w:rsid w:val="007F1DEE"/>
    <w:rsid w:val="007F25D5"/>
    <w:rsid w:val="007F2CF2"/>
    <w:rsid w:val="007F3D56"/>
    <w:rsid w:val="007F5F79"/>
    <w:rsid w:val="007F6F2D"/>
    <w:rsid w:val="0080097B"/>
    <w:rsid w:val="00802BDB"/>
    <w:rsid w:val="0080333A"/>
    <w:rsid w:val="0080457C"/>
    <w:rsid w:val="00805071"/>
    <w:rsid w:val="00806113"/>
    <w:rsid w:val="00806395"/>
    <w:rsid w:val="0080688C"/>
    <w:rsid w:val="00806C56"/>
    <w:rsid w:val="0080775B"/>
    <w:rsid w:val="00807C9A"/>
    <w:rsid w:val="00810F47"/>
    <w:rsid w:val="008132DD"/>
    <w:rsid w:val="00813D34"/>
    <w:rsid w:val="008145C2"/>
    <w:rsid w:val="00815EDA"/>
    <w:rsid w:val="008167E0"/>
    <w:rsid w:val="00816F04"/>
    <w:rsid w:val="00820E7C"/>
    <w:rsid w:val="0082194D"/>
    <w:rsid w:val="00825656"/>
    <w:rsid w:val="00826C06"/>
    <w:rsid w:val="00826DD6"/>
    <w:rsid w:val="00831470"/>
    <w:rsid w:val="008326CB"/>
    <w:rsid w:val="008335BC"/>
    <w:rsid w:val="00833B2C"/>
    <w:rsid w:val="00833C35"/>
    <w:rsid w:val="00834197"/>
    <w:rsid w:val="00834411"/>
    <w:rsid w:val="00834AA7"/>
    <w:rsid w:val="00834C39"/>
    <w:rsid w:val="00836C8D"/>
    <w:rsid w:val="00840497"/>
    <w:rsid w:val="00841A4A"/>
    <w:rsid w:val="008423CE"/>
    <w:rsid w:val="008425B9"/>
    <w:rsid w:val="00843D9C"/>
    <w:rsid w:val="00843E5B"/>
    <w:rsid w:val="008442D4"/>
    <w:rsid w:val="0084601B"/>
    <w:rsid w:val="00846ACD"/>
    <w:rsid w:val="008520F2"/>
    <w:rsid w:val="00852128"/>
    <w:rsid w:val="008534DB"/>
    <w:rsid w:val="008556C7"/>
    <w:rsid w:val="00856B4C"/>
    <w:rsid w:val="00857677"/>
    <w:rsid w:val="00857874"/>
    <w:rsid w:val="00860629"/>
    <w:rsid w:val="008607E7"/>
    <w:rsid w:val="00860FD9"/>
    <w:rsid w:val="00861379"/>
    <w:rsid w:val="00861C7D"/>
    <w:rsid w:val="00862C0F"/>
    <w:rsid w:val="00863349"/>
    <w:rsid w:val="0086476D"/>
    <w:rsid w:val="008657A8"/>
    <w:rsid w:val="00865ABA"/>
    <w:rsid w:val="0087376B"/>
    <w:rsid w:val="00873F61"/>
    <w:rsid w:val="00876995"/>
    <w:rsid w:val="008770FC"/>
    <w:rsid w:val="00877862"/>
    <w:rsid w:val="008778B2"/>
    <w:rsid w:val="0087791F"/>
    <w:rsid w:val="00880FBE"/>
    <w:rsid w:val="00882DBA"/>
    <w:rsid w:val="008836D3"/>
    <w:rsid w:val="0088440B"/>
    <w:rsid w:val="00886D61"/>
    <w:rsid w:val="00891880"/>
    <w:rsid w:val="00892022"/>
    <w:rsid w:val="008928D0"/>
    <w:rsid w:val="008933CF"/>
    <w:rsid w:val="0089595F"/>
    <w:rsid w:val="0089631B"/>
    <w:rsid w:val="008978C8"/>
    <w:rsid w:val="00897965"/>
    <w:rsid w:val="008A3798"/>
    <w:rsid w:val="008A68AB"/>
    <w:rsid w:val="008A74D0"/>
    <w:rsid w:val="008A79B6"/>
    <w:rsid w:val="008A7F25"/>
    <w:rsid w:val="008B170B"/>
    <w:rsid w:val="008B1F4A"/>
    <w:rsid w:val="008B2454"/>
    <w:rsid w:val="008B2888"/>
    <w:rsid w:val="008B28C2"/>
    <w:rsid w:val="008B396B"/>
    <w:rsid w:val="008B3F74"/>
    <w:rsid w:val="008B546F"/>
    <w:rsid w:val="008B7907"/>
    <w:rsid w:val="008C14B5"/>
    <w:rsid w:val="008C1C14"/>
    <w:rsid w:val="008C212D"/>
    <w:rsid w:val="008C21B0"/>
    <w:rsid w:val="008C4F75"/>
    <w:rsid w:val="008C5A8D"/>
    <w:rsid w:val="008C74D4"/>
    <w:rsid w:val="008C7E6D"/>
    <w:rsid w:val="008D16A9"/>
    <w:rsid w:val="008D1B75"/>
    <w:rsid w:val="008D2238"/>
    <w:rsid w:val="008D3A8A"/>
    <w:rsid w:val="008D4103"/>
    <w:rsid w:val="008D62A4"/>
    <w:rsid w:val="008D767A"/>
    <w:rsid w:val="008E40F2"/>
    <w:rsid w:val="008E455A"/>
    <w:rsid w:val="008E5324"/>
    <w:rsid w:val="008E57F9"/>
    <w:rsid w:val="008E5A1F"/>
    <w:rsid w:val="008E5AA0"/>
    <w:rsid w:val="008E5BC1"/>
    <w:rsid w:val="008F0B9B"/>
    <w:rsid w:val="008F3039"/>
    <w:rsid w:val="008F336F"/>
    <w:rsid w:val="008F4B19"/>
    <w:rsid w:val="008F5B3B"/>
    <w:rsid w:val="008F690F"/>
    <w:rsid w:val="008F6E58"/>
    <w:rsid w:val="008F6F03"/>
    <w:rsid w:val="00900AAC"/>
    <w:rsid w:val="00900E56"/>
    <w:rsid w:val="009025C0"/>
    <w:rsid w:val="00902792"/>
    <w:rsid w:val="00904792"/>
    <w:rsid w:val="00904F32"/>
    <w:rsid w:val="00906185"/>
    <w:rsid w:val="00906AE9"/>
    <w:rsid w:val="00907175"/>
    <w:rsid w:val="00907D32"/>
    <w:rsid w:val="00911362"/>
    <w:rsid w:val="00914CD1"/>
    <w:rsid w:val="00915966"/>
    <w:rsid w:val="009164F9"/>
    <w:rsid w:val="00917643"/>
    <w:rsid w:val="009208C8"/>
    <w:rsid w:val="0092093A"/>
    <w:rsid w:val="009226A8"/>
    <w:rsid w:val="00923A39"/>
    <w:rsid w:val="0092628F"/>
    <w:rsid w:val="009302F0"/>
    <w:rsid w:val="00930AAC"/>
    <w:rsid w:val="00931011"/>
    <w:rsid w:val="0093163F"/>
    <w:rsid w:val="009328A3"/>
    <w:rsid w:val="009349AA"/>
    <w:rsid w:val="00936221"/>
    <w:rsid w:val="009379B2"/>
    <w:rsid w:val="009403EE"/>
    <w:rsid w:val="009413EE"/>
    <w:rsid w:val="009418D5"/>
    <w:rsid w:val="00941D73"/>
    <w:rsid w:val="00941D95"/>
    <w:rsid w:val="00943FC9"/>
    <w:rsid w:val="00946CEC"/>
    <w:rsid w:val="00946EC7"/>
    <w:rsid w:val="00946F31"/>
    <w:rsid w:val="00947252"/>
    <w:rsid w:val="0094745D"/>
    <w:rsid w:val="009509CA"/>
    <w:rsid w:val="00950CC9"/>
    <w:rsid w:val="00952BE8"/>
    <w:rsid w:val="009532EA"/>
    <w:rsid w:val="00953938"/>
    <w:rsid w:val="00953F2D"/>
    <w:rsid w:val="00954560"/>
    <w:rsid w:val="00954E32"/>
    <w:rsid w:val="009570D8"/>
    <w:rsid w:val="00960B44"/>
    <w:rsid w:val="00960D68"/>
    <w:rsid w:val="009629B1"/>
    <w:rsid w:val="00965E21"/>
    <w:rsid w:val="0096613D"/>
    <w:rsid w:val="0096775F"/>
    <w:rsid w:val="0097060C"/>
    <w:rsid w:val="00970756"/>
    <w:rsid w:val="00972EA4"/>
    <w:rsid w:val="009749DE"/>
    <w:rsid w:val="00974EEF"/>
    <w:rsid w:val="009750CE"/>
    <w:rsid w:val="009761DB"/>
    <w:rsid w:val="00976D3A"/>
    <w:rsid w:val="009777C0"/>
    <w:rsid w:val="00977DE6"/>
    <w:rsid w:val="009804D5"/>
    <w:rsid w:val="009807EC"/>
    <w:rsid w:val="00981889"/>
    <w:rsid w:val="00981FFC"/>
    <w:rsid w:val="00983293"/>
    <w:rsid w:val="00983483"/>
    <w:rsid w:val="0098626B"/>
    <w:rsid w:val="009869CF"/>
    <w:rsid w:val="009876EA"/>
    <w:rsid w:val="00987F53"/>
    <w:rsid w:val="0099009E"/>
    <w:rsid w:val="0099027E"/>
    <w:rsid w:val="0099087D"/>
    <w:rsid w:val="00990E9A"/>
    <w:rsid w:val="00991156"/>
    <w:rsid w:val="009917CC"/>
    <w:rsid w:val="0099413A"/>
    <w:rsid w:val="00994456"/>
    <w:rsid w:val="0099472A"/>
    <w:rsid w:val="00994DF7"/>
    <w:rsid w:val="00996A2E"/>
    <w:rsid w:val="00997E75"/>
    <w:rsid w:val="009A088D"/>
    <w:rsid w:val="009A0A12"/>
    <w:rsid w:val="009A0B3C"/>
    <w:rsid w:val="009A1979"/>
    <w:rsid w:val="009A30D2"/>
    <w:rsid w:val="009A3B0B"/>
    <w:rsid w:val="009A3E24"/>
    <w:rsid w:val="009A3F4E"/>
    <w:rsid w:val="009A481C"/>
    <w:rsid w:val="009A57C8"/>
    <w:rsid w:val="009A6B23"/>
    <w:rsid w:val="009A7472"/>
    <w:rsid w:val="009A775F"/>
    <w:rsid w:val="009A7E95"/>
    <w:rsid w:val="009B1EFA"/>
    <w:rsid w:val="009B44F0"/>
    <w:rsid w:val="009B4ECB"/>
    <w:rsid w:val="009B4EE5"/>
    <w:rsid w:val="009C038D"/>
    <w:rsid w:val="009C0C2F"/>
    <w:rsid w:val="009C11D8"/>
    <w:rsid w:val="009C1282"/>
    <w:rsid w:val="009C1C57"/>
    <w:rsid w:val="009C2705"/>
    <w:rsid w:val="009C3E22"/>
    <w:rsid w:val="009C3FCC"/>
    <w:rsid w:val="009C592D"/>
    <w:rsid w:val="009C5D8F"/>
    <w:rsid w:val="009C729B"/>
    <w:rsid w:val="009C7534"/>
    <w:rsid w:val="009D0B9F"/>
    <w:rsid w:val="009D19F9"/>
    <w:rsid w:val="009D1EAF"/>
    <w:rsid w:val="009D2437"/>
    <w:rsid w:val="009D46E9"/>
    <w:rsid w:val="009D5BD9"/>
    <w:rsid w:val="009D72E2"/>
    <w:rsid w:val="009E043D"/>
    <w:rsid w:val="009E1D5C"/>
    <w:rsid w:val="009E411B"/>
    <w:rsid w:val="009E5C9A"/>
    <w:rsid w:val="009E74B7"/>
    <w:rsid w:val="009E7D18"/>
    <w:rsid w:val="009F45F0"/>
    <w:rsid w:val="009F5000"/>
    <w:rsid w:val="009F5F4E"/>
    <w:rsid w:val="009F680C"/>
    <w:rsid w:val="009F7374"/>
    <w:rsid w:val="009F745B"/>
    <w:rsid w:val="009F7A48"/>
    <w:rsid w:val="00A034AA"/>
    <w:rsid w:val="00A04E49"/>
    <w:rsid w:val="00A0541B"/>
    <w:rsid w:val="00A05EEB"/>
    <w:rsid w:val="00A068E2"/>
    <w:rsid w:val="00A07853"/>
    <w:rsid w:val="00A113D6"/>
    <w:rsid w:val="00A1180A"/>
    <w:rsid w:val="00A138DB"/>
    <w:rsid w:val="00A13E15"/>
    <w:rsid w:val="00A14C27"/>
    <w:rsid w:val="00A15732"/>
    <w:rsid w:val="00A15F57"/>
    <w:rsid w:val="00A20EA0"/>
    <w:rsid w:val="00A21ADA"/>
    <w:rsid w:val="00A23897"/>
    <w:rsid w:val="00A23E73"/>
    <w:rsid w:val="00A24127"/>
    <w:rsid w:val="00A27864"/>
    <w:rsid w:val="00A30A9E"/>
    <w:rsid w:val="00A3151B"/>
    <w:rsid w:val="00A322FE"/>
    <w:rsid w:val="00A33684"/>
    <w:rsid w:val="00A33ABD"/>
    <w:rsid w:val="00A342C9"/>
    <w:rsid w:val="00A34903"/>
    <w:rsid w:val="00A35FF2"/>
    <w:rsid w:val="00A36105"/>
    <w:rsid w:val="00A37655"/>
    <w:rsid w:val="00A40A1A"/>
    <w:rsid w:val="00A411CD"/>
    <w:rsid w:val="00A417CD"/>
    <w:rsid w:val="00A41EBB"/>
    <w:rsid w:val="00A42373"/>
    <w:rsid w:val="00A429C5"/>
    <w:rsid w:val="00A4368C"/>
    <w:rsid w:val="00A444C3"/>
    <w:rsid w:val="00A45932"/>
    <w:rsid w:val="00A46F7C"/>
    <w:rsid w:val="00A50183"/>
    <w:rsid w:val="00A516CE"/>
    <w:rsid w:val="00A52F17"/>
    <w:rsid w:val="00A53364"/>
    <w:rsid w:val="00A54FB2"/>
    <w:rsid w:val="00A5695E"/>
    <w:rsid w:val="00A60233"/>
    <w:rsid w:val="00A60D7F"/>
    <w:rsid w:val="00A619F2"/>
    <w:rsid w:val="00A61E00"/>
    <w:rsid w:val="00A62924"/>
    <w:rsid w:val="00A63F80"/>
    <w:rsid w:val="00A654BC"/>
    <w:rsid w:val="00A65A24"/>
    <w:rsid w:val="00A66282"/>
    <w:rsid w:val="00A66673"/>
    <w:rsid w:val="00A67350"/>
    <w:rsid w:val="00A67552"/>
    <w:rsid w:val="00A75B20"/>
    <w:rsid w:val="00A76532"/>
    <w:rsid w:val="00A76CEB"/>
    <w:rsid w:val="00A76D53"/>
    <w:rsid w:val="00A76FE6"/>
    <w:rsid w:val="00A77443"/>
    <w:rsid w:val="00A77A99"/>
    <w:rsid w:val="00A77F71"/>
    <w:rsid w:val="00A81475"/>
    <w:rsid w:val="00A82B5C"/>
    <w:rsid w:val="00A84088"/>
    <w:rsid w:val="00A85663"/>
    <w:rsid w:val="00A85E92"/>
    <w:rsid w:val="00A87ACC"/>
    <w:rsid w:val="00A87ACF"/>
    <w:rsid w:val="00A91971"/>
    <w:rsid w:val="00A93DC3"/>
    <w:rsid w:val="00A9794A"/>
    <w:rsid w:val="00A97DA9"/>
    <w:rsid w:val="00AA0D52"/>
    <w:rsid w:val="00AA1204"/>
    <w:rsid w:val="00AA2B12"/>
    <w:rsid w:val="00AA5069"/>
    <w:rsid w:val="00AA52A8"/>
    <w:rsid w:val="00AA5B38"/>
    <w:rsid w:val="00AA6469"/>
    <w:rsid w:val="00AB07FF"/>
    <w:rsid w:val="00AB3B7D"/>
    <w:rsid w:val="00AB4333"/>
    <w:rsid w:val="00AB5B6D"/>
    <w:rsid w:val="00AB5BFC"/>
    <w:rsid w:val="00AB5FA7"/>
    <w:rsid w:val="00AB6418"/>
    <w:rsid w:val="00AB7568"/>
    <w:rsid w:val="00AC19F4"/>
    <w:rsid w:val="00AC3F1B"/>
    <w:rsid w:val="00AC6361"/>
    <w:rsid w:val="00AC7D60"/>
    <w:rsid w:val="00AD235C"/>
    <w:rsid w:val="00AD3812"/>
    <w:rsid w:val="00AD4D37"/>
    <w:rsid w:val="00AD5ABE"/>
    <w:rsid w:val="00AD6053"/>
    <w:rsid w:val="00AE081F"/>
    <w:rsid w:val="00AE2B23"/>
    <w:rsid w:val="00AE6CBF"/>
    <w:rsid w:val="00AE6F41"/>
    <w:rsid w:val="00AE7450"/>
    <w:rsid w:val="00AE75AE"/>
    <w:rsid w:val="00AF1560"/>
    <w:rsid w:val="00AF2EEE"/>
    <w:rsid w:val="00AF3A22"/>
    <w:rsid w:val="00AF3CC5"/>
    <w:rsid w:val="00AF4752"/>
    <w:rsid w:val="00AF5880"/>
    <w:rsid w:val="00AF5AAD"/>
    <w:rsid w:val="00AF6DA4"/>
    <w:rsid w:val="00B031D7"/>
    <w:rsid w:val="00B03610"/>
    <w:rsid w:val="00B03CE7"/>
    <w:rsid w:val="00B0429E"/>
    <w:rsid w:val="00B04ACF"/>
    <w:rsid w:val="00B10475"/>
    <w:rsid w:val="00B121DB"/>
    <w:rsid w:val="00B12AE2"/>
    <w:rsid w:val="00B13D71"/>
    <w:rsid w:val="00B144DC"/>
    <w:rsid w:val="00B14D8F"/>
    <w:rsid w:val="00B14FE5"/>
    <w:rsid w:val="00B17242"/>
    <w:rsid w:val="00B17A6F"/>
    <w:rsid w:val="00B21CB7"/>
    <w:rsid w:val="00B2252B"/>
    <w:rsid w:val="00B22D0B"/>
    <w:rsid w:val="00B2489F"/>
    <w:rsid w:val="00B2503F"/>
    <w:rsid w:val="00B27116"/>
    <w:rsid w:val="00B2747B"/>
    <w:rsid w:val="00B27906"/>
    <w:rsid w:val="00B27B1E"/>
    <w:rsid w:val="00B27DD9"/>
    <w:rsid w:val="00B30B31"/>
    <w:rsid w:val="00B30BEE"/>
    <w:rsid w:val="00B32AEE"/>
    <w:rsid w:val="00B330C2"/>
    <w:rsid w:val="00B34B2D"/>
    <w:rsid w:val="00B40405"/>
    <w:rsid w:val="00B417E5"/>
    <w:rsid w:val="00B42504"/>
    <w:rsid w:val="00B42F3C"/>
    <w:rsid w:val="00B44AA9"/>
    <w:rsid w:val="00B45C0D"/>
    <w:rsid w:val="00B464F6"/>
    <w:rsid w:val="00B46A8D"/>
    <w:rsid w:val="00B47CF8"/>
    <w:rsid w:val="00B50794"/>
    <w:rsid w:val="00B51002"/>
    <w:rsid w:val="00B54071"/>
    <w:rsid w:val="00B546AE"/>
    <w:rsid w:val="00B54DE9"/>
    <w:rsid w:val="00B56064"/>
    <w:rsid w:val="00B567AE"/>
    <w:rsid w:val="00B5734B"/>
    <w:rsid w:val="00B61716"/>
    <w:rsid w:val="00B63182"/>
    <w:rsid w:val="00B63418"/>
    <w:rsid w:val="00B63948"/>
    <w:rsid w:val="00B63F8D"/>
    <w:rsid w:val="00B640FC"/>
    <w:rsid w:val="00B64228"/>
    <w:rsid w:val="00B644EC"/>
    <w:rsid w:val="00B647E1"/>
    <w:rsid w:val="00B64BDE"/>
    <w:rsid w:val="00B6580E"/>
    <w:rsid w:val="00B6665A"/>
    <w:rsid w:val="00B713EC"/>
    <w:rsid w:val="00B71903"/>
    <w:rsid w:val="00B72928"/>
    <w:rsid w:val="00B72D58"/>
    <w:rsid w:val="00B7315D"/>
    <w:rsid w:val="00B73A5B"/>
    <w:rsid w:val="00B7405F"/>
    <w:rsid w:val="00B7497B"/>
    <w:rsid w:val="00B74A2F"/>
    <w:rsid w:val="00B77033"/>
    <w:rsid w:val="00B77A7C"/>
    <w:rsid w:val="00B77AF3"/>
    <w:rsid w:val="00B800D9"/>
    <w:rsid w:val="00B80D24"/>
    <w:rsid w:val="00B81305"/>
    <w:rsid w:val="00B81BBA"/>
    <w:rsid w:val="00B824FF"/>
    <w:rsid w:val="00B82FD6"/>
    <w:rsid w:val="00B839D7"/>
    <w:rsid w:val="00B84926"/>
    <w:rsid w:val="00B84E39"/>
    <w:rsid w:val="00B865DB"/>
    <w:rsid w:val="00B901C7"/>
    <w:rsid w:val="00B931FB"/>
    <w:rsid w:val="00B93459"/>
    <w:rsid w:val="00B93BA3"/>
    <w:rsid w:val="00B9449C"/>
    <w:rsid w:val="00B97976"/>
    <w:rsid w:val="00B97D19"/>
    <w:rsid w:val="00BA0E7D"/>
    <w:rsid w:val="00BA19EC"/>
    <w:rsid w:val="00BA1F0A"/>
    <w:rsid w:val="00BA3071"/>
    <w:rsid w:val="00BA47C4"/>
    <w:rsid w:val="00BB04C4"/>
    <w:rsid w:val="00BB091A"/>
    <w:rsid w:val="00BB165B"/>
    <w:rsid w:val="00BB2342"/>
    <w:rsid w:val="00BB27E9"/>
    <w:rsid w:val="00BB4282"/>
    <w:rsid w:val="00BB4535"/>
    <w:rsid w:val="00BB48BD"/>
    <w:rsid w:val="00BB506A"/>
    <w:rsid w:val="00BB5171"/>
    <w:rsid w:val="00BB6A9A"/>
    <w:rsid w:val="00BB7229"/>
    <w:rsid w:val="00BB7504"/>
    <w:rsid w:val="00BB7BC8"/>
    <w:rsid w:val="00BC13E3"/>
    <w:rsid w:val="00BC2533"/>
    <w:rsid w:val="00BC3670"/>
    <w:rsid w:val="00BC45E8"/>
    <w:rsid w:val="00BC4B63"/>
    <w:rsid w:val="00BC7393"/>
    <w:rsid w:val="00BD217A"/>
    <w:rsid w:val="00BD2A75"/>
    <w:rsid w:val="00BD3075"/>
    <w:rsid w:val="00BD495C"/>
    <w:rsid w:val="00BD6FEF"/>
    <w:rsid w:val="00BE044A"/>
    <w:rsid w:val="00BE27E2"/>
    <w:rsid w:val="00BE4D33"/>
    <w:rsid w:val="00BE7360"/>
    <w:rsid w:val="00BE7886"/>
    <w:rsid w:val="00BF0855"/>
    <w:rsid w:val="00BF703A"/>
    <w:rsid w:val="00BF72BA"/>
    <w:rsid w:val="00BF79FF"/>
    <w:rsid w:val="00C0034D"/>
    <w:rsid w:val="00C00AAA"/>
    <w:rsid w:val="00C00B5C"/>
    <w:rsid w:val="00C00E96"/>
    <w:rsid w:val="00C01FA5"/>
    <w:rsid w:val="00C0210B"/>
    <w:rsid w:val="00C0351E"/>
    <w:rsid w:val="00C038D9"/>
    <w:rsid w:val="00C03FB0"/>
    <w:rsid w:val="00C053BB"/>
    <w:rsid w:val="00C10000"/>
    <w:rsid w:val="00C127A2"/>
    <w:rsid w:val="00C13D54"/>
    <w:rsid w:val="00C16940"/>
    <w:rsid w:val="00C17F06"/>
    <w:rsid w:val="00C20E65"/>
    <w:rsid w:val="00C2489D"/>
    <w:rsid w:val="00C2557C"/>
    <w:rsid w:val="00C26CC7"/>
    <w:rsid w:val="00C279B1"/>
    <w:rsid w:val="00C317CD"/>
    <w:rsid w:val="00C320E4"/>
    <w:rsid w:val="00C36428"/>
    <w:rsid w:val="00C36564"/>
    <w:rsid w:val="00C367EA"/>
    <w:rsid w:val="00C37B20"/>
    <w:rsid w:val="00C41909"/>
    <w:rsid w:val="00C41D4A"/>
    <w:rsid w:val="00C421C5"/>
    <w:rsid w:val="00C42B15"/>
    <w:rsid w:val="00C42BA6"/>
    <w:rsid w:val="00C42BBC"/>
    <w:rsid w:val="00C42FC1"/>
    <w:rsid w:val="00C4303A"/>
    <w:rsid w:val="00C45332"/>
    <w:rsid w:val="00C46077"/>
    <w:rsid w:val="00C46A5D"/>
    <w:rsid w:val="00C517A2"/>
    <w:rsid w:val="00C51C29"/>
    <w:rsid w:val="00C524DE"/>
    <w:rsid w:val="00C526C2"/>
    <w:rsid w:val="00C52AB8"/>
    <w:rsid w:val="00C53792"/>
    <w:rsid w:val="00C550C0"/>
    <w:rsid w:val="00C55488"/>
    <w:rsid w:val="00C56144"/>
    <w:rsid w:val="00C56315"/>
    <w:rsid w:val="00C56E78"/>
    <w:rsid w:val="00C5723A"/>
    <w:rsid w:val="00C60B9C"/>
    <w:rsid w:val="00C60DB1"/>
    <w:rsid w:val="00C61832"/>
    <w:rsid w:val="00C62E91"/>
    <w:rsid w:val="00C63F59"/>
    <w:rsid w:val="00C66011"/>
    <w:rsid w:val="00C660D4"/>
    <w:rsid w:val="00C6689F"/>
    <w:rsid w:val="00C66AB6"/>
    <w:rsid w:val="00C67346"/>
    <w:rsid w:val="00C67C70"/>
    <w:rsid w:val="00C730C4"/>
    <w:rsid w:val="00C734CB"/>
    <w:rsid w:val="00C749EF"/>
    <w:rsid w:val="00C77DA8"/>
    <w:rsid w:val="00C81892"/>
    <w:rsid w:val="00C81C13"/>
    <w:rsid w:val="00C81D15"/>
    <w:rsid w:val="00C82962"/>
    <w:rsid w:val="00C830A3"/>
    <w:rsid w:val="00C83412"/>
    <w:rsid w:val="00C8483D"/>
    <w:rsid w:val="00C84C5C"/>
    <w:rsid w:val="00C85865"/>
    <w:rsid w:val="00C87EB6"/>
    <w:rsid w:val="00C91F68"/>
    <w:rsid w:val="00C920BC"/>
    <w:rsid w:val="00C9236A"/>
    <w:rsid w:val="00C93DC7"/>
    <w:rsid w:val="00C94DD4"/>
    <w:rsid w:val="00C94EA0"/>
    <w:rsid w:val="00CA174B"/>
    <w:rsid w:val="00CA478B"/>
    <w:rsid w:val="00CA57E8"/>
    <w:rsid w:val="00CA7089"/>
    <w:rsid w:val="00CA7566"/>
    <w:rsid w:val="00CA7638"/>
    <w:rsid w:val="00CA7AC8"/>
    <w:rsid w:val="00CB148B"/>
    <w:rsid w:val="00CB2974"/>
    <w:rsid w:val="00CB3DE0"/>
    <w:rsid w:val="00CB4BF2"/>
    <w:rsid w:val="00CB4C1D"/>
    <w:rsid w:val="00CB4D85"/>
    <w:rsid w:val="00CB6339"/>
    <w:rsid w:val="00CB74AE"/>
    <w:rsid w:val="00CB7AF9"/>
    <w:rsid w:val="00CB7D35"/>
    <w:rsid w:val="00CC0A31"/>
    <w:rsid w:val="00CC2EA9"/>
    <w:rsid w:val="00CC30C4"/>
    <w:rsid w:val="00CC341A"/>
    <w:rsid w:val="00CC3637"/>
    <w:rsid w:val="00CC47CD"/>
    <w:rsid w:val="00CC5609"/>
    <w:rsid w:val="00CC5635"/>
    <w:rsid w:val="00CD082B"/>
    <w:rsid w:val="00CD19EA"/>
    <w:rsid w:val="00CD22C7"/>
    <w:rsid w:val="00CD7032"/>
    <w:rsid w:val="00CD70F1"/>
    <w:rsid w:val="00CE1148"/>
    <w:rsid w:val="00CE13B8"/>
    <w:rsid w:val="00CE14CE"/>
    <w:rsid w:val="00CE2267"/>
    <w:rsid w:val="00CE30B1"/>
    <w:rsid w:val="00CE39B5"/>
    <w:rsid w:val="00CE3C52"/>
    <w:rsid w:val="00CE430F"/>
    <w:rsid w:val="00CE5B48"/>
    <w:rsid w:val="00CE6411"/>
    <w:rsid w:val="00CE7B89"/>
    <w:rsid w:val="00CF0401"/>
    <w:rsid w:val="00CF538B"/>
    <w:rsid w:val="00CF566B"/>
    <w:rsid w:val="00CF7965"/>
    <w:rsid w:val="00D000BF"/>
    <w:rsid w:val="00D00868"/>
    <w:rsid w:val="00D0131C"/>
    <w:rsid w:val="00D018B9"/>
    <w:rsid w:val="00D01CD1"/>
    <w:rsid w:val="00D02389"/>
    <w:rsid w:val="00D02AE5"/>
    <w:rsid w:val="00D0349C"/>
    <w:rsid w:val="00D04B65"/>
    <w:rsid w:val="00D055B2"/>
    <w:rsid w:val="00D05B86"/>
    <w:rsid w:val="00D05D7B"/>
    <w:rsid w:val="00D0676A"/>
    <w:rsid w:val="00D06F0E"/>
    <w:rsid w:val="00D06F8C"/>
    <w:rsid w:val="00D079A8"/>
    <w:rsid w:val="00D112CB"/>
    <w:rsid w:val="00D12EC2"/>
    <w:rsid w:val="00D140AB"/>
    <w:rsid w:val="00D157AA"/>
    <w:rsid w:val="00D165FF"/>
    <w:rsid w:val="00D233D2"/>
    <w:rsid w:val="00D234B2"/>
    <w:rsid w:val="00D23D36"/>
    <w:rsid w:val="00D23E61"/>
    <w:rsid w:val="00D23EC7"/>
    <w:rsid w:val="00D24BF2"/>
    <w:rsid w:val="00D24FAA"/>
    <w:rsid w:val="00D251F0"/>
    <w:rsid w:val="00D26C2C"/>
    <w:rsid w:val="00D26FBE"/>
    <w:rsid w:val="00D27A13"/>
    <w:rsid w:val="00D3083C"/>
    <w:rsid w:val="00D3173E"/>
    <w:rsid w:val="00D3189B"/>
    <w:rsid w:val="00D320D3"/>
    <w:rsid w:val="00D35688"/>
    <w:rsid w:val="00D37B90"/>
    <w:rsid w:val="00D40114"/>
    <w:rsid w:val="00D40324"/>
    <w:rsid w:val="00D40B49"/>
    <w:rsid w:val="00D42A97"/>
    <w:rsid w:val="00D445DA"/>
    <w:rsid w:val="00D449F6"/>
    <w:rsid w:val="00D44EEB"/>
    <w:rsid w:val="00D457EC"/>
    <w:rsid w:val="00D46B9F"/>
    <w:rsid w:val="00D51B30"/>
    <w:rsid w:val="00D52B66"/>
    <w:rsid w:val="00D5525C"/>
    <w:rsid w:val="00D5624C"/>
    <w:rsid w:val="00D570FA"/>
    <w:rsid w:val="00D60D59"/>
    <w:rsid w:val="00D62337"/>
    <w:rsid w:val="00D62648"/>
    <w:rsid w:val="00D63E11"/>
    <w:rsid w:val="00D640C2"/>
    <w:rsid w:val="00D64B3E"/>
    <w:rsid w:val="00D64FDE"/>
    <w:rsid w:val="00D66956"/>
    <w:rsid w:val="00D6713C"/>
    <w:rsid w:val="00D71812"/>
    <w:rsid w:val="00D76DFD"/>
    <w:rsid w:val="00D76F1D"/>
    <w:rsid w:val="00D76F7C"/>
    <w:rsid w:val="00D773D0"/>
    <w:rsid w:val="00D776A8"/>
    <w:rsid w:val="00D82451"/>
    <w:rsid w:val="00D8280B"/>
    <w:rsid w:val="00D83DBD"/>
    <w:rsid w:val="00D8540B"/>
    <w:rsid w:val="00D86083"/>
    <w:rsid w:val="00D87194"/>
    <w:rsid w:val="00D87F8B"/>
    <w:rsid w:val="00D900F4"/>
    <w:rsid w:val="00D90363"/>
    <w:rsid w:val="00D905C1"/>
    <w:rsid w:val="00D92B81"/>
    <w:rsid w:val="00D9319E"/>
    <w:rsid w:val="00D94A03"/>
    <w:rsid w:val="00DA169A"/>
    <w:rsid w:val="00DA27E8"/>
    <w:rsid w:val="00DA3139"/>
    <w:rsid w:val="00DA330E"/>
    <w:rsid w:val="00DA37FA"/>
    <w:rsid w:val="00DA3CF9"/>
    <w:rsid w:val="00DA3CFA"/>
    <w:rsid w:val="00DA3DB8"/>
    <w:rsid w:val="00DA3DF2"/>
    <w:rsid w:val="00DB0591"/>
    <w:rsid w:val="00DB185D"/>
    <w:rsid w:val="00DB34FB"/>
    <w:rsid w:val="00DB37D0"/>
    <w:rsid w:val="00DB53B9"/>
    <w:rsid w:val="00DB62D7"/>
    <w:rsid w:val="00DB7BDD"/>
    <w:rsid w:val="00DC075F"/>
    <w:rsid w:val="00DC6E20"/>
    <w:rsid w:val="00DC6EF1"/>
    <w:rsid w:val="00DC77E5"/>
    <w:rsid w:val="00DC7A55"/>
    <w:rsid w:val="00DD0FD8"/>
    <w:rsid w:val="00DD1AAB"/>
    <w:rsid w:val="00DD2FE6"/>
    <w:rsid w:val="00DD4053"/>
    <w:rsid w:val="00DD6C16"/>
    <w:rsid w:val="00DD6C33"/>
    <w:rsid w:val="00DD6CFA"/>
    <w:rsid w:val="00DD6E36"/>
    <w:rsid w:val="00DE17CF"/>
    <w:rsid w:val="00DE33C5"/>
    <w:rsid w:val="00DE3756"/>
    <w:rsid w:val="00DE57C0"/>
    <w:rsid w:val="00DE57D8"/>
    <w:rsid w:val="00DE584A"/>
    <w:rsid w:val="00DE5ADA"/>
    <w:rsid w:val="00DE6604"/>
    <w:rsid w:val="00DF0946"/>
    <w:rsid w:val="00DF1849"/>
    <w:rsid w:val="00DF1FE1"/>
    <w:rsid w:val="00DF3074"/>
    <w:rsid w:val="00DF32CE"/>
    <w:rsid w:val="00DF3462"/>
    <w:rsid w:val="00DF612C"/>
    <w:rsid w:val="00DF7584"/>
    <w:rsid w:val="00E01ED5"/>
    <w:rsid w:val="00E03520"/>
    <w:rsid w:val="00E04A32"/>
    <w:rsid w:val="00E0534B"/>
    <w:rsid w:val="00E059D6"/>
    <w:rsid w:val="00E059E4"/>
    <w:rsid w:val="00E05EFF"/>
    <w:rsid w:val="00E064C4"/>
    <w:rsid w:val="00E0777E"/>
    <w:rsid w:val="00E079B7"/>
    <w:rsid w:val="00E07DEF"/>
    <w:rsid w:val="00E11238"/>
    <w:rsid w:val="00E12E66"/>
    <w:rsid w:val="00E156D4"/>
    <w:rsid w:val="00E1603F"/>
    <w:rsid w:val="00E16DB0"/>
    <w:rsid w:val="00E212F7"/>
    <w:rsid w:val="00E22DA2"/>
    <w:rsid w:val="00E23C68"/>
    <w:rsid w:val="00E25210"/>
    <w:rsid w:val="00E26265"/>
    <w:rsid w:val="00E279CA"/>
    <w:rsid w:val="00E30C35"/>
    <w:rsid w:val="00E31C87"/>
    <w:rsid w:val="00E31D0D"/>
    <w:rsid w:val="00E33265"/>
    <w:rsid w:val="00E33B8D"/>
    <w:rsid w:val="00E34427"/>
    <w:rsid w:val="00E34F59"/>
    <w:rsid w:val="00E35ED5"/>
    <w:rsid w:val="00E36E13"/>
    <w:rsid w:val="00E3786F"/>
    <w:rsid w:val="00E406F0"/>
    <w:rsid w:val="00E41FB8"/>
    <w:rsid w:val="00E438D0"/>
    <w:rsid w:val="00E44AAB"/>
    <w:rsid w:val="00E47759"/>
    <w:rsid w:val="00E478DE"/>
    <w:rsid w:val="00E47BB3"/>
    <w:rsid w:val="00E47E1E"/>
    <w:rsid w:val="00E500E3"/>
    <w:rsid w:val="00E50788"/>
    <w:rsid w:val="00E51188"/>
    <w:rsid w:val="00E51194"/>
    <w:rsid w:val="00E51BD0"/>
    <w:rsid w:val="00E52A79"/>
    <w:rsid w:val="00E52C48"/>
    <w:rsid w:val="00E543AE"/>
    <w:rsid w:val="00E55F5C"/>
    <w:rsid w:val="00E560B2"/>
    <w:rsid w:val="00E57559"/>
    <w:rsid w:val="00E5768B"/>
    <w:rsid w:val="00E61805"/>
    <w:rsid w:val="00E62682"/>
    <w:rsid w:val="00E63CB4"/>
    <w:rsid w:val="00E63EB9"/>
    <w:rsid w:val="00E65BC4"/>
    <w:rsid w:val="00E66128"/>
    <w:rsid w:val="00E66AA3"/>
    <w:rsid w:val="00E70173"/>
    <w:rsid w:val="00E70886"/>
    <w:rsid w:val="00E70B31"/>
    <w:rsid w:val="00E71568"/>
    <w:rsid w:val="00E72F9A"/>
    <w:rsid w:val="00E736AF"/>
    <w:rsid w:val="00E74285"/>
    <w:rsid w:val="00E74549"/>
    <w:rsid w:val="00E74C69"/>
    <w:rsid w:val="00E75273"/>
    <w:rsid w:val="00E75F60"/>
    <w:rsid w:val="00E76E71"/>
    <w:rsid w:val="00E7749D"/>
    <w:rsid w:val="00E77ED8"/>
    <w:rsid w:val="00E80925"/>
    <w:rsid w:val="00E815E5"/>
    <w:rsid w:val="00E81D9A"/>
    <w:rsid w:val="00E82018"/>
    <w:rsid w:val="00E829BE"/>
    <w:rsid w:val="00E83045"/>
    <w:rsid w:val="00E84599"/>
    <w:rsid w:val="00E84AF9"/>
    <w:rsid w:val="00E84FB0"/>
    <w:rsid w:val="00E853F0"/>
    <w:rsid w:val="00E86088"/>
    <w:rsid w:val="00E86D0E"/>
    <w:rsid w:val="00E874C1"/>
    <w:rsid w:val="00E87C95"/>
    <w:rsid w:val="00E946D3"/>
    <w:rsid w:val="00E95F1D"/>
    <w:rsid w:val="00E96E21"/>
    <w:rsid w:val="00EA0DC5"/>
    <w:rsid w:val="00EA16BA"/>
    <w:rsid w:val="00EA3520"/>
    <w:rsid w:val="00EA3F6C"/>
    <w:rsid w:val="00EA4384"/>
    <w:rsid w:val="00EA4934"/>
    <w:rsid w:val="00EA5343"/>
    <w:rsid w:val="00EA6729"/>
    <w:rsid w:val="00EA6D2E"/>
    <w:rsid w:val="00EB0EA5"/>
    <w:rsid w:val="00EB279F"/>
    <w:rsid w:val="00EB2CFB"/>
    <w:rsid w:val="00EB30BE"/>
    <w:rsid w:val="00EB342D"/>
    <w:rsid w:val="00EB4387"/>
    <w:rsid w:val="00EB4753"/>
    <w:rsid w:val="00EB6A6E"/>
    <w:rsid w:val="00EC1D0D"/>
    <w:rsid w:val="00EC3296"/>
    <w:rsid w:val="00EC4E6A"/>
    <w:rsid w:val="00EC55C2"/>
    <w:rsid w:val="00EC5BEA"/>
    <w:rsid w:val="00EC7C49"/>
    <w:rsid w:val="00ED12A2"/>
    <w:rsid w:val="00ED1C07"/>
    <w:rsid w:val="00ED29D5"/>
    <w:rsid w:val="00ED3FAD"/>
    <w:rsid w:val="00ED5A77"/>
    <w:rsid w:val="00ED66FC"/>
    <w:rsid w:val="00ED7150"/>
    <w:rsid w:val="00EE46A6"/>
    <w:rsid w:val="00EF02E1"/>
    <w:rsid w:val="00EF1DD7"/>
    <w:rsid w:val="00EF5654"/>
    <w:rsid w:val="00EF5C80"/>
    <w:rsid w:val="00EF5CF4"/>
    <w:rsid w:val="00EF67FC"/>
    <w:rsid w:val="00EF6DF2"/>
    <w:rsid w:val="00EF7961"/>
    <w:rsid w:val="00EF7988"/>
    <w:rsid w:val="00F01152"/>
    <w:rsid w:val="00F03A5A"/>
    <w:rsid w:val="00F06193"/>
    <w:rsid w:val="00F06E4F"/>
    <w:rsid w:val="00F07828"/>
    <w:rsid w:val="00F1148D"/>
    <w:rsid w:val="00F1373A"/>
    <w:rsid w:val="00F14C00"/>
    <w:rsid w:val="00F16C0E"/>
    <w:rsid w:val="00F16DD4"/>
    <w:rsid w:val="00F1713E"/>
    <w:rsid w:val="00F20224"/>
    <w:rsid w:val="00F21675"/>
    <w:rsid w:val="00F216B1"/>
    <w:rsid w:val="00F239E4"/>
    <w:rsid w:val="00F24168"/>
    <w:rsid w:val="00F24F6A"/>
    <w:rsid w:val="00F25F4D"/>
    <w:rsid w:val="00F265E7"/>
    <w:rsid w:val="00F34216"/>
    <w:rsid w:val="00F35FD4"/>
    <w:rsid w:val="00F365E9"/>
    <w:rsid w:val="00F36C3A"/>
    <w:rsid w:val="00F40A09"/>
    <w:rsid w:val="00F41BE2"/>
    <w:rsid w:val="00F44C1B"/>
    <w:rsid w:val="00F4600F"/>
    <w:rsid w:val="00F46182"/>
    <w:rsid w:val="00F50472"/>
    <w:rsid w:val="00F52369"/>
    <w:rsid w:val="00F5382B"/>
    <w:rsid w:val="00F543D3"/>
    <w:rsid w:val="00F5456C"/>
    <w:rsid w:val="00F54A98"/>
    <w:rsid w:val="00F577B1"/>
    <w:rsid w:val="00F60400"/>
    <w:rsid w:val="00F6075E"/>
    <w:rsid w:val="00F61B02"/>
    <w:rsid w:val="00F62B2F"/>
    <w:rsid w:val="00F64524"/>
    <w:rsid w:val="00F64DA2"/>
    <w:rsid w:val="00F64E93"/>
    <w:rsid w:val="00F650A0"/>
    <w:rsid w:val="00F71D87"/>
    <w:rsid w:val="00F74E02"/>
    <w:rsid w:val="00F75E13"/>
    <w:rsid w:val="00F75EEA"/>
    <w:rsid w:val="00F77075"/>
    <w:rsid w:val="00F7740B"/>
    <w:rsid w:val="00F77505"/>
    <w:rsid w:val="00F77672"/>
    <w:rsid w:val="00F807AF"/>
    <w:rsid w:val="00F826B9"/>
    <w:rsid w:val="00F82830"/>
    <w:rsid w:val="00F84165"/>
    <w:rsid w:val="00F84446"/>
    <w:rsid w:val="00F86E41"/>
    <w:rsid w:val="00F871E6"/>
    <w:rsid w:val="00F90034"/>
    <w:rsid w:val="00F90231"/>
    <w:rsid w:val="00F9060C"/>
    <w:rsid w:val="00F9189F"/>
    <w:rsid w:val="00F93890"/>
    <w:rsid w:val="00F93CA2"/>
    <w:rsid w:val="00F95E8A"/>
    <w:rsid w:val="00FA0730"/>
    <w:rsid w:val="00FA16CD"/>
    <w:rsid w:val="00FA1900"/>
    <w:rsid w:val="00FA21B8"/>
    <w:rsid w:val="00FA3964"/>
    <w:rsid w:val="00FA6B12"/>
    <w:rsid w:val="00FA6BCB"/>
    <w:rsid w:val="00FB0140"/>
    <w:rsid w:val="00FB0AB0"/>
    <w:rsid w:val="00FB1369"/>
    <w:rsid w:val="00FB3007"/>
    <w:rsid w:val="00FB3244"/>
    <w:rsid w:val="00FB658C"/>
    <w:rsid w:val="00FB658D"/>
    <w:rsid w:val="00FB6840"/>
    <w:rsid w:val="00FB7003"/>
    <w:rsid w:val="00FB7601"/>
    <w:rsid w:val="00FB7FEF"/>
    <w:rsid w:val="00FC17B4"/>
    <w:rsid w:val="00FC1A56"/>
    <w:rsid w:val="00FC3753"/>
    <w:rsid w:val="00FC51E2"/>
    <w:rsid w:val="00FC6B36"/>
    <w:rsid w:val="00FC71F8"/>
    <w:rsid w:val="00FD122D"/>
    <w:rsid w:val="00FD1B70"/>
    <w:rsid w:val="00FD21B2"/>
    <w:rsid w:val="00FD4C38"/>
    <w:rsid w:val="00FD65D4"/>
    <w:rsid w:val="00FD705A"/>
    <w:rsid w:val="00FD7BA1"/>
    <w:rsid w:val="00FE39BA"/>
    <w:rsid w:val="00FE493A"/>
    <w:rsid w:val="00FE60AF"/>
    <w:rsid w:val="00FE6E7C"/>
    <w:rsid w:val="00FF02BD"/>
    <w:rsid w:val="00FF0F4D"/>
    <w:rsid w:val="00FF3F5E"/>
    <w:rsid w:val="00FF54D4"/>
    <w:rsid w:val="00FF735E"/>
    <w:rsid w:val="010C1CD1"/>
    <w:rsid w:val="011A1E28"/>
    <w:rsid w:val="01255FD6"/>
    <w:rsid w:val="014C132E"/>
    <w:rsid w:val="014C1F77"/>
    <w:rsid w:val="014D59A5"/>
    <w:rsid w:val="014D7355"/>
    <w:rsid w:val="01586707"/>
    <w:rsid w:val="01635993"/>
    <w:rsid w:val="017A2B60"/>
    <w:rsid w:val="018411ED"/>
    <w:rsid w:val="018D2AA3"/>
    <w:rsid w:val="018E117D"/>
    <w:rsid w:val="01971D61"/>
    <w:rsid w:val="01A26C90"/>
    <w:rsid w:val="01C218F0"/>
    <w:rsid w:val="01CA20A1"/>
    <w:rsid w:val="01DC0C1D"/>
    <w:rsid w:val="01DC6F3A"/>
    <w:rsid w:val="01DF0F5A"/>
    <w:rsid w:val="01F646E3"/>
    <w:rsid w:val="01FB49F8"/>
    <w:rsid w:val="020A0467"/>
    <w:rsid w:val="020C2745"/>
    <w:rsid w:val="020E0D9E"/>
    <w:rsid w:val="023B31B5"/>
    <w:rsid w:val="024C10DA"/>
    <w:rsid w:val="025263E9"/>
    <w:rsid w:val="025517E0"/>
    <w:rsid w:val="02623074"/>
    <w:rsid w:val="026B412A"/>
    <w:rsid w:val="026B46E9"/>
    <w:rsid w:val="02727FA3"/>
    <w:rsid w:val="0289090A"/>
    <w:rsid w:val="028E5130"/>
    <w:rsid w:val="029702DF"/>
    <w:rsid w:val="02AD2452"/>
    <w:rsid w:val="02B00548"/>
    <w:rsid w:val="02E50B49"/>
    <w:rsid w:val="02F50B84"/>
    <w:rsid w:val="03070FA5"/>
    <w:rsid w:val="0337225F"/>
    <w:rsid w:val="035535E2"/>
    <w:rsid w:val="037C04CC"/>
    <w:rsid w:val="03A836FD"/>
    <w:rsid w:val="03CC6C64"/>
    <w:rsid w:val="03DF5595"/>
    <w:rsid w:val="03E3746A"/>
    <w:rsid w:val="03F15D82"/>
    <w:rsid w:val="040920A3"/>
    <w:rsid w:val="041913D6"/>
    <w:rsid w:val="04252CD6"/>
    <w:rsid w:val="04386833"/>
    <w:rsid w:val="04465A08"/>
    <w:rsid w:val="04574010"/>
    <w:rsid w:val="045B2BB5"/>
    <w:rsid w:val="04640ACD"/>
    <w:rsid w:val="049408DF"/>
    <w:rsid w:val="049A4105"/>
    <w:rsid w:val="04B60525"/>
    <w:rsid w:val="04FB196A"/>
    <w:rsid w:val="05066E68"/>
    <w:rsid w:val="05207984"/>
    <w:rsid w:val="0529032F"/>
    <w:rsid w:val="052C6D8B"/>
    <w:rsid w:val="053055D9"/>
    <w:rsid w:val="053E3A99"/>
    <w:rsid w:val="0550176F"/>
    <w:rsid w:val="055E2FAF"/>
    <w:rsid w:val="057063C3"/>
    <w:rsid w:val="058427BA"/>
    <w:rsid w:val="058A37CF"/>
    <w:rsid w:val="0596316B"/>
    <w:rsid w:val="05B22F4A"/>
    <w:rsid w:val="05CB1DA9"/>
    <w:rsid w:val="05EF374E"/>
    <w:rsid w:val="05F66421"/>
    <w:rsid w:val="060554F1"/>
    <w:rsid w:val="061E3EAA"/>
    <w:rsid w:val="062509AE"/>
    <w:rsid w:val="062A34C3"/>
    <w:rsid w:val="06751613"/>
    <w:rsid w:val="06847A80"/>
    <w:rsid w:val="06924916"/>
    <w:rsid w:val="069C7BDA"/>
    <w:rsid w:val="06A637B4"/>
    <w:rsid w:val="06AA2197"/>
    <w:rsid w:val="06C42BF6"/>
    <w:rsid w:val="06C77B40"/>
    <w:rsid w:val="06D15BC0"/>
    <w:rsid w:val="06D41F76"/>
    <w:rsid w:val="06F4217D"/>
    <w:rsid w:val="06F536B3"/>
    <w:rsid w:val="07066D28"/>
    <w:rsid w:val="070C0676"/>
    <w:rsid w:val="071369F9"/>
    <w:rsid w:val="072161EE"/>
    <w:rsid w:val="0749439D"/>
    <w:rsid w:val="07495DA2"/>
    <w:rsid w:val="07540E25"/>
    <w:rsid w:val="07643BB0"/>
    <w:rsid w:val="07657D32"/>
    <w:rsid w:val="07802883"/>
    <w:rsid w:val="07903923"/>
    <w:rsid w:val="079A40BE"/>
    <w:rsid w:val="079F3409"/>
    <w:rsid w:val="07B35F94"/>
    <w:rsid w:val="07C44272"/>
    <w:rsid w:val="07E46E2F"/>
    <w:rsid w:val="07F74BC0"/>
    <w:rsid w:val="07F85904"/>
    <w:rsid w:val="07FB69B0"/>
    <w:rsid w:val="08273E74"/>
    <w:rsid w:val="08317152"/>
    <w:rsid w:val="083241FA"/>
    <w:rsid w:val="08417F22"/>
    <w:rsid w:val="085E2CCF"/>
    <w:rsid w:val="08652490"/>
    <w:rsid w:val="087442DC"/>
    <w:rsid w:val="088150C6"/>
    <w:rsid w:val="088C017B"/>
    <w:rsid w:val="08A82006"/>
    <w:rsid w:val="08AE3899"/>
    <w:rsid w:val="08FB3230"/>
    <w:rsid w:val="08FE7A87"/>
    <w:rsid w:val="090F547E"/>
    <w:rsid w:val="0910058F"/>
    <w:rsid w:val="091A1DFF"/>
    <w:rsid w:val="092D39D3"/>
    <w:rsid w:val="09310F40"/>
    <w:rsid w:val="09556F80"/>
    <w:rsid w:val="096345D5"/>
    <w:rsid w:val="097C01EF"/>
    <w:rsid w:val="097C7220"/>
    <w:rsid w:val="09A0765A"/>
    <w:rsid w:val="09BD0D88"/>
    <w:rsid w:val="09EA3937"/>
    <w:rsid w:val="09F204B1"/>
    <w:rsid w:val="0A114623"/>
    <w:rsid w:val="0A1313A3"/>
    <w:rsid w:val="0A134D4B"/>
    <w:rsid w:val="0A43253A"/>
    <w:rsid w:val="0A5E1B8A"/>
    <w:rsid w:val="0A627DCC"/>
    <w:rsid w:val="0A6C4257"/>
    <w:rsid w:val="0A7424C8"/>
    <w:rsid w:val="0A9121A0"/>
    <w:rsid w:val="0AA86048"/>
    <w:rsid w:val="0ABB4A1A"/>
    <w:rsid w:val="0AE433A4"/>
    <w:rsid w:val="0AE93662"/>
    <w:rsid w:val="0AEE6831"/>
    <w:rsid w:val="0AF43187"/>
    <w:rsid w:val="0B024B70"/>
    <w:rsid w:val="0B1D1D79"/>
    <w:rsid w:val="0B230CD4"/>
    <w:rsid w:val="0B2826E5"/>
    <w:rsid w:val="0B384399"/>
    <w:rsid w:val="0B4B00A7"/>
    <w:rsid w:val="0B597D8D"/>
    <w:rsid w:val="0B621ABD"/>
    <w:rsid w:val="0B6603D2"/>
    <w:rsid w:val="0B6B7136"/>
    <w:rsid w:val="0B775440"/>
    <w:rsid w:val="0B814B92"/>
    <w:rsid w:val="0BB56E8C"/>
    <w:rsid w:val="0BC76F88"/>
    <w:rsid w:val="0BEB7CE0"/>
    <w:rsid w:val="0C07599C"/>
    <w:rsid w:val="0C083194"/>
    <w:rsid w:val="0C1911EC"/>
    <w:rsid w:val="0C240453"/>
    <w:rsid w:val="0C5E3107"/>
    <w:rsid w:val="0C627D26"/>
    <w:rsid w:val="0C743FD3"/>
    <w:rsid w:val="0C8E1A2C"/>
    <w:rsid w:val="0C9E43E7"/>
    <w:rsid w:val="0CB21CF6"/>
    <w:rsid w:val="0CCF0B40"/>
    <w:rsid w:val="0D0E2523"/>
    <w:rsid w:val="0D137994"/>
    <w:rsid w:val="0D4350E6"/>
    <w:rsid w:val="0D4C3E76"/>
    <w:rsid w:val="0D525BF3"/>
    <w:rsid w:val="0D5D7178"/>
    <w:rsid w:val="0D77789C"/>
    <w:rsid w:val="0D7A4D61"/>
    <w:rsid w:val="0DB46E71"/>
    <w:rsid w:val="0DBB5B11"/>
    <w:rsid w:val="0DBD1095"/>
    <w:rsid w:val="0DBE2153"/>
    <w:rsid w:val="0DC91B96"/>
    <w:rsid w:val="0DE93528"/>
    <w:rsid w:val="0DEB77AC"/>
    <w:rsid w:val="0DF20511"/>
    <w:rsid w:val="0DF923F1"/>
    <w:rsid w:val="0E1E4A6B"/>
    <w:rsid w:val="0E2C143E"/>
    <w:rsid w:val="0E330D81"/>
    <w:rsid w:val="0E6652FE"/>
    <w:rsid w:val="0E6C5B7A"/>
    <w:rsid w:val="0E7141C3"/>
    <w:rsid w:val="0E853BAB"/>
    <w:rsid w:val="0E8D39E6"/>
    <w:rsid w:val="0E927994"/>
    <w:rsid w:val="0EA5063D"/>
    <w:rsid w:val="0EA74BE6"/>
    <w:rsid w:val="0ECA5FB4"/>
    <w:rsid w:val="0EE60BA6"/>
    <w:rsid w:val="0F2F3281"/>
    <w:rsid w:val="0F35678A"/>
    <w:rsid w:val="0F3831FD"/>
    <w:rsid w:val="0F5512C6"/>
    <w:rsid w:val="0F701DAC"/>
    <w:rsid w:val="0F84248B"/>
    <w:rsid w:val="0F981327"/>
    <w:rsid w:val="0FB714C6"/>
    <w:rsid w:val="0FD607CE"/>
    <w:rsid w:val="0FD92952"/>
    <w:rsid w:val="0FE90908"/>
    <w:rsid w:val="0FEA28D5"/>
    <w:rsid w:val="1004330B"/>
    <w:rsid w:val="100B2C10"/>
    <w:rsid w:val="101822F4"/>
    <w:rsid w:val="102514AD"/>
    <w:rsid w:val="103265CE"/>
    <w:rsid w:val="1076100A"/>
    <w:rsid w:val="10986E77"/>
    <w:rsid w:val="10AD3B34"/>
    <w:rsid w:val="10B825F2"/>
    <w:rsid w:val="10CD7950"/>
    <w:rsid w:val="10E75482"/>
    <w:rsid w:val="10E85378"/>
    <w:rsid w:val="10EF1D53"/>
    <w:rsid w:val="10FA0A22"/>
    <w:rsid w:val="11093551"/>
    <w:rsid w:val="111D6282"/>
    <w:rsid w:val="114179BF"/>
    <w:rsid w:val="11451CDE"/>
    <w:rsid w:val="11510CAA"/>
    <w:rsid w:val="1159585E"/>
    <w:rsid w:val="116105C6"/>
    <w:rsid w:val="11633938"/>
    <w:rsid w:val="11654DD2"/>
    <w:rsid w:val="1171737E"/>
    <w:rsid w:val="119F3676"/>
    <w:rsid w:val="119F7437"/>
    <w:rsid w:val="11BD1BDE"/>
    <w:rsid w:val="11C26FC6"/>
    <w:rsid w:val="11C86746"/>
    <w:rsid w:val="11E04D56"/>
    <w:rsid w:val="120F4CB1"/>
    <w:rsid w:val="121A37AD"/>
    <w:rsid w:val="121B3224"/>
    <w:rsid w:val="12335F37"/>
    <w:rsid w:val="126B6F53"/>
    <w:rsid w:val="1278485A"/>
    <w:rsid w:val="128769BC"/>
    <w:rsid w:val="12AE4F0A"/>
    <w:rsid w:val="12C60CED"/>
    <w:rsid w:val="12C6148E"/>
    <w:rsid w:val="12D8720D"/>
    <w:rsid w:val="12D939CE"/>
    <w:rsid w:val="12E53F5F"/>
    <w:rsid w:val="12E737A7"/>
    <w:rsid w:val="12FB1CB7"/>
    <w:rsid w:val="131F6D6A"/>
    <w:rsid w:val="1332007B"/>
    <w:rsid w:val="133F0999"/>
    <w:rsid w:val="134414B2"/>
    <w:rsid w:val="135F1083"/>
    <w:rsid w:val="13672127"/>
    <w:rsid w:val="137A2485"/>
    <w:rsid w:val="138C05C8"/>
    <w:rsid w:val="13B300C8"/>
    <w:rsid w:val="13B86108"/>
    <w:rsid w:val="13CA3E18"/>
    <w:rsid w:val="13F25B9C"/>
    <w:rsid w:val="13F766B3"/>
    <w:rsid w:val="13FA3BBE"/>
    <w:rsid w:val="140E48C1"/>
    <w:rsid w:val="14532364"/>
    <w:rsid w:val="145D5BAD"/>
    <w:rsid w:val="14632991"/>
    <w:rsid w:val="14767897"/>
    <w:rsid w:val="14954210"/>
    <w:rsid w:val="14D94C69"/>
    <w:rsid w:val="14E45187"/>
    <w:rsid w:val="14E53BF2"/>
    <w:rsid w:val="14F73A46"/>
    <w:rsid w:val="14FB2F3B"/>
    <w:rsid w:val="14FE1244"/>
    <w:rsid w:val="151143C6"/>
    <w:rsid w:val="15127113"/>
    <w:rsid w:val="15577F7B"/>
    <w:rsid w:val="156C14C5"/>
    <w:rsid w:val="15A30736"/>
    <w:rsid w:val="15A55DAA"/>
    <w:rsid w:val="15C07EEB"/>
    <w:rsid w:val="15CA5B44"/>
    <w:rsid w:val="15E9057E"/>
    <w:rsid w:val="15ED7568"/>
    <w:rsid w:val="15F03FF5"/>
    <w:rsid w:val="15F70268"/>
    <w:rsid w:val="16026078"/>
    <w:rsid w:val="16073FE7"/>
    <w:rsid w:val="1643176C"/>
    <w:rsid w:val="164C3732"/>
    <w:rsid w:val="166A3339"/>
    <w:rsid w:val="1670755D"/>
    <w:rsid w:val="16820920"/>
    <w:rsid w:val="16927E92"/>
    <w:rsid w:val="169804BB"/>
    <w:rsid w:val="16B20D47"/>
    <w:rsid w:val="16CC3C46"/>
    <w:rsid w:val="16D93060"/>
    <w:rsid w:val="16E21A75"/>
    <w:rsid w:val="16E55188"/>
    <w:rsid w:val="16EF5EC2"/>
    <w:rsid w:val="171B0348"/>
    <w:rsid w:val="17260343"/>
    <w:rsid w:val="172739E3"/>
    <w:rsid w:val="173B2D07"/>
    <w:rsid w:val="174F4AEB"/>
    <w:rsid w:val="178A23AC"/>
    <w:rsid w:val="178F5FCE"/>
    <w:rsid w:val="179C2869"/>
    <w:rsid w:val="17B80125"/>
    <w:rsid w:val="18010356"/>
    <w:rsid w:val="180D1464"/>
    <w:rsid w:val="180F2B12"/>
    <w:rsid w:val="1824705E"/>
    <w:rsid w:val="18502B30"/>
    <w:rsid w:val="1858016B"/>
    <w:rsid w:val="185D4264"/>
    <w:rsid w:val="185D5C78"/>
    <w:rsid w:val="187666FE"/>
    <w:rsid w:val="189B7621"/>
    <w:rsid w:val="18A06562"/>
    <w:rsid w:val="18A519F6"/>
    <w:rsid w:val="18B87FFA"/>
    <w:rsid w:val="18EC672A"/>
    <w:rsid w:val="19073FEE"/>
    <w:rsid w:val="190D3817"/>
    <w:rsid w:val="19201045"/>
    <w:rsid w:val="19256DB7"/>
    <w:rsid w:val="194975EE"/>
    <w:rsid w:val="19523079"/>
    <w:rsid w:val="196868EE"/>
    <w:rsid w:val="19712A70"/>
    <w:rsid w:val="197F200D"/>
    <w:rsid w:val="19807736"/>
    <w:rsid w:val="19982BE5"/>
    <w:rsid w:val="1999004C"/>
    <w:rsid w:val="19A93770"/>
    <w:rsid w:val="19C35BBF"/>
    <w:rsid w:val="19D04364"/>
    <w:rsid w:val="1A016B40"/>
    <w:rsid w:val="1A1E21EF"/>
    <w:rsid w:val="1A2D15DF"/>
    <w:rsid w:val="1A3E0767"/>
    <w:rsid w:val="1A622AE9"/>
    <w:rsid w:val="1A7B660A"/>
    <w:rsid w:val="1A8743AA"/>
    <w:rsid w:val="1AE24529"/>
    <w:rsid w:val="1AE63161"/>
    <w:rsid w:val="1AE94FB9"/>
    <w:rsid w:val="1AF10711"/>
    <w:rsid w:val="1AF813F5"/>
    <w:rsid w:val="1B2D1349"/>
    <w:rsid w:val="1B3D61D5"/>
    <w:rsid w:val="1B461459"/>
    <w:rsid w:val="1B577F1B"/>
    <w:rsid w:val="1B6877A4"/>
    <w:rsid w:val="1B7108B6"/>
    <w:rsid w:val="1B7C3F66"/>
    <w:rsid w:val="1B90574F"/>
    <w:rsid w:val="1B9C481F"/>
    <w:rsid w:val="1BA51276"/>
    <w:rsid w:val="1BBE0153"/>
    <w:rsid w:val="1BCC2B2A"/>
    <w:rsid w:val="1BD84387"/>
    <w:rsid w:val="1BDC6159"/>
    <w:rsid w:val="1BE01B6F"/>
    <w:rsid w:val="1BED14EC"/>
    <w:rsid w:val="1BF53626"/>
    <w:rsid w:val="1BFB1380"/>
    <w:rsid w:val="1BFC32D7"/>
    <w:rsid w:val="1C186234"/>
    <w:rsid w:val="1C2C6D12"/>
    <w:rsid w:val="1C56304F"/>
    <w:rsid w:val="1C737068"/>
    <w:rsid w:val="1C80530D"/>
    <w:rsid w:val="1C9F19B6"/>
    <w:rsid w:val="1CA77D4F"/>
    <w:rsid w:val="1CBA632D"/>
    <w:rsid w:val="1CC461DD"/>
    <w:rsid w:val="1CD54AF2"/>
    <w:rsid w:val="1CDE2C0A"/>
    <w:rsid w:val="1CE040E8"/>
    <w:rsid w:val="1CE407F6"/>
    <w:rsid w:val="1CE84182"/>
    <w:rsid w:val="1CEB08C2"/>
    <w:rsid w:val="1CF124D8"/>
    <w:rsid w:val="1D2F294E"/>
    <w:rsid w:val="1D740161"/>
    <w:rsid w:val="1D746DE1"/>
    <w:rsid w:val="1D906E44"/>
    <w:rsid w:val="1DAD375E"/>
    <w:rsid w:val="1DCC77B7"/>
    <w:rsid w:val="1DCF7862"/>
    <w:rsid w:val="1DD4631D"/>
    <w:rsid w:val="1E032F75"/>
    <w:rsid w:val="1E10204F"/>
    <w:rsid w:val="1E107D03"/>
    <w:rsid w:val="1E1A7F95"/>
    <w:rsid w:val="1E2F5C16"/>
    <w:rsid w:val="1E3C7AA7"/>
    <w:rsid w:val="1E6501C4"/>
    <w:rsid w:val="1E677B0A"/>
    <w:rsid w:val="1E911C7D"/>
    <w:rsid w:val="1E9B1F22"/>
    <w:rsid w:val="1EAC6433"/>
    <w:rsid w:val="1EB375D5"/>
    <w:rsid w:val="1EB86E1C"/>
    <w:rsid w:val="1ECC2C66"/>
    <w:rsid w:val="1ECC42C2"/>
    <w:rsid w:val="1ED83BBA"/>
    <w:rsid w:val="1EE8362E"/>
    <w:rsid w:val="1EF32AD4"/>
    <w:rsid w:val="1EF60F23"/>
    <w:rsid w:val="1EFF5045"/>
    <w:rsid w:val="1F012467"/>
    <w:rsid w:val="1F052719"/>
    <w:rsid w:val="1F0D084E"/>
    <w:rsid w:val="1F0E3907"/>
    <w:rsid w:val="1F113299"/>
    <w:rsid w:val="1F12375B"/>
    <w:rsid w:val="1F207F9A"/>
    <w:rsid w:val="1F362F13"/>
    <w:rsid w:val="1F396922"/>
    <w:rsid w:val="1F5C378F"/>
    <w:rsid w:val="1F7E50DE"/>
    <w:rsid w:val="1FC259B2"/>
    <w:rsid w:val="1FCC08B8"/>
    <w:rsid w:val="1FDA311C"/>
    <w:rsid w:val="1FDB270D"/>
    <w:rsid w:val="1FDF60CE"/>
    <w:rsid w:val="1FE66E12"/>
    <w:rsid w:val="20171E6D"/>
    <w:rsid w:val="201E69BF"/>
    <w:rsid w:val="20314DB8"/>
    <w:rsid w:val="203A7060"/>
    <w:rsid w:val="204003EE"/>
    <w:rsid w:val="20842516"/>
    <w:rsid w:val="20967111"/>
    <w:rsid w:val="20A23EF8"/>
    <w:rsid w:val="20A53B52"/>
    <w:rsid w:val="20BF5D32"/>
    <w:rsid w:val="20EC6516"/>
    <w:rsid w:val="21004CF1"/>
    <w:rsid w:val="21027B17"/>
    <w:rsid w:val="212F12B7"/>
    <w:rsid w:val="213B777C"/>
    <w:rsid w:val="21435480"/>
    <w:rsid w:val="215055AD"/>
    <w:rsid w:val="21687550"/>
    <w:rsid w:val="21933359"/>
    <w:rsid w:val="21973655"/>
    <w:rsid w:val="219C0726"/>
    <w:rsid w:val="21A93B8B"/>
    <w:rsid w:val="21B55CBC"/>
    <w:rsid w:val="21C43FED"/>
    <w:rsid w:val="21C44A9A"/>
    <w:rsid w:val="21C94B9E"/>
    <w:rsid w:val="21FD28C7"/>
    <w:rsid w:val="22170F01"/>
    <w:rsid w:val="221D7250"/>
    <w:rsid w:val="22287EE1"/>
    <w:rsid w:val="22367D9B"/>
    <w:rsid w:val="22384494"/>
    <w:rsid w:val="224066EE"/>
    <w:rsid w:val="2246242A"/>
    <w:rsid w:val="224728FC"/>
    <w:rsid w:val="224D6E9C"/>
    <w:rsid w:val="22600BBA"/>
    <w:rsid w:val="226A3526"/>
    <w:rsid w:val="22803FF7"/>
    <w:rsid w:val="2283559E"/>
    <w:rsid w:val="228431E3"/>
    <w:rsid w:val="22A52387"/>
    <w:rsid w:val="22C720C9"/>
    <w:rsid w:val="22D46963"/>
    <w:rsid w:val="22D96A70"/>
    <w:rsid w:val="22E53CCF"/>
    <w:rsid w:val="22EF1233"/>
    <w:rsid w:val="22FB6DF0"/>
    <w:rsid w:val="23003FCE"/>
    <w:rsid w:val="230063E4"/>
    <w:rsid w:val="23076924"/>
    <w:rsid w:val="230F4BEA"/>
    <w:rsid w:val="233B098C"/>
    <w:rsid w:val="23407BFA"/>
    <w:rsid w:val="23437A21"/>
    <w:rsid w:val="23692F0B"/>
    <w:rsid w:val="23734838"/>
    <w:rsid w:val="238958E8"/>
    <w:rsid w:val="238A6CDB"/>
    <w:rsid w:val="239F0C6D"/>
    <w:rsid w:val="23DE11BC"/>
    <w:rsid w:val="23E869F5"/>
    <w:rsid w:val="23EE5077"/>
    <w:rsid w:val="23F656C6"/>
    <w:rsid w:val="24020325"/>
    <w:rsid w:val="241F47C9"/>
    <w:rsid w:val="242136B1"/>
    <w:rsid w:val="24240DD8"/>
    <w:rsid w:val="242B499B"/>
    <w:rsid w:val="247F1E78"/>
    <w:rsid w:val="249E3A33"/>
    <w:rsid w:val="24C12F11"/>
    <w:rsid w:val="24D670B1"/>
    <w:rsid w:val="24DE6E61"/>
    <w:rsid w:val="24E05401"/>
    <w:rsid w:val="24FC2FD1"/>
    <w:rsid w:val="25094EEA"/>
    <w:rsid w:val="250F2399"/>
    <w:rsid w:val="253C1EB0"/>
    <w:rsid w:val="25530DB5"/>
    <w:rsid w:val="25625701"/>
    <w:rsid w:val="2566749F"/>
    <w:rsid w:val="25707B5F"/>
    <w:rsid w:val="257A4EF2"/>
    <w:rsid w:val="258F50F8"/>
    <w:rsid w:val="25A3262E"/>
    <w:rsid w:val="25A33F72"/>
    <w:rsid w:val="2617656A"/>
    <w:rsid w:val="26240CAC"/>
    <w:rsid w:val="264019D3"/>
    <w:rsid w:val="26604FBA"/>
    <w:rsid w:val="267A4E39"/>
    <w:rsid w:val="267D6D11"/>
    <w:rsid w:val="268658F9"/>
    <w:rsid w:val="26A72127"/>
    <w:rsid w:val="26C51275"/>
    <w:rsid w:val="26EE228E"/>
    <w:rsid w:val="26FE2633"/>
    <w:rsid w:val="27155488"/>
    <w:rsid w:val="274536E8"/>
    <w:rsid w:val="27580AE3"/>
    <w:rsid w:val="27582C69"/>
    <w:rsid w:val="27611BB9"/>
    <w:rsid w:val="278F0711"/>
    <w:rsid w:val="27B2762B"/>
    <w:rsid w:val="27BB0676"/>
    <w:rsid w:val="27E50F61"/>
    <w:rsid w:val="280A7889"/>
    <w:rsid w:val="280B2A9B"/>
    <w:rsid w:val="28231FCF"/>
    <w:rsid w:val="283954A6"/>
    <w:rsid w:val="28592142"/>
    <w:rsid w:val="285B1D54"/>
    <w:rsid w:val="28653E6D"/>
    <w:rsid w:val="28712713"/>
    <w:rsid w:val="28762F88"/>
    <w:rsid w:val="287A0F28"/>
    <w:rsid w:val="289B7DF3"/>
    <w:rsid w:val="28B53D11"/>
    <w:rsid w:val="28CC46EC"/>
    <w:rsid w:val="28CD03DC"/>
    <w:rsid w:val="28D5685E"/>
    <w:rsid w:val="28DA0E76"/>
    <w:rsid w:val="29084C4E"/>
    <w:rsid w:val="291B6C85"/>
    <w:rsid w:val="29216005"/>
    <w:rsid w:val="292A6CA9"/>
    <w:rsid w:val="296255CE"/>
    <w:rsid w:val="296D0493"/>
    <w:rsid w:val="29712D4D"/>
    <w:rsid w:val="2994244C"/>
    <w:rsid w:val="29A70FFE"/>
    <w:rsid w:val="29B04C9E"/>
    <w:rsid w:val="29BB2683"/>
    <w:rsid w:val="29C02C7B"/>
    <w:rsid w:val="29C2601B"/>
    <w:rsid w:val="29D20B89"/>
    <w:rsid w:val="29E7300B"/>
    <w:rsid w:val="29E82DD0"/>
    <w:rsid w:val="2A145639"/>
    <w:rsid w:val="2A16535E"/>
    <w:rsid w:val="2A1C19A8"/>
    <w:rsid w:val="2A3150D4"/>
    <w:rsid w:val="2A3467F9"/>
    <w:rsid w:val="2A4A5BF2"/>
    <w:rsid w:val="2A4B6B53"/>
    <w:rsid w:val="2A5674DB"/>
    <w:rsid w:val="2A5E7C8D"/>
    <w:rsid w:val="2A6B2467"/>
    <w:rsid w:val="2AA0437D"/>
    <w:rsid w:val="2ACB5605"/>
    <w:rsid w:val="2AD527E1"/>
    <w:rsid w:val="2ADA0B26"/>
    <w:rsid w:val="2AF60368"/>
    <w:rsid w:val="2B1B774C"/>
    <w:rsid w:val="2B201287"/>
    <w:rsid w:val="2B45448D"/>
    <w:rsid w:val="2B54326F"/>
    <w:rsid w:val="2B602728"/>
    <w:rsid w:val="2B652AFB"/>
    <w:rsid w:val="2BBC264C"/>
    <w:rsid w:val="2BD85980"/>
    <w:rsid w:val="2BE66724"/>
    <w:rsid w:val="2BF13CCD"/>
    <w:rsid w:val="2C0476F3"/>
    <w:rsid w:val="2C185D1E"/>
    <w:rsid w:val="2C201236"/>
    <w:rsid w:val="2C25443C"/>
    <w:rsid w:val="2C3B0BF2"/>
    <w:rsid w:val="2C433ED3"/>
    <w:rsid w:val="2C6A44EB"/>
    <w:rsid w:val="2C821EA0"/>
    <w:rsid w:val="2C83765D"/>
    <w:rsid w:val="2C8858EA"/>
    <w:rsid w:val="2C891D4D"/>
    <w:rsid w:val="2C9A2C90"/>
    <w:rsid w:val="2CBA6E2E"/>
    <w:rsid w:val="2CC87ADC"/>
    <w:rsid w:val="2CD27112"/>
    <w:rsid w:val="2CEB3059"/>
    <w:rsid w:val="2D10436D"/>
    <w:rsid w:val="2D256324"/>
    <w:rsid w:val="2D2D0F5E"/>
    <w:rsid w:val="2D2E66DA"/>
    <w:rsid w:val="2D821F77"/>
    <w:rsid w:val="2D913257"/>
    <w:rsid w:val="2DBF1A6B"/>
    <w:rsid w:val="2DE338CC"/>
    <w:rsid w:val="2DE624FF"/>
    <w:rsid w:val="2DE85F3D"/>
    <w:rsid w:val="2DFC6F43"/>
    <w:rsid w:val="2E022D28"/>
    <w:rsid w:val="2E034457"/>
    <w:rsid w:val="2E1916CA"/>
    <w:rsid w:val="2E1C251D"/>
    <w:rsid w:val="2E3D25B5"/>
    <w:rsid w:val="2E877ECC"/>
    <w:rsid w:val="2E8B785E"/>
    <w:rsid w:val="2EB956D9"/>
    <w:rsid w:val="2EE170EC"/>
    <w:rsid w:val="2F03665B"/>
    <w:rsid w:val="2F064759"/>
    <w:rsid w:val="2F1E2053"/>
    <w:rsid w:val="2F2C64BB"/>
    <w:rsid w:val="2F3D4491"/>
    <w:rsid w:val="2F3F336C"/>
    <w:rsid w:val="2F524B52"/>
    <w:rsid w:val="2F562365"/>
    <w:rsid w:val="2F7378EA"/>
    <w:rsid w:val="2F747AFD"/>
    <w:rsid w:val="2F791EA4"/>
    <w:rsid w:val="2F794495"/>
    <w:rsid w:val="2F870DE9"/>
    <w:rsid w:val="2F8C7F91"/>
    <w:rsid w:val="2F8E7A43"/>
    <w:rsid w:val="2FA627E5"/>
    <w:rsid w:val="2FAB0091"/>
    <w:rsid w:val="2FB02651"/>
    <w:rsid w:val="2FD0626A"/>
    <w:rsid w:val="2FD0776E"/>
    <w:rsid w:val="30021BC6"/>
    <w:rsid w:val="30037C5E"/>
    <w:rsid w:val="3008406D"/>
    <w:rsid w:val="300C5C28"/>
    <w:rsid w:val="30281C88"/>
    <w:rsid w:val="303C7E18"/>
    <w:rsid w:val="30523F9C"/>
    <w:rsid w:val="305831B3"/>
    <w:rsid w:val="305F00AC"/>
    <w:rsid w:val="307C7F3B"/>
    <w:rsid w:val="308E2772"/>
    <w:rsid w:val="308E60BC"/>
    <w:rsid w:val="309775A2"/>
    <w:rsid w:val="30C4238F"/>
    <w:rsid w:val="30CD3306"/>
    <w:rsid w:val="30CD7274"/>
    <w:rsid w:val="30DD4D3A"/>
    <w:rsid w:val="30EB29D5"/>
    <w:rsid w:val="30F2156E"/>
    <w:rsid w:val="30F2365A"/>
    <w:rsid w:val="310D191F"/>
    <w:rsid w:val="315D24D3"/>
    <w:rsid w:val="316A1916"/>
    <w:rsid w:val="316A68DC"/>
    <w:rsid w:val="318F47DD"/>
    <w:rsid w:val="31931A8B"/>
    <w:rsid w:val="31A056A8"/>
    <w:rsid w:val="31A94E26"/>
    <w:rsid w:val="31B14B75"/>
    <w:rsid w:val="31BF1BBC"/>
    <w:rsid w:val="31CC790D"/>
    <w:rsid w:val="31CE6468"/>
    <w:rsid w:val="31D44C14"/>
    <w:rsid w:val="31FB4DB0"/>
    <w:rsid w:val="32004C6A"/>
    <w:rsid w:val="320B5AAA"/>
    <w:rsid w:val="3219118C"/>
    <w:rsid w:val="32700042"/>
    <w:rsid w:val="327C24B7"/>
    <w:rsid w:val="327E5810"/>
    <w:rsid w:val="329201E7"/>
    <w:rsid w:val="329E3B1B"/>
    <w:rsid w:val="32C842E7"/>
    <w:rsid w:val="32E508F8"/>
    <w:rsid w:val="330B6879"/>
    <w:rsid w:val="333A12CE"/>
    <w:rsid w:val="33486645"/>
    <w:rsid w:val="33514428"/>
    <w:rsid w:val="336C6DF0"/>
    <w:rsid w:val="337023A8"/>
    <w:rsid w:val="337D1847"/>
    <w:rsid w:val="338D3C76"/>
    <w:rsid w:val="339E5CE7"/>
    <w:rsid w:val="33B07284"/>
    <w:rsid w:val="33B146B9"/>
    <w:rsid w:val="33BD2FF0"/>
    <w:rsid w:val="33D54D6B"/>
    <w:rsid w:val="33DE0A83"/>
    <w:rsid w:val="33F127B9"/>
    <w:rsid w:val="34412A22"/>
    <w:rsid w:val="345D1478"/>
    <w:rsid w:val="346C040E"/>
    <w:rsid w:val="34962E8A"/>
    <w:rsid w:val="34AA3DBE"/>
    <w:rsid w:val="34C37ADD"/>
    <w:rsid w:val="34E03E14"/>
    <w:rsid w:val="35177A59"/>
    <w:rsid w:val="35641BB5"/>
    <w:rsid w:val="359209E7"/>
    <w:rsid w:val="35992A45"/>
    <w:rsid w:val="35B533D9"/>
    <w:rsid w:val="35CA15CD"/>
    <w:rsid w:val="35CC1AA1"/>
    <w:rsid w:val="35D636F2"/>
    <w:rsid w:val="35D817EB"/>
    <w:rsid w:val="35E44EC5"/>
    <w:rsid w:val="35F25245"/>
    <w:rsid w:val="35FC30A9"/>
    <w:rsid w:val="360047FE"/>
    <w:rsid w:val="36055FB1"/>
    <w:rsid w:val="361C5A71"/>
    <w:rsid w:val="362A3D60"/>
    <w:rsid w:val="36384BCD"/>
    <w:rsid w:val="363C2568"/>
    <w:rsid w:val="36797FB1"/>
    <w:rsid w:val="36851FD8"/>
    <w:rsid w:val="36A550F5"/>
    <w:rsid w:val="36AB764B"/>
    <w:rsid w:val="36B60B47"/>
    <w:rsid w:val="36BD3188"/>
    <w:rsid w:val="36C37594"/>
    <w:rsid w:val="36C61453"/>
    <w:rsid w:val="36EB31E5"/>
    <w:rsid w:val="36F54A05"/>
    <w:rsid w:val="370D51A2"/>
    <w:rsid w:val="37455DB4"/>
    <w:rsid w:val="377759CE"/>
    <w:rsid w:val="37AC1D15"/>
    <w:rsid w:val="37E26E2D"/>
    <w:rsid w:val="37E77414"/>
    <w:rsid w:val="37F80B9E"/>
    <w:rsid w:val="37FE1F2D"/>
    <w:rsid w:val="380621C4"/>
    <w:rsid w:val="380E1298"/>
    <w:rsid w:val="38143F57"/>
    <w:rsid w:val="38167DC6"/>
    <w:rsid w:val="38196C5B"/>
    <w:rsid w:val="381D2C53"/>
    <w:rsid w:val="38224A48"/>
    <w:rsid w:val="385942CD"/>
    <w:rsid w:val="386009D3"/>
    <w:rsid w:val="387A046B"/>
    <w:rsid w:val="387B1D15"/>
    <w:rsid w:val="38954652"/>
    <w:rsid w:val="38A65030"/>
    <w:rsid w:val="38B844F1"/>
    <w:rsid w:val="38E9431D"/>
    <w:rsid w:val="38F434C6"/>
    <w:rsid w:val="391B523E"/>
    <w:rsid w:val="392C4705"/>
    <w:rsid w:val="39324EE5"/>
    <w:rsid w:val="39400402"/>
    <w:rsid w:val="396C0E37"/>
    <w:rsid w:val="39700DB3"/>
    <w:rsid w:val="397903CE"/>
    <w:rsid w:val="39846D8F"/>
    <w:rsid w:val="398E2EAC"/>
    <w:rsid w:val="39A219E4"/>
    <w:rsid w:val="39AB14EF"/>
    <w:rsid w:val="39AD562B"/>
    <w:rsid w:val="39B91DF6"/>
    <w:rsid w:val="39C62547"/>
    <w:rsid w:val="39CE5FDA"/>
    <w:rsid w:val="39DC2335"/>
    <w:rsid w:val="39DD784E"/>
    <w:rsid w:val="39E77855"/>
    <w:rsid w:val="39E87BAB"/>
    <w:rsid w:val="39FE7F89"/>
    <w:rsid w:val="3A0A12D0"/>
    <w:rsid w:val="3A3E3B9D"/>
    <w:rsid w:val="3A417ADE"/>
    <w:rsid w:val="3A45627B"/>
    <w:rsid w:val="3A4F4ABD"/>
    <w:rsid w:val="3A654AED"/>
    <w:rsid w:val="3A8D66B5"/>
    <w:rsid w:val="3A96083A"/>
    <w:rsid w:val="3AB51404"/>
    <w:rsid w:val="3ABC70E8"/>
    <w:rsid w:val="3ABD065B"/>
    <w:rsid w:val="3AC43CCE"/>
    <w:rsid w:val="3AEA190E"/>
    <w:rsid w:val="3B277F0B"/>
    <w:rsid w:val="3B283334"/>
    <w:rsid w:val="3B3059A7"/>
    <w:rsid w:val="3B3626E2"/>
    <w:rsid w:val="3B4029C5"/>
    <w:rsid w:val="3B482C59"/>
    <w:rsid w:val="3B6916E7"/>
    <w:rsid w:val="3B7E4B1C"/>
    <w:rsid w:val="3B9417D4"/>
    <w:rsid w:val="3BDC7693"/>
    <w:rsid w:val="3C012D96"/>
    <w:rsid w:val="3C017AD2"/>
    <w:rsid w:val="3C4A5B3D"/>
    <w:rsid w:val="3C5E2CBC"/>
    <w:rsid w:val="3C766C4A"/>
    <w:rsid w:val="3C886B84"/>
    <w:rsid w:val="3C8A59FC"/>
    <w:rsid w:val="3C91654D"/>
    <w:rsid w:val="3C9D6B76"/>
    <w:rsid w:val="3CA2375F"/>
    <w:rsid w:val="3CA7040E"/>
    <w:rsid w:val="3CAE224A"/>
    <w:rsid w:val="3CBD713E"/>
    <w:rsid w:val="3CBF18FA"/>
    <w:rsid w:val="3CC47D26"/>
    <w:rsid w:val="3CE96022"/>
    <w:rsid w:val="3CED4ADC"/>
    <w:rsid w:val="3D0F03D2"/>
    <w:rsid w:val="3D2F5EF6"/>
    <w:rsid w:val="3D387B23"/>
    <w:rsid w:val="3D742F6D"/>
    <w:rsid w:val="3D806E0C"/>
    <w:rsid w:val="3D8C3FC8"/>
    <w:rsid w:val="3DAB6C41"/>
    <w:rsid w:val="3DB137B9"/>
    <w:rsid w:val="3DB84E4A"/>
    <w:rsid w:val="3DBD6843"/>
    <w:rsid w:val="3DCE3D85"/>
    <w:rsid w:val="3DD81EAA"/>
    <w:rsid w:val="3DE44B52"/>
    <w:rsid w:val="3DFE2BC6"/>
    <w:rsid w:val="3E525FE3"/>
    <w:rsid w:val="3E5D579C"/>
    <w:rsid w:val="3E667C11"/>
    <w:rsid w:val="3E796F0E"/>
    <w:rsid w:val="3E7B518A"/>
    <w:rsid w:val="3E7D4A2F"/>
    <w:rsid w:val="3E953BBE"/>
    <w:rsid w:val="3EA175F6"/>
    <w:rsid w:val="3EEB7BA0"/>
    <w:rsid w:val="3F1D5506"/>
    <w:rsid w:val="3F275E94"/>
    <w:rsid w:val="3F276500"/>
    <w:rsid w:val="3F403800"/>
    <w:rsid w:val="3F507C3F"/>
    <w:rsid w:val="3F611298"/>
    <w:rsid w:val="3F736E4F"/>
    <w:rsid w:val="3F834631"/>
    <w:rsid w:val="3F877DF4"/>
    <w:rsid w:val="3F8F6877"/>
    <w:rsid w:val="3FB67CA5"/>
    <w:rsid w:val="3FC37C2B"/>
    <w:rsid w:val="3FC47E1C"/>
    <w:rsid w:val="3FC61A01"/>
    <w:rsid w:val="3FCD2772"/>
    <w:rsid w:val="3FD234C3"/>
    <w:rsid w:val="3FDF5763"/>
    <w:rsid w:val="3FEA7238"/>
    <w:rsid w:val="3FF06EC6"/>
    <w:rsid w:val="40033FBB"/>
    <w:rsid w:val="4009208E"/>
    <w:rsid w:val="4012215F"/>
    <w:rsid w:val="401509B1"/>
    <w:rsid w:val="40242196"/>
    <w:rsid w:val="40254D96"/>
    <w:rsid w:val="40262007"/>
    <w:rsid w:val="402654D1"/>
    <w:rsid w:val="402C1772"/>
    <w:rsid w:val="40530F4D"/>
    <w:rsid w:val="406B1C07"/>
    <w:rsid w:val="406C6889"/>
    <w:rsid w:val="407F405E"/>
    <w:rsid w:val="408A367B"/>
    <w:rsid w:val="40BB15D8"/>
    <w:rsid w:val="40C549BB"/>
    <w:rsid w:val="40D32DA4"/>
    <w:rsid w:val="40DE04C9"/>
    <w:rsid w:val="40E2188C"/>
    <w:rsid w:val="40E56856"/>
    <w:rsid w:val="40E816EB"/>
    <w:rsid w:val="40E9493C"/>
    <w:rsid w:val="40F03E5A"/>
    <w:rsid w:val="40F845A5"/>
    <w:rsid w:val="40FE46F1"/>
    <w:rsid w:val="41000653"/>
    <w:rsid w:val="413C0F65"/>
    <w:rsid w:val="4152466D"/>
    <w:rsid w:val="41A00601"/>
    <w:rsid w:val="41BD57C6"/>
    <w:rsid w:val="41C418FC"/>
    <w:rsid w:val="41CA5FB4"/>
    <w:rsid w:val="41E00C05"/>
    <w:rsid w:val="41F255B4"/>
    <w:rsid w:val="421E79DA"/>
    <w:rsid w:val="422F2A9C"/>
    <w:rsid w:val="42363934"/>
    <w:rsid w:val="424234C2"/>
    <w:rsid w:val="4242722A"/>
    <w:rsid w:val="424930E8"/>
    <w:rsid w:val="425344D0"/>
    <w:rsid w:val="429D4C2E"/>
    <w:rsid w:val="429F3F44"/>
    <w:rsid w:val="42A359F3"/>
    <w:rsid w:val="42B47514"/>
    <w:rsid w:val="42C91773"/>
    <w:rsid w:val="42D371BF"/>
    <w:rsid w:val="42D445AC"/>
    <w:rsid w:val="42E4409A"/>
    <w:rsid w:val="42F54F56"/>
    <w:rsid w:val="433C2A6F"/>
    <w:rsid w:val="433E3105"/>
    <w:rsid w:val="436D39B0"/>
    <w:rsid w:val="4371495B"/>
    <w:rsid w:val="43744352"/>
    <w:rsid w:val="43961FD1"/>
    <w:rsid w:val="439828B6"/>
    <w:rsid w:val="43BD665C"/>
    <w:rsid w:val="43C05209"/>
    <w:rsid w:val="43CC3C1A"/>
    <w:rsid w:val="43E535E6"/>
    <w:rsid w:val="43F01856"/>
    <w:rsid w:val="43F3636F"/>
    <w:rsid w:val="4423449B"/>
    <w:rsid w:val="443F77EC"/>
    <w:rsid w:val="447643D3"/>
    <w:rsid w:val="447C5351"/>
    <w:rsid w:val="44C47082"/>
    <w:rsid w:val="44C5101C"/>
    <w:rsid w:val="44C5643F"/>
    <w:rsid w:val="44EF06C9"/>
    <w:rsid w:val="451D694D"/>
    <w:rsid w:val="4577230A"/>
    <w:rsid w:val="45780834"/>
    <w:rsid w:val="457F7F19"/>
    <w:rsid w:val="45AA4758"/>
    <w:rsid w:val="45B30F73"/>
    <w:rsid w:val="45CC7DEE"/>
    <w:rsid w:val="45DE7CC1"/>
    <w:rsid w:val="45E543EC"/>
    <w:rsid w:val="45F5335B"/>
    <w:rsid w:val="45F83DCD"/>
    <w:rsid w:val="46036312"/>
    <w:rsid w:val="460860D3"/>
    <w:rsid w:val="460A170F"/>
    <w:rsid w:val="460D74FE"/>
    <w:rsid w:val="461D51F4"/>
    <w:rsid w:val="46330218"/>
    <w:rsid w:val="46396463"/>
    <w:rsid w:val="46401654"/>
    <w:rsid w:val="46535D5D"/>
    <w:rsid w:val="466E739A"/>
    <w:rsid w:val="46725EC4"/>
    <w:rsid w:val="46736A75"/>
    <w:rsid w:val="468836DF"/>
    <w:rsid w:val="46C8072C"/>
    <w:rsid w:val="46CB459D"/>
    <w:rsid w:val="46EF44CB"/>
    <w:rsid w:val="46F00731"/>
    <w:rsid w:val="46F37562"/>
    <w:rsid w:val="46F668A2"/>
    <w:rsid w:val="473F237E"/>
    <w:rsid w:val="474F6E21"/>
    <w:rsid w:val="477B4524"/>
    <w:rsid w:val="477F0FC9"/>
    <w:rsid w:val="479A5AC7"/>
    <w:rsid w:val="47A75A16"/>
    <w:rsid w:val="47DD4403"/>
    <w:rsid w:val="47E06A14"/>
    <w:rsid w:val="47EB0F4F"/>
    <w:rsid w:val="47EE2524"/>
    <w:rsid w:val="47F07E68"/>
    <w:rsid w:val="48413906"/>
    <w:rsid w:val="48491A2F"/>
    <w:rsid w:val="484A0689"/>
    <w:rsid w:val="484E19F1"/>
    <w:rsid w:val="48543EB6"/>
    <w:rsid w:val="4864565D"/>
    <w:rsid w:val="487A481A"/>
    <w:rsid w:val="487F372B"/>
    <w:rsid w:val="48931A04"/>
    <w:rsid w:val="48A5503E"/>
    <w:rsid w:val="48AD79D7"/>
    <w:rsid w:val="48D62F99"/>
    <w:rsid w:val="48EC6B26"/>
    <w:rsid w:val="49087DB8"/>
    <w:rsid w:val="494211BC"/>
    <w:rsid w:val="4967768A"/>
    <w:rsid w:val="49717B81"/>
    <w:rsid w:val="49A2565E"/>
    <w:rsid w:val="49A9606C"/>
    <w:rsid w:val="49C67E6A"/>
    <w:rsid w:val="49E17DB8"/>
    <w:rsid w:val="49FF0BE0"/>
    <w:rsid w:val="4A076F40"/>
    <w:rsid w:val="4A182780"/>
    <w:rsid w:val="4A1F1F92"/>
    <w:rsid w:val="4A2467AB"/>
    <w:rsid w:val="4A280BD6"/>
    <w:rsid w:val="4A3635F2"/>
    <w:rsid w:val="4A4300BE"/>
    <w:rsid w:val="4A65112C"/>
    <w:rsid w:val="4A6C4B5D"/>
    <w:rsid w:val="4A874EEF"/>
    <w:rsid w:val="4AA94EEB"/>
    <w:rsid w:val="4ABB2EEE"/>
    <w:rsid w:val="4ACB63F7"/>
    <w:rsid w:val="4B1C7158"/>
    <w:rsid w:val="4B1F6747"/>
    <w:rsid w:val="4B336612"/>
    <w:rsid w:val="4B3F519D"/>
    <w:rsid w:val="4B521EFF"/>
    <w:rsid w:val="4B5668F5"/>
    <w:rsid w:val="4B5B43BD"/>
    <w:rsid w:val="4B97319A"/>
    <w:rsid w:val="4BB549DB"/>
    <w:rsid w:val="4BBF371C"/>
    <w:rsid w:val="4BCD4B77"/>
    <w:rsid w:val="4BF54451"/>
    <w:rsid w:val="4BFF76AD"/>
    <w:rsid w:val="4C054C90"/>
    <w:rsid w:val="4C1034DC"/>
    <w:rsid w:val="4C241902"/>
    <w:rsid w:val="4C2B2CA3"/>
    <w:rsid w:val="4C336B61"/>
    <w:rsid w:val="4C3937ED"/>
    <w:rsid w:val="4C3D14FF"/>
    <w:rsid w:val="4C5E6BD9"/>
    <w:rsid w:val="4C690A8F"/>
    <w:rsid w:val="4C7A7CF0"/>
    <w:rsid w:val="4CB24EF5"/>
    <w:rsid w:val="4CB836A9"/>
    <w:rsid w:val="4CC833EA"/>
    <w:rsid w:val="4CCA0089"/>
    <w:rsid w:val="4CCD7FCE"/>
    <w:rsid w:val="4CDD678F"/>
    <w:rsid w:val="4D2A577E"/>
    <w:rsid w:val="4D3E2016"/>
    <w:rsid w:val="4D7E6803"/>
    <w:rsid w:val="4DB22585"/>
    <w:rsid w:val="4DB43E25"/>
    <w:rsid w:val="4DC61923"/>
    <w:rsid w:val="4DD42BAE"/>
    <w:rsid w:val="4DE52F66"/>
    <w:rsid w:val="4DF55C2F"/>
    <w:rsid w:val="4DF8233A"/>
    <w:rsid w:val="4E191ABE"/>
    <w:rsid w:val="4E2C61C0"/>
    <w:rsid w:val="4E2D6727"/>
    <w:rsid w:val="4E3C758C"/>
    <w:rsid w:val="4E5A160F"/>
    <w:rsid w:val="4E675EFE"/>
    <w:rsid w:val="4E6F51E8"/>
    <w:rsid w:val="4E9C42CB"/>
    <w:rsid w:val="4EDB404B"/>
    <w:rsid w:val="4F175C22"/>
    <w:rsid w:val="4F2A337B"/>
    <w:rsid w:val="4F3032BD"/>
    <w:rsid w:val="4F465D87"/>
    <w:rsid w:val="4F791EF0"/>
    <w:rsid w:val="4F8B3862"/>
    <w:rsid w:val="4F8B3A1F"/>
    <w:rsid w:val="4FA950A9"/>
    <w:rsid w:val="4FAC23A6"/>
    <w:rsid w:val="4FAC4770"/>
    <w:rsid w:val="4FD957C9"/>
    <w:rsid w:val="4FF76456"/>
    <w:rsid w:val="4FF80340"/>
    <w:rsid w:val="50033D1B"/>
    <w:rsid w:val="50175272"/>
    <w:rsid w:val="502447EA"/>
    <w:rsid w:val="50475BB8"/>
    <w:rsid w:val="50636EE0"/>
    <w:rsid w:val="506909E9"/>
    <w:rsid w:val="506F6642"/>
    <w:rsid w:val="507908E0"/>
    <w:rsid w:val="50866DD1"/>
    <w:rsid w:val="508B57E2"/>
    <w:rsid w:val="508D1B37"/>
    <w:rsid w:val="50A37A46"/>
    <w:rsid w:val="50B1022F"/>
    <w:rsid w:val="50B305E7"/>
    <w:rsid w:val="50B360C4"/>
    <w:rsid w:val="50BF5D3D"/>
    <w:rsid w:val="50C82E97"/>
    <w:rsid w:val="50D714B1"/>
    <w:rsid w:val="50DB2EA1"/>
    <w:rsid w:val="51190BDA"/>
    <w:rsid w:val="511B0CAD"/>
    <w:rsid w:val="511B76B0"/>
    <w:rsid w:val="512347EC"/>
    <w:rsid w:val="51433189"/>
    <w:rsid w:val="517C4349"/>
    <w:rsid w:val="51A31A88"/>
    <w:rsid w:val="51B06298"/>
    <w:rsid w:val="51CA3927"/>
    <w:rsid w:val="51DD29DF"/>
    <w:rsid w:val="51DE45E9"/>
    <w:rsid w:val="51E44E87"/>
    <w:rsid w:val="51F04A52"/>
    <w:rsid w:val="52294C87"/>
    <w:rsid w:val="52335D23"/>
    <w:rsid w:val="52435DB8"/>
    <w:rsid w:val="524B2B4E"/>
    <w:rsid w:val="52580844"/>
    <w:rsid w:val="5262763F"/>
    <w:rsid w:val="52895162"/>
    <w:rsid w:val="528D6E8D"/>
    <w:rsid w:val="529419DE"/>
    <w:rsid w:val="52C06FA9"/>
    <w:rsid w:val="52C47457"/>
    <w:rsid w:val="52CC1813"/>
    <w:rsid w:val="52E108A3"/>
    <w:rsid w:val="52F079CE"/>
    <w:rsid w:val="530C2F20"/>
    <w:rsid w:val="530F04DD"/>
    <w:rsid w:val="532B2C24"/>
    <w:rsid w:val="534524D8"/>
    <w:rsid w:val="534E1C07"/>
    <w:rsid w:val="535717EC"/>
    <w:rsid w:val="536A274F"/>
    <w:rsid w:val="5388056C"/>
    <w:rsid w:val="539C4563"/>
    <w:rsid w:val="53A953A2"/>
    <w:rsid w:val="53BB08EB"/>
    <w:rsid w:val="53C9226A"/>
    <w:rsid w:val="53E056AD"/>
    <w:rsid w:val="53E726A2"/>
    <w:rsid w:val="53EA36E6"/>
    <w:rsid w:val="53F8732E"/>
    <w:rsid w:val="54031EFA"/>
    <w:rsid w:val="540540C1"/>
    <w:rsid w:val="54175527"/>
    <w:rsid w:val="542E18ED"/>
    <w:rsid w:val="54676874"/>
    <w:rsid w:val="548C2946"/>
    <w:rsid w:val="54A35A06"/>
    <w:rsid w:val="54CE3E73"/>
    <w:rsid w:val="54DC2048"/>
    <w:rsid w:val="54E87AB4"/>
    <w:rsid w:val="54FD1C91"/>
    <w:rsid w:val="551E5893"/>
    <w:rsid w:val="55285EC2"/>
    <w:rsid w:val="553D0DE7"/>
    <w:rsid w:val="554D57A4"/>
    <w:rsid w:val="555439A4"/>
    <w:rsid w:val="556670FE"/>
    <w:rsid w:val="557000CE"/>
    <w:rsid w:val="557F50D4"/>
    <w:rsid w:val="558B00FF"/>
    <w:rsid w:val="559416A4"/>
    <w:rsid w:val="55955724"/>
    <w:rsid w:val="55AF6FB5"/>
    <w:rsid w:val="55E57830"/>
    <w:rsid w:val="55F075AE"/>
    <w:rsid w:val="55F77758"/>
    <w:rsid w:val="55FF2500"/>
    <w:rsid w:val="56056D44"/>
    <w:rsid w:val="560931A2"/>
    <w:rsid w:val="56103D27"/>
    <w:rsid w:val="56690C58"/>
    <w:rsid w:val="56915E41"/>
    <w:rsid w:val="56AB6B78"/>
    <w:rsid w:val="56D54DC6"/>
    <w:rsid w:val="56DE06FC"/>
    <w:rsid w:val="56E332B4"/>
    <w:rsid w:val="56E53F51"/>
    <w:rsid w:val="56E667D4"/>
    <w:rsid w:val="57021403"/>
    <w:rsid w:val="570C5B60"/>
    <w:rsid w:val="57446A59"/>
    <w:rsid w:val="574A6D42"/>
    <w:rsid w:val="57557079"/>
    <w:rsid w:val="57634A5E"/>
    <w:rsid w:val="57687CF7"/>
    <w:rsid w:val="576C0842"/>
    <w:rsid w:val="576D1160"/>
    <w:rsid w:val="578C4F33"/>
    <w:rsid w:val="579F30E8"/>
    <w:rsid w:val="57A86667"/>
    <w:rsid w:val="57AE050E"/>
    <w:rsid w:val="57D071DB"/>
    <w:rsid w:val="57EE6D7C"/>
    <w:rsid w:val="57FE6434"/>
    <w:rsid w:val="582428ED"/>
    <w:rsid w:val="587048D7"/>
    <w:rsid w:val="58863B46"/>
    <w:rsid w:val="58A94ACC"/>
    <w:rsid w:val="58CD4EA6"/>
    <w:rsid w:val="58D769ED"/>
    <w:rsid w:val="58F819AD"/>
    <w:rsid w:val="5900585C"/>
    <w:rsid w:val="590C6A2D"/>
    <w:rsid w:val="590D25AC"/>
    <w:rsid w:val="590E0CCE"/>
    <w:rsid w:val="59297469"/>
    <w:rsid w:val="59646882"/>
    <w:rsid w:val="59A04B46"/>
    <w:rsid w:val="59A0575F"/>
    <w:rsid w:val="59AA5069"/>
    <w:rsid w:val="59B75022"/>
    <w:rsid w:val="59BE2AAB"/>
    <w:rsid w:val="59CA7788"/>
    <w:rsid w:val="59EF165C"/>
    <w:rsid w:val="5A1D3AEC"/>
    <w:rsid w:val="5A1F6E63"/>
    <w:rsid w:val="5A343BFE"/>
    <w:rsid w:val="5A3F30D4"/>
    <w:rsid w:val="5A4025C5"/>
    <w:rsid w:val="5A513AB6"/>
    <w:rsid w:val="5A564C6A"/>
    <w:rsid w:val="5A851741"/>
    <w:rsid w:val="5A937A86"/>
    <w:rsid w:val="5AAA324E"/>
    <w:rsid w:val="5AB4055B"/>
    <w:rsid w:val="5ABE3241"/>
    <w:rsid w:val="5AC718DC"/>
    <w:rsid w:val="5AC7197A"/>
    <w:rsid w:val="5AEE4F53"/>
    <w:rsid w:val="5B126B2A"/>
    <w:rsid w:val="5B1E3CB4"/>
    <w:rsid w:val="5B2F576E"/>
    <w:rsid w:val="5B324F30"/>
    <w:rsid w:val="5B3C0C05"/>
    <w:rsid w:val="5B4E077D"/>
    <w:rsid w:val="5B5D4365"/>
    <w:rsid w:val="5B65513E"/>
    <w:rsid w:val="5B684E7E"/>
    <w:rsid w:val="5B79237C"/>
    <w:rsid w:val="5B86620B"/>
    <w:rsid w:val="5BA44930"/>
    <w:rsid w:val="5BEA2433"/>
    <w:rsid w:val="5BEB5322"/>
    <w:rsid w:val="5BFA5E49"/>
    <w:rsid w:val="5C107E05"/>
    <w:rsid w:val="5C2A2C44"/>
    <w:rsid w:val="5C3E5810"/>
    <w:rsid w:val="5C5D4F86"/>
    <w:rsid w:val="5C871B4B"/>
    <w:rsid w:val="5C962ABC"/>
    <w:rsid w:val="5C9823AD"/>
    <w:rsid w:val="5CA40149"/>
    <w:rsid w:val="5CC476D9"/>
    <w:rsid w:val="5CEC1735"/>
    <w:rsid w:val="5D085D57"/>
    <w:rsid w:val="5D33448E"/>
    <w:rsid w:val="5D610EA5"/>
    <w:rsid w:val="5D6C79CA"/>
    <w:rsid w:val="5D743EE0"/>
    <w:rsid w:val="5DC3457E"/>
    <w:rsid w:val="5DC770B7"/>
    <w:rsid w:val="5DD650F7"/>
    <w:rsid w:val="5DD94F09"/>
    <w:rsid w:val="5DDE5739"/>
    <w:rsid w:val="5DE71298"/>
    <w:rsid w:val="5DED48EB"/>
    <w:rsid w:val="5DEE04B2"/>
    <w:rsid w:val="5DF80821"/>
    <w:rsid w:val="5E0A56D8"/>
    <w:rsid w:val="5E347927"/>
    <w:rsid w:val="5E4C28B7"/>
    <w:rsid w:val="5E5F3D76"/>
    <w:rsid w:val="5E600692"/>
    <w:rsid w:val="5EA03BEC"/>
    <w:rsid w:val="5EB0200C"/>
    <w:rsid w:val="5EB0341C"/>
    <w:rsid w:val="5EB20CC5"/>
    <w:rsid w:val="5EC8508B"/>
    <w:rsid w:val="5EDF71F0"/>
    <w:rsid w:val="5F03707F"/>
    <w:rsid w:val="5F04277A"/>
    <w:rsid w:val="5F0B5F01"/>
    <w:rsid w:val="5F484C5D"/>
    <w:rsid w:val="5F4C7146"/>
    <w:rsid w:val="5F5703D0"/>
    <w:rsid w:val="5F744A37"/>
    <w:rsid w:val="5F756EC7"/>
    <w:rsid w:val="5F760C41"/>
    <w:rsid w:val="5F926432"/>
    <w:rsid w:val="5F9718B9"/>
    <w:rsid w:val="5F982C72"/>
    <w:rsid w:val="5FA95B68"/>
    <w:rsid w:val="5FC73C9C"/>
    <w:rsid w:val="5FC93789"/>
    <w:rsid w:val="5FE349BF"/>
    <w:rsid w:val="5FE84C69"/>
    <w:rsid w:val="60027111"/>
    <w:rsid w:val="600A3329"/>
    <w:rsid w:val="601C0A0E"/>
    <w:rsid w:val="601E5FC4"/>
    <w:rsid w:val="602D677B"/>
    <w:rsid w:val="603F63D3"/>
    <w:rsid w:val="60436378"/>
    <w:rsid w:val="606056AA"/>
    <w:rsid w:val="607A39F3"/>
    <w:rsid w:val="607B3812"/>
    <w:rsid w:val="60A27521"/>
    <w:rsid w:val="60B4663B"/>
    <w:rsid w:val="60C006AF"/>
    <w:rsid w:val="60D91FF3"/>
    <w:rsid w:val="60E40B5A"/>
    <w:rsid w:val="60E45CD3"/>
    <w:rsid w:val="60E50004"/>
    <w:rsid w:val="60F551F4"/>
    <w:rsid w:val="61334036"/>
    <w:rsid w:val="61334B6F"/>
    <w:rsid w:val="61370F13"/>
    <w:rsid w:val="614C1992"/>
    <w:rsid w:val="61506C46"/>
    <w:rsid w:val="61522690"/>
    <w:rsid w:val="618A60B6"/>
    <w:rsid w:val="61A21884"/>
    <w:rsid w:val="61BF7B37"/>
    <w:rsid w:val="61C24626"/>
    <w:rsid w:val="61C64D5C"/>
    <w:rsid w:val="61CA6506"/>
    <w:rsid w:val="61D144C7"/>
    <w:rsid w:val="61D618D9"/>
    <w:rsid w:val="61DE02FC"/>
    <w:rsid w:val="61E50681"/>
    <w:rsid w:val="61E633C0"/>
    <w:rsid w:val="61F84476"/>
    <w:rsid w:val="6210439F"/>
    <w:rsid w:val="6233639E"/>
    <w:rsid w:val="623E0A50"/>
    <w:rsid w:val="62404D17"/>
    <w:rsid w:val="624462B3"/>
    <w:rsid w:val="6249654A"/>
    <w:rsid w:val="625751F1"/>
    <w:rsid w:val="62706A6F"/>
    <w:rsid w:val="62760FDD"/>
    <w:rsid w:val="628047CC"/>
    <w:rsid w:val="62AD5E80"/>
    <w:rsid w:val="62B76720"/>
    <w:rsid w:val="62D33C5B"/>
    <w:rsid w:val="62DD3651"/>
    <w:rsid w:val="62E12A5B"/>
    <w:rsid w:val="63227E53"/>
    <w:rsid w:val="635907C6"/>
    <w:rsid w:val="63732E6A"/>
    <w:rsid w:val="63AC1625"/>
    <w:rsid w:val="63AE561A"/>
    <w:rsid w:val="63B86BA8"/>
    <w:rsid w:val="63D20B4B"/>
    <w:rsid w:val="63DA0A3C"/>
    <w:rsid w:val="63DE7C1A"/>
    <w:rsid w:val="63E10A10"/>
    <w:rsid w:val="63F60925"/>
    <w:rsid w:val="63FC0ADA"/>
    <w:rsid w:val="64035361"/>
    <w:rsid w:val="64084D34"/>
    <w:rsid w:val="640B2E77"/>
    <w:rsid w:val="64154867"/>
    <w:rsid w:val="641B0E4B"/>
    <w:rsid w:val="643475F3"/>
    <w:rsid w:val="64CA6C6A"/>
    <w:rsid w:val="64E77EE7"/>
    <w:rsid w:val="64EA04ED"/>
    <w:rsid w:val="650069E1"/>
    <w:rsid w:val="65054523"/>
    <w:rsid w:val="654056C3"/>
    <w:rsid w:val="654B533E"/>
    <w:rsid w:val="654E70D1"/>
    <w:rsid w:val="65950500"/>
    <w:rsid w:val="65A94931"/>
    <w:rsid w:val="65B456E9"/>
    <w:rsid w:val="65C47B38"/>
    <w:rsid w:val="65EF7ACC"/>
    <w:rsid w:val="6604646F"/>
    <w:rsid w:val="661D3988"/>
    <w:rsid w:val="6621261C"/>
    <w:rsid w:val="664159D1"/>
    <w:rsid w:val="66560D21"/>
    <w:rsid w:val="6669544F"/>
    <w:rsid w:val="66890296"/>
    <w:rsid w:val="66934885"/>
    <w:rsid w:val="66A3227F"/>
    <w:rsid w:val="66AB2789"/>
    <w:rsid w:val="66BD7644"/>
    <w:rsid w:val="66C2579A"/>
    <w:rsid w:val="66CB093C"/>
    <w:rsid w:val="66DB681B"/>
    <w:rsid w:val="66E66E0B"/>
    <w:rsid w:val="66EF357D"/>
    <w:rsid w:val="66F85008"/>
    <w:rsid w:val="67061568"/>
    <w:rsid w:val="671B1C0F"/>
    <w:rsid w:val="675D5E81"/>
    <w:rsid w:val="678108BF"/>
    <w:rsid w:val="67857DD0"/>
    <w:rsid w:val="679977B9"/>
    <w:rsid w:val="67B35C65"/>
    <w:rsid w:val="67C80AE8"/>
    <w:rsid w:val="67CC17B5"/>
    <w:rsid w:val="67F25F98"/>
    <w:rsid w:val="67FA7BBD"/>
    <w:rsid w:val="68021ADE"/>
    <w:rsid w:val="6822035F"/>
    <w:rsid w:val="68292668"/>
    <w:rsid w:val="685257B7"/>
    <w:rsid w:val="6871359C"/>
    <w:rsid w:val="68866AEE"/>
    <w:rsid w:val="6887202D"/>
    <w:rsid w:val="688D0A9E"/>
    <w:rsid w:val="688E0304"/>
    <w:rsid w:val="6891433A"/>
    <w:rsid w:val="68A80841"/>
    <w:rsid w:val="68DF236B"/>
    <w:rsid w:val="68E52134"/>
    <w:rsid w:val="68F01FDF"/>
    <w:rsid w:val="68F9535F"/>
    <w:rsid w:val="690F39BA"/>
    <w:rsid w:val="69150BE1"/>
    <w:rsid w:val="693053F0"/>
    <w:rsid w:val="694D5582"/>
    <w:rsid w:val="695824D4"/>
    <w:rsid w:val="695B115B"/>
    <w:rsid w:val="695B4E9E"/>
    <w:rsid w:val="695E7A6D"/>
    <w:rsid w:val="69854DE9"/>
    <w:rsid w:val="6994393B"/>
    <w:rsid w:val="69A7163E"/>
    <w:rsid w:val="69B5492C"/>
    <w:rsid w:val="69CA5371"/>
    <w:rsid w:val="6A0603A9"/>
    <w:rsid w:val="6A1614AD"/>
    <w:rsid w:val="6A1930CD"/>
    <w:rsid w:val="6A853D81"/>
    <w:rsid w:val="6AA2166F"/>
    <w:rsid w:val="6ABD30E7"/>
    <w:rsid w:val="6ABF11FE"/>
    <w:rsid w:val="6AC64EBE"/>
    <w:rsid w:val="6AC77D78"/>
    <w:rsid w:val="6AD2589E"/>
    <w:rsid w:val="6B0A1808"/>
    <w:rsid w:val="6B470E89"/>
    <w:rsid w:val="6B5244C2"/>
    <w:rsid w:val="6B5E74FB"/>
    <w:rsid w:val="6B7962D5"/>
    <w:rsid w:val="6B8100CA"/>
    <w:rsid w:val="6B8F4BB0"/>
    <w:rsid w:val="6B961BC0"/>
    <w:rsid w:val="6BAA78E0"/>
    <w:rsid w:val="6BFF5F3A"/>
    <w:rsid w:val="6C0F3A2A"/>
    <w:rsid w:val="6C39566F"/>
    <w:rsid w:val="6C4E3794"/>
    <w:rsid w:val="6C4F1102"/>
    <w:rsid w:val="6C557FA7"/>
    <w:rsid w:val="6C6070DB"/>
    <w:rsid w:val="6C6B75DF"/>
    <w:rsid w:val="6C6D15E0"/>
    <w:rsid w:val="6C6E4E28"/>
    <w:rsid w:val="6C7B3D1C"/>
    <w:rsid w:val="6C7C0FBC"/>
    <w:rsid w:val="6C843BDC"/>
    <w:rsid w:val="6C902A35"/>
    <w:rsid w:val="6CBA14DD"/>
    <w:rsid w:val="6CC50D31"/>
    <w:rsid w:val="6CEA2291"/>
    <w:rsid w:val="6CED5D5C"/>
    <w:rsid w:val="6CF378CA"/>
    <w:rsid w:val="6D062606"/>
    <w:rsid w:val="6D081A28"/>
    <w:rsid w:val="6D400C33"/>
    <w:rsid w:val="6D5B07D5"/>
    <w:rsid w:val="6D5F7AAE"/>
    <w:rsid w:val="6DAA3B67"/>
    <w:rsid w:val="6DB12C8D"/>
    <w:rsid w:val="6DB51845"/>
    <w:rsid w:val="6DCA325E"/>
    <w:rsid w:val="6DCF1D35"/>
    <w:rsid w:val="6DDF32FB"/>
    <w:rsid w:val="6DE04250"/>
    <w:rsid w:val="6DE30147"/>
    <w:rsid w:val="6DFA154D"/>
    <w:rsid w:val="6E030077"/>
    <w:rsid w:val="6E1168F4"/>
    <w:rsid w:val="6E164D72"/>
    <w:rsid w:val="6E171742"/>
    <w:rsid w:val="6E3A0FDB"/>
    <w:rsid w:val="6E510615"/>
    <w:rsid w:val="6E516EFC"/>
    <w:rsid w:val="6E5F70F7"/>
    <w:rsid w:val="6E69248F"/>
    <w:rsid w:val="6E7920AD"/>
    <w:rsid w:val="6E857A31"/>
    <w:rsid w:val="6E860EBC"/>
    <w:rsid w:val="6E8F3C43"/>
    <w:rsid w:val="6EA35D24"/>
    <w:rsid w:val="6EA9371B"/>
    <w:rsid w:val="6EB806A8"/>
    <w:rsid w:val="6EBD3FC4"/>
    <w:rsid w:val="6ED114E3"/>
    <w:rsid w:val="6F2260A1"/>
    <w:rsid w:val="6F3630EB"/>
    <w:rsid w:val="6F3B5C39"/>
    <w:rsid w:val="6F441882"/>
    <w:rsid w:val="6F4728BD"/>
    <w:rsid w:val="6F677B5C"/>
    <w:rsid w:val="6F712728"/>
    <w:rsid w:val="6F7F2FE7"/>
    <w:rsid w:val="6FA569A2"/>
    <w:rsid w:val="6FC26A67"/>
    <w:rsid w:val="6FC67FD2"/>
    <w:rsid w:val="6FE537B2"/>
    <w:rsid w:val="6FED0EB1"/>
    <w:rsid w:val="6FEE46F4"/>
    <w:rsid w:val="70084CC7"/>
    <w:rsid w:val="7019479A"/>
    <w:rsid w:val="70340726"/>
    <w:rsid w:val="703416EF"/>
    <w:rsid w:val="70547D2F"/>
    <w:rsid w:val="70694B86"/>
    <w:rsid w:val="70930F20"/>
    <w:rsid w:val="709325F8"/>
    <w:rsid w:val="70955E7C"/>
    <w:rsid w:val="70963ADD"/>
    <w:rsid w:val="70A46B2D"/>
    <w:rsid w:val="70A96A5A"/>
    <w:rsid w:val="70C46ADB"/>
    <w:rsid w:val="70D97C66"/>
    <w:rsid w:val="70F72C27"/>
    <w:rsid w:val="71021AC4"/>
    <w:rsid w:val="71031C76"/>
    <w:rsid w:val="71466A09"/>
    <w:rsid w:val="714E01E9"/>
    <w:rsid w:val="715A4C86"/>
    <w:rsid w:val="71674276"/>
    <w:rsid w:val="71847788"/>
    <w:rsid w:val="71902C5C"/>
    <w:rsid w:val="71B0403A"/>
    <w:rsid w:val="71C14D59"/>
    <w:rsid w:val="71C46AF7"/>
    <w:rsid w:val="71C87FDE"/>
    <w:rsid w:val="71D11F72"/>
    <w:rsid w:val="71D24448"/>
    <w:rsid w:val="71D347CA"/>
    <w:rsid w:val="71D365AB"/>
    <w:rsid w:val="71E64FD6"/>
    <w:rsid w:val="71EE4CEE"/>
    <w:rsid w:val="71F8756F"/>
    <w:rsid w:val="71F97A8B"/>
    <w:rsid w:val="720F04CC"/>
    <w:rsid w:val="72197D7A"/>
    <w:rsid w:val="721B2D5E"/>
    <w:rsid w:val="723E2412"/>
    <w:rsid w:val="72523416"/>
    <w:rsid w:val="727D3192"/>
    <w:rsid w:val="729B3256"/>
    <w:rsid w:val="72C16B40"/>
    <w:rsid w:val="72D4106A"/>
    <w:rsid w:val="72D97087"/>
    <w:rsid w:val="72EB1394"/>
    <w:rsid w:val="72F111DC"/>
    <w:rsid w:val="73086EC4"/>
    <w:rsid w:val="730B34FB"/>
    <w:rsid w:val="731659EF"/>
    <w:rsid w:val="73206792"/>
    <w:rsid w:val="732D2CA4"/>
    <w:rsid w:val="73345531"/>
    <w:rsid w:val="733B7722"/>
    <w:rsid w:val="734F27BB"/>
    <w:rsid w:val="735D10EF"/>
    <w:rsid w:val="739D6138"/>
    <w:rsid w:val="73A016D5"/>
    <w:rsid w:val="73DE76BB"/>
    <w:rsid w:val="73E2321B"/>
    <w:rsid w:val="73F370C1"/>
    <w:rsid w:val="73F563C1"/>
    <w:rsid w:val="741C3557"/>
    <w:rsid w:val="74493C0E"/>
    <w:rsid w:val="744E529A"/>
    <w:rsid w:val="7463392D"/>
    <w:rsid w:val="746F073B"/>
    <w:rsid w:val="74847980"/>
    <w:rsid w:val="749448F9"/>
    <w:rsid w:val="74A23383"/>
    <w:rsid w:val="74AC1367"/>
    <w:rsid w:val="74BC0BE6"/>
    <w:rsid w:val="74C25606"/>
    <w:rsid w:val="74CC5681"/>
    <w:rsid w:val="74DD221B"/>
    <w:rsid w:val="74F9665F"/>
    <w:rsid w:val="75181862"/>
    <w:rsid w:val="75181949"/>
    <w:rsid w:val="75224169"/>
    <w:rsid w:val="753611FB"/>
    <w:rsid w:val="753D0724"/>
    <w:rsid w:val="754479E6"/>
    <w:rsid w:val="75745576"/>
    <w:rsid w:val="75987DC5"/>
    <w:rsid w:val="759C28C0"/>
    <w:rsid w:val="75A2609C"/>
    <w:rsid w:val="75B30D64"/>
    <w:rsid w:val="75C01E2F"/>
    <w:rsid w:val="75C16E48"/>
    <w:rsid w:val="75CF2CAE"/>
    <w:rsid w:val="75D5388F"/>
    <w:rsid w:val="75E45EFB"/>
    <w:rsid w:val="75E77D91"/>
    <w:rsid w:val="75F763B9"/>
    <w:rsid w:val="76045978"/>
    <w:rsid w:val="760C57F9"/>
    <w:rsid w:val="762C311F"/>
    <w:rsid w:val="763516AC"/>
    <w:rsid w:val="76553D83"/>
    <w:rsid w:val="76963D87"/>
    <w:rsid w:val="76AF5843"/>
    <w:rsid w:val="7729253D"/>
    <w:rsid w:val="77312ACF"/>
    <w:rsid w:val="774731CC"/>
    <w:rsid w:val="774E3A96"/>
    <w:rsid w:val="7759139E"/>
    <w:rsid w:val="775C6085"/>
    <w:rsid w:val="775E2A16"/>
    <w:rsid w:val="777170B3"/>
    <w:rsid w:val="77731550"/>
    <w:rsid w:val="778E5881"/>
    <w:rsid w:val="778F69AA"/>
    <w:rsid w:val="779D0343"/>
    <w:rsid w:val="77B03BB6"/>
    <w:rsid w:val="77B27269"/>
    <w:rsid w:val="77E3618D"/>
    <w:rsid w:val="77E62722"/>
    <w:rsid w:val="77ED58AF"/>
    <w:rsid w:val="77F01232"/>
    <w:rsid w:val="77F74E60"/>
    <w:rsid w:val="77FA624A"/>
    <w:rsid w:val="781C7581"/>
    <w:rsid w:val="78300FAB"/>
    <w:rsid w:val="783E3D2D"/>
    <w:rsid w:val="784B33C1"/>
    <w:rsid w:val="784F7BE7"/>
    <w:rsid w:val="785258B4"/>
    <w:rsid w:val="78637917"/>
    <w:rsid w:val="786A02AE"/>
    <w:rsid w:val="786B45C5"/>
    <w:rsid w:val="78747AF9"/>
    <w:rsid w:val="788F1B0D"/>
    <w:rsid w:val="78980A20"/>
    <w:rsid w:val="78AE2ED8"/>
    <w:rsid w:val="78BE2690"/>
    <w:rsid w:val="78CA7614"/>
    <w:rsid w:val="78E339B6"/>
    <w:rsid w:val="78E36282"/>
    <w:rsid w:val="78EF3ABB"/>
    <w:rsid w:val="78F22BB9"/>
    <w:rsid w:val="794A3B0D"/>
    <w:rsid w:val="797F5A44"/>
    <w:rsid w:val="798E038B"/>
    <w:rsid w:val="79934950"/>
    <w:rsid w:val="799D41FE"/>
    <w:rsid w:val="79D5658C"/>
    <w:rsid w:val="79D83C99"/>
    <w:rsid w:val="79E836FC"/>
    <w:rsid w:val="7A017895"/>
    <w:rsid w:val="7A0E01B7"/>
    <w:rsid w:val="7A511771"/>
    <w:rsid w:val="7A5B4BD8"/>
    <w:rsid w:val="7A8E7D5A"/>
    <w:rsid w:val="7A9E47B1"/>
    <w:rsid w:val="7AB1631F"/>
    <w:rsid w:val="7AB25DC3"/>
    <w:rsid w:val="7AB35935"/>
    <w:rsid w:val="7AC70021"/>
    <w:rsid w:val="7ACF7665"/>
    <w:rsid w:val="7AD748EC"/>
    <w:rsid w:val="7AD868F2"/>
    <w:rsid w:val="7AF53072"/>
    <w:rsid w:val="7AF9284F"/>
    <w:rsid w:val="7B03688E"/>
    <w:rsid w:val="7B1808B0"/>
    <w:rsid w:val="7B1A4895"/>
    <w:rsid w:val="7B2F54EB"/>
    <w:rsid w:val="7B362FA5"/>
    <w:rsid w:val="7B46338F"/>
    <w:rsid w:val="7B4868ED"/>
    <w:rsid w:val="7B4B72F9"/>
    <w:rsid w:val="7B4D591E"/>
    <w:rsid w:val="7B781E49"/>
    <w:rsid w:val="7B7F150B"/>
    <w:rsid w:val="7B8A2EAC"/>
    <w:rsid w:val="7BB648AF"/>
    <w:rsid w:val="7BC05382"/>
    <w:rsid w:val="7BCD09BD"/>
    <w:rsid w:val="7BD37A6C"/>
    <w:rsid w:val="7BEC0BF4"/>
    <w:rsid w:val="7BED2911"/>
    <w:rsid w:val="7BF14949"/>
    <w:rsid w:val="7BFF3B46"/>
    <w:rsid w:val="7C066FFD"/>
    <w:rsid w:val="7C1236D3"/>
    <w:rsid w:val="7C235AF2"/>
    <w:rsid w:val="7C2B54C3"/>
    <w:rsid w:val="7C3C5302"/>
    <w:rsid w:val="7C573E92"/>
    <w:rsid w:val="7C582647"/>
    <w:rsid w:val="7CF01155"/>
    <w:rsid w:val="7CF270C5"/>
    <w:rsid w:val="7CF30FB7"/>
    <w:rsid w:val="7D122026"/>
    <w:rsid w:val="7D2E64AC"/>
    <w:rsid w:val="7D3533A8"/>
    <w:rsid w:val="7D3A4883"/>
    <w:rsid w:val="7D476AB7"/>
    <w:rsid w:val="7D695362"/>
    <w:rsid w:val="7D6F7049"/>
    <w:rsid w:val="7D8054F7"/>
    <w:rsid w:val="7D9C3812"/>
    <w:rsid w:val="7DB61419"/>
    <w:rsid w:val="7DBD053C"/>
    <w:rsid w:val="7DE01196"/>
    <w:rsid w:val="7DE76C2C"/>
    <w:rsid w:val="7DF2712A"/>
    <w:rsid w:val="7DF61690"/>
    <w:rsid w:val="7E0F4392"/>
    <w:rsid w:val="7E2F05DA"/>
    <w:rsid w:val="7E357D7C"/>
    <w:rsid w:val="7E450A6C"/>
    <w:rsid w:val="7E484F10"/>
    <w:rsid w:val="7E6976F1"/>
    <w:rsid w:val="7E7260B9"/>
    <w:rsid w:val="7E7A0ECD"/>
    <w:rsid w:val="7EB64150"/>
    <w:rsid w:val="7EBE4CC8"/>
    <w:rsid w:val="7EBE61AD"/>
    <w:rsid w:val="7EC95A12"/>
    <w:rsid w:val="7ED20FA6"/>
    <w:rsid w:val="7EDE2675"/>
    <w:rsid w:val="7F5040EB"/>
    <w:rsid w:val="7F970AA2"/>
    <w:rsid w:val="7FB14DC3"/>
    <w:rsid w:val="7FB95F74"/>
    <w:rsid w:val="7FDF2A0F"/>
    <w:rsid w:val="7FE83D38"/>
    <w:rsid w:val="7FEB35F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nhideWhenUsed="0" w:uiPriority="9" w:semiHidden="0" w:name="heading 2"/>
    <w:lsdException w:qFormat="1" w:unhideWhenUsed="0" w:uiPriority="9" w:semiHidden="0" w:name="heading 3"/>
    <w:lsdException w:qFormat="1" w:unhideWhenUsed="0" w:uiPriority="9" w:semiHidden="0" w:name="heading 4"/>
    <w:lsdException w:qFormat="1" w:unhideWhenUsed="0" w:uiPriority="0" w:semiHidden="0" w:name="heading 5"/>
    <w:lsdException w:qFormat="1" w:uiPriority="9" w:name="heading 6"/>
    <w:lsdException w:qFormat="1" w:uiPriority="9" w:name="heading 7"/>
    <w:lsdException w:qFormat="1" w:uiPriority="9" w:name="heading 8"/>
    <w:lsdException w:qFormat="1" w:uiPriority="9"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qFormat="1" w:uiPriority="0" w:semiHidden="0" w:name="Normal Indent"/>
    <w:lsdException w:qFormat="1" w:unhideWhenUsed="0" w:uiPriority="0" w:name="footnote text"/>
    <w:lsdException w:qFormat="1" w:uiPriority="0" w:name="annotation text"/>
    <w:lsdException w:qFormat="1" w:uiPriority="99" w:semiHidden="0" w:name="header"/>
    <w:lsdException w:qFormat="1" w:uiPriority="99" w:semiHidden="0" w:name="footer"/>
    <w:lsdException w:uiPriority="0" w:name="index heading"/>
    <w:lsdException w:qFormat="1" w:uiPriority="35" w:semiHidden="0" w:name="caption"/>
    <w:lsdException w:uiPriority="0" w:name="table of figures"/>
    <w:lsdException w:uiPriority="0" w:name="envelope address"/>
    <w:lsdException w:uiPriority="0" w:name="envelope return"/>
    <w:lsdException w:qFormat="1" w:unhideWhenUsed="0" w:uiPriority="0" w:name="footnote reference"/>
    <w:lsdException w:qFormat="1" w:uiPriority="0" w:name="annotation reference"/>
    <w:lsdException w:uiPriority="0" w:name="line number"/>
    <w:lsdException w:uiPriority="0" w:name="page number"/>
    <w:lsdException w:qFormat="1" w:unhideWhenUsed="0" w:uiPriority="0" w:semiHidden="0" w:name="endnote reference"/>
    <w:lsdException w:qFormat="1" w:unhideWhenUsed="0" w:uiPriority="0" w:semiHidden="0" w:name="endnote text"/>
    <w:lsdException w:uiPriority="0" w:name="table of authorities"/>
    <w:lsdException w:uiPriority="0" w:name="macro"/>
    <w:lsdException w:uiPriority="0" w:name="toa heading"/>
    <w:lsdException w:uiPriority="0" w:name="List"/>
    <w:lsdException w:uiPriority="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10" w:semiHidden="0" w:name="Title"/>
    <w:lsdException w:uiPriority="0" w:name="Closing"/>
    <w:lsdException w:uiPriority="0" w:name="Signature"/>
    <w:lsdException w:uiPriority="1" w:name="Default Paragraph Font"/>
    <w:lsdException w:qFormat="1" w:uiPriority="0" w:name="Body Text"/>
    <w:lsdException w:qFormat="1" w:unhideWhenUsed="0" w:uiPriority="0" w:semiHidden="0" w:name="Body Text Indent"/>
    <w:lsdException w:uiPriority="0" w:name="List Continue"/>
    <w:lsdException w:uiPriority="0" w:name="List Continue 2"/>
    <w:lsdException w:uiPriority="0" w:name="List Continue 3"/>
    <w:lsdException w:uiPriority="0" w:name="List Continue 4"/>
    <w:lsdException w:uiPriority="0" w:name="List Continue 5"/>
    <w:lsdException w:uiPriority="0" w:name="Message Header"/>
    <w:lsdException w:qFormat="1" w:unhideWhenUsed="0" w:uiPriority="11" w:semiHidden="0" w:name="Subtitle"/>
    <w:lsdException w:uiPriority="0" w:name="Salutation"/>
    <w:lsdException w:qFormat="1" w:uiPriority="0" w:semiHidden="0" w:name="Date"/>
    <w:lsdException w:qFormat="1"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qFormat="1" w:uiPriority="0" w:semiHidden="0" w:name="FollowedHyperlink"/>
    <w:lsdException w:qFormat="1" w:unhideWhenUsed="0" w:uiPriority="22" w:semiHidden="0" w:name="Strong"/>
    <w:lsdException w:qFormat="1" w:unhideWhenUsed="0" w:uiPriority="20" w:semiHidden="0" w:name="Emphasis"/>
    <w:lsdException w:qFormat="1" w:uiPriority="0" w:semiHidden="0" w:name="Document Map"/>
    <w:lsdException w:uiPriority="0" w:name="Plain Text"/>
    <w:lsdException w:uiPriority="0" w:name="E-mail Signature"/>
    <w:lsdException w:qFormat="1"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qFormat="1"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iPriority="99" w:semiHidden="0" w:name="Balloon Text"/>
    <w:lsdException w:qFormat="1" w:unhideWhenUsed="0" w:uiPriority="3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宋体" w:cs="Times New Roman"/>
      <w:kern w:val="2"/>
      <w:sz w:val="21"/>
      <w:szCs w:val="22"/>
      <w:lang w:val="en-US" w:eastAsia="zh-CN" w:bidi="ar-SA"/>
    </w:rPr>
  </w:style>
  <w:style w:type="paragraph" w:styleId="3">
    <w:name w:val="heading 1"/>
    <w:basedOn w:val="1"/>
    <w:next w:val="1"/>
    <w:qFormat/>
    <w:uiPriority w:val="99"/>
    <w:pPr>
      <w:spacing w:before="100" w:beforeAutospacing="1" w:after="100" w:afterAutospacing="1"/>
      <w:jc w:val="left"/>
      <w:outlineLvl w:val="0"/>
    </w:pPr>
    <w:rPr>
      <w:rFonts w:hint="eastAsia" w:ascii="宋体" w:hAnsi="宋体" w:cs="宋体"/>
      <w:b/>
      <w:kern w:val="44"/>
      <w:sz w:val="48"/>
      <w:szCs w:val="48"/>
    </w:rPr>
  </w:style>
  <w:style w:type="paragraph" w:styleId="4">
    <w:name w:val="heading 2"/>
    <w:basedOn w:val="1"/>
    <w:next w:val="2"/>
    <w:link w:val="55"/>
    <w:qFormat/>
    <w:uiPriority w:val="9"/>
    <w:pPr>
      <w:keepNext/>
      <w:keepLines/>
      <w:spacing w:before="20" w:after="20" w:line="416" w:lineRule="auto"/>
      <w:outlineLvl w:val="1"/>
    </w:pPr>
    <w:rPr>
      <w:rFonts w:ascii="Arial" w:hAnsi="Arial" w:eastAsia="黑体"/>
      <w:b/>
      <w:bCs/>
      <w:sz w:val="32"/>
      <w:szCs w:val="32"/>
    </w:rPr>
  </w:style>
  <w:style w:type="paragraph" w:styleId="5">
    <w:name w:val="heading 3"/>
    <w:basedOn w:val="1"/>
    <w:next w:val="1"/>
    <w:link w:val="76"/>
    <w:qFormat/>
    <w:uiPriority w:val="9"/>
    <w:pPr>
      <w:keepNext/>
      <w:keepLines/>
      <w:spacing w:before="260" w:after="260" w:line="413" w:lineRule="auto"/>
      <w:outlineLvl w:val="2"/>
    </w:pPr>
    <w:rPr>
      <w:b/>
      <w:sz w:val="32"/>
    </w:rPr>
  </w:style>
  <w:style w:type="paragraph" w:styleId="6">
    <w:name w:val="heading 4"/>
    <w:basedOn w:val="1"/>
    <w:next w:val="1"/>
    <w:qFormat/>
    <w:uiPriority w:val="9"/>
    <w:pPr>
      <w:keepNext/>
      <w:keepLines/>
      <w:spacing w:before="60" w:after="60" w:line="377" w:lineRule="auto"/>
      <w:outlineLvl w:val="3"/>
    </w:pPr>
    <w:rPr>
      <w:rFonts w:ascii="Cambria" w:hAnsi="Cambria"/>
      <w:b/>
      <w:bCs/>
      <w:sz w:val="24"/>
      <w:szCs w:val="28"/>
    </w:rPr>
  </w:style>
  <w:style w:type="paragraph" w:styleId="7">
    <w:name w:val="heading 5"/>
    <w:basedOn w:val="1"/>
    <w:next w:val="1"/>
    <w:link w:val="52"/>
    <w:qFormat/>
    <w:uiPriority w:val="0"/>
    <w:pPr>
      <w:spacing w:line="420" w:lineRule="exact"/>
      <w:ind w:left="549" w:leftChars="228" w:hanging="70" w:hangingChars="25"/>
      <w:outlineLvl w:val="4"/>
    </w:pPr>
    <w:rPr>
      <w:rFonts w:ascii="宋体" w:hAnsi="宋体"/>
      <w:b/>
      <w:sz w:val="28"/>
      <w:szCs w:val="28"/>
      <w:lang w:val="zh-CN"/>
    </w:rPr>
  </w:style>
  <w:style w:type="character" w:default="1" w:styleId="34">
    <w:name w:val="Default Paragraph Font"/>
    <w:semiHidden/>
    <w:unhideWhenUsed/>
    <w:uiPriority w:val="1"/>
  </w:style>
  <w:style w:type="table" w:default="1" w:styleId="32">
    <w:name w:val="Normal Table"/>
    <w:semiHidden/>
    <w:unhideWhenUsed/>
    <w:qFormat/>
    <w:uiPriority w:val="99"/>
    <w:tblPr>
      <w:tblCellMar>
        <w:top w:w="0" w:type="dxa"/>
        <w:left w:w="108" w:type="dxa"/>
        <w:bottom w:w="0" w:type="dxa"/>
        <w:right w:w="108" w:type="dxa"/>
      </w:tblCellMar>
    </w:tblPr>
  </w:style>
  <w:style w:type="paragraph" w:styleId="2">
    <w:name w:val="Normal Indent"/>
    <w:basedOn w:val="1"/>
    <w:unhideWhenUsed/>
    <w:qFormat/>
    <w:uiPriority w:val="0"/>
    <w:pPr>
      <w:ind w:firstLine="200" w:firstLineChars="200"/>
    </w:pPr>
  </w:style>
  <w:style w:type="paragraph" w:styleId="8">
    <w:name w:val="toc 7"/>
    <w:basedOn w:val="1"/>
    <w:next w:val="1"/>
    <w:unhideWhenUsed/>
    <w:qFormat/>
    <w:uiPriority w:val="39"/>
    <w:pPr>
      <w:ind w:left="2520" w:leftChars="1200"/>
    </w:pPr>
    <w:rPr>
      <w:rFonts w:asciiTheme="minorHAnsi" w:hAnsiTheme="minorHAnsi" w:eastAsiaTheme="minorEastAsia" w:cstheme="minorBidi"/>
    </w:rPr>
  </w:style>
  <w:style w:type="paragraph" w:styleId="9">
    <w:name w:val="caption"/>
    <w:basedOn w:val="1"/>
    <w:next w:val="1"/>
    <w:unhideWhenUsed/>
    <w:qFormat/>
    <w:uiPriority w:val="35"/>
    <w:rPr>
      <w:rFonts w:eastAsia="黑体" w:asciiTheme="majorHAnsi" w:hAnsiTheme="majorHAnsi" w:cstheme="majorBidi"/>
      <w:sz w:val="20"/>
      <w:szCs w:val="20"/>
    </w:rPr>
  </w:style>
  <w:style w:type="paragraph" w:styleId="10">
    <w:name w:val="Document Map"/>
    <w:basedOn w:val="1"/>
    <w:link w:val="47"/>
    <w:unhideWhenUsed/>
    <w:qFormat/>
    <w:uiPriority w:val="0"/>
    <w:rPr>
      <w:rFonts w:ascii="宋体"/>
      <w:sz w:val="18"/>
      <w:szCs w:val="18"/>
      <w:lang w:val="zh-CN"/>
    </w:rPr>
  </w:style>
  <w:style w:type="paragraph" w:styleId="11">
    <w:name w:val="annotation text"/>
    <w:basedOn w:val="1"/>
    <w:link w:val="65"/>
    <w:semiHidden/>
    <w:unhideWhenUsed/>
    <w:qFormat/>
    <w:uiPriority w:val="0"/>
    <w:pPr>
      <w:jc w:val="left"/>
    </w:pPr>
  </w:style>
  <w:style w:type="paragraph" w:styleId="12">
    <w:name w:val="Body Text"/>
    <w:basedOn w:val="1"/>
    <w:link w:val="68"/>
    <w:semiHidden/>
    <w:unhideWhenUsed/>
    <w:qFormat/>
    <w:uiPriority w:val="0"/>
    <w:pPr>
      <w:spacing w:after="120"/>
    </w:pPr>
  </w:style>
  <w:style w:type="paragraph" w:styleId="13">
    <w:name w:val="Body Text Indent"/>
    <w:basedOn w:val="1"/>
    <w:link w:val="57"/>
    <w:qFormat/>
    <w:uiPriority w:val="0"/>
    <w:pPr>
      <w:ind w:firstLine="480" w:firstLineChars="200"/>
    </w:pPr>
    <w:rPr>
      <w:rFonts w:ascii="Times New Roman" w:hAnsi="Times New Roman"/>
      <w:sz w:val="24"/>
      <w:szCs w:val="21"/>
    </w:rPr>
  </w:style>
  <w:style w:type="paragraph" w:styleId="14">
    <w:name w:val="toc 5"/>
    <w:basedOn w:val="1"/>
    <w:next w:val="1"/>
    <w:unhideWhenUsed/>
    <w:qFormat/>
    <w:uiPriority w:val="39"/>
    <w:pPr>
      <w:ind w:left="1680" w:leftChars="800"/>
    </w:pPr>
    <w:rPr>
      <w:rFonts w:asciiTheme="minorHAnsi" w:hAnsiTheme="minorHAnsi" w:eastAsiaTheme="minorEastAsia" w:cstheme="minorBidi"/>
    </w:rPr>
  </w:style>
  <w:style w:type="paragraph" w:styleId="15">
    <w:name w:val="toc 3"/>
    <w:basedOn w:val="1"/>
    <w:next w:val="1"/>
    <w:unhideWhenUsed/>
    <w:qFormat/>
    <w:uiPriority w:val="39"/>
    <w:pPr>
      <w:tabs>
        <w:tab w:val="right" w:leader="dot" w:pos="9736"/>
      </w:tabs>
      <w:spacing w:line="312" w:lineRule="auto"/>
      <w:ind w:left="840" w:leftChars="400"/>
    </w:pPr>
  </w:style>
  <w:style w:type="paragraph" w:styleId="16">
    <w:name w:val="toc 8"/>
    <w:basedOn w:val="1"/>
    <w:next w:val="1"/>
    <w:unhideWhenUsed/>
    <w:qFormat/>
    <w:uiPriority w:val="39"/>
    <w:pPr>
      <w:ind w:left="2940" w:leftChars="1400"/>
    </w:pPr>
    <w:rPr>
      <w:rFonts w:asciiTheme="minorHAnsi" w:hAnsiTheme="minorHAnsi" w:eastAsiaTheme="minorEastAsia" w:cstheme="minorBidi"/>
    </w:rPr>
  </w:style>
  <w:style w:type="paragraph" w:styleId="17">
    <w:name w:val="Date"/>
    <w:basedOn w:val="1"/>
    <w:next w:val="1"/>
    <w:link w:val="56"/>
    <w:unhideWhenUsed/>
    <w:qFormat/>
    <w:uiPriority w:val="0"/>
    <w:pPr>
      <w:ind w:left="100" w:leftChars="2500"/>
    </w:pPr>
  </w:style>
  <w:style w:type="paragraph" w:styleId="18">
    <w:name w:val="endnote text"/>
    <w:basedOn w:val="1"/>
    <w:link w:val="44"/>
    <w:qFormat/>
    <w:uiPriority w:val="0"/>
    <w:pPr>
      <w:snapToGrid w:val="0"/>
      <w:jc w:val="left"/>
    </w:pPr>
    <w:rPr>
      <w:szCs w:val="20"/>
      <w:lang w:val="zh-CN"/>
    </w:rPr>
  </w:style>
  <w:style w:type="paragraph" w:styleId="19">
    <w:name w:val="Balloon Text"/>
    <w:basedOn w:val="1"/>
    <w:link w:val="42"/>
    <w:unhideWhenUsed/>
    <w:qFormat/>
    <w:uiPriority w:val="99"/>
    <w:rPr>
      <w:rFonts w:ascii="Times New Roman" w:hAnsi="Times New Roman"/>
      <w:kern w:val="0"/>
      <w:sz w:val="18"/>
      <w:szCs w:val="18"/>
      <w:lang w:val="zh-CN"/>
    </w:rPr>
  </w:style>
  <w:style w:type="paragraph" w:styleId="20">
    <w:name w:val="footer"/>
    <w:basedOn w:val="1"/>
    <w:link w:val="46"/>
    <w:unhideWhenUsed/>
    <w:qFormat/>
    <w:uiPriority w:val="99"/>
    <w:pPr>
      <w:tabs>
        <w:tab w:val="center" w:pos="4153"/>
        <w:tab w:val="right" w:pos="8306"/>
      </w:tabs>
      <w:snapToGrid w:val="0"/>
      <w:jc w:val="left"/>
    </w:pPr>
    <w:rPr>
      <w:rFonts w:ascii="Times New Roman" w:hAnsi="Times New Roman"/>
      <w:kern w:val="0"/>
      <w:sz w:val="18"/>
      <w:szCs w:val="18"/>
      <w:lang w:val="zh-CN"/>
    </w:rPr>
  </w:style>
  <w:style w:type="paragraph" w:styleId="21">
    <w:name w:val="header"/>
    <w:basedOn w:val="1"/>
    <w:link w:val="45"/>
    <w:unhideWhenUsed/>
    <w:qFormat/>
    <w:uiPriority w:val="99"/>
    <w:pPr>
      <w:pBdr>
        <w:bottom w:val="single" w:color="auto" w:sz="6" w:space="1"/>
      </w:pBdr>
      <w:tabs>
        <w:tab w:val="center" w:pos="4153"/>
        <w:tab w:val="right" w:pos="8306"/>
      </w:tabs>
      <w:snapToGrid w:val="0"/>
      <w:jc w:val="center"/>
    </w:pPr>
    <w:rPr>
      <w:rFonts w:ascii="Times New Roman" w:hAnsi="Times New Roman"/>
      <w:kern w:val="0"/>
      <w:sz w:val="18"/>
      <w:szCs w:val="18"/>
      <w:lang w:val="zh-CN"/>
    </w:rPr>
  </w:style>
  <w:style w:type="paragraph" w:styleId="22">
    <w:name w:val="toc 1"/>
    <w:basedOn w:val="1"/>
    <w:next w:val="1"/>
    <w:unhideWhenUsed/>
    <w:qFormat/>
    <w:uiPriority w:val="39"/>
  </w:style>
  <w:style w:type="paragraph" w:styleId="23">
    <w:name w:val="toc 4"/>
    <w:basedOn w:val="1"/>
    <w:next w:val="1"/>
    <w:unhideWhenUsed/>
    <w:qFormat/>
    <w:uiPriority w:val="39"/>
    <w:pPr>
      <w:ind w:left="1260" w:leftChars="600"/>
    </w:pPr>
    <w:rPr>
      <w:rFonts w:asciiTheme="minorHAnsi" w:hAnsiTheme="minorHAnsi" w:eastAsiaTheme="minorEastAsia" w:cstheme="minorBidi"/>
    </w:rPr>
  </w:style>
  <w:style w:type="paragraph" w:styleId="24">
    <w:name w:val="Subtitle"/>
    <w:basedOn w:val="6"/>
    <w:next w:val="1"/>
    <w:qFormat/>
    <w:uiPriority w:val="11"/>
    <w:pPr>
      <w:spacing w:before="240" w:line="312" w:lineRule="auto"/>
      <w:jc w:val="center"/>
      <w:outlineLvl w:val="1"/>
    </w:pPr>
    <w:rPr>
      <w:b w:val="0"/>
      <w:bCs w:val="0"/>
      <w:kern w:val="28"/>
      <w:sz w:val="32"/>
      <w:szCs w:val="32"/>
    </w:rPr>
  </w:style>
  <w:style w:type="paragraph" w:styleId="25">
    <w:name w:val="footnote text"/>
    <w:basedOn w:val="1"/>
    <w:link w:val="43"/>
    <w:semiHidden/>
    <w:qFormat/>
    <w:uiPriority w:val="0"/>
    <w:pPr>
      <w:snapToGrid w:val="0"/>
      <w:jc w:val="left"/>
    </w:pPr>
    <w:rPr>
      <w:rFonts w:ascii="Times New Roman" w:hAnsi="Times New Roman"/>
      <w:sz w:val="18"/>
      <w:szCs w:val="18"/>
    </w:rPr>
  </w:style>
  <w:style w:type="paragraph" w:styleId="26">
    <w:name w:val="toc 6"/>
    <w:basedOn w:val="1"/>
    <w:next w:val="1"/>
    <w:unhideWhenUsed/>
    <w:qFormat/>
    <w:uiPriority w:val="39"/>
    <w:pPr>
      <w:ind w:left="2100" w:leftChars="1000"/>
    </w:pPr>
    <w:rPr>
      <w:rFonts w:asciiTheme="minorHAnsi" w:hAnsiTheme="minorHAnsi" w:eastAsiaTheme="minorEastAsia" w:cstheme="minorBidi"/>
    </w:rPr>
  </w:style>
  <w:style w:type="paragraph" w:styleId="27">
    <w:name w:val="toc 2"/>
    <w:basedOn w:val="1"/>
    <w:next w:val="1"/>
    <w:unhideWhenUsed/>
    <w:qFormat/>
    <w:uiPriority w:val="39"/>
    <w:pPr>
      <w:ind w:left="420" w:leftChars="200"/>
    </w:pPr>
  </w:style>
  <w:style w:type="paragraph" w:styleId="28">
    <w:name w:val="toc 9"/>
    <w:basedOn w:val="1"/>
    <w:next w:val="1"/>
    <w:unhideWhenUsed/>
    <w:qFormat/>
    <w:uiPriority w:val="39"/>
    <w:pPr>
      <w:ind w:left="3360" w:leftChars="1600"/>
    </w:pPr>
    <w:rPr>
      <w:rFonts w:asciiTheme="minorHAnsi" w:hAnsiTheme="minorHAnsi" w:eastAsiaTheme="minorEastAsia" w:cstheme="minorBidi"/>
    </w:rPr>
  </w:style>
  <w:style w:type="paragraph" w:styleId="29">
    <w:name w:val="Normal (Web)"/>
    <w:basedOn w:val="1"/>
    <w:unhideWhenUsed/>
    <w:qFormat/>
    <w:uiPriority w:val="99"/>
    <w:pPr>
      <w:spacing w:before="100" w:beforeAutospacing="1" w:after="100" w:afterAutospacing="1"/>
      <w:jc w:val="left"/>
    </w:pPr>
    <w:rPr>
      <w:kern w:val="0"/>
      <w:sz w:val="24"/>
    </w:rPr>
  </w:style>
  <w:style w:type="paragraph" w:styleId="30">
    <w:name w:val="annotation subject"/>
    <w:basedOn w:val="11"/>
    <w:next w:val="11"/>
    <w:link w:val="66"/>
    <w:semiHidden/>
    <w:unhideWhenUsed/>
    <w:qFormat/>
    <w:uiPriority w:val="0"/>
    <w:rPr>
      <w:b/>
      <w:bCs/>
    </w:rPr>
  </w:style>
  <w:style w:type="paragraph" w:styleId="31">
    <w:name w:val="Body Text First Indent"/>
    <w:basedOn w:val="12"/>
    <w:link w:val="69"/>
    <w:semiHidden/>
    <w:unhideWhenUsed/>
    <w:qFormat/>
    <w:uiPriority w:val="0"/>
    <w:pPr>
      <w:ind w:firstLine="420" w:firstLineChars="100"/>
    </w:pPr>
  </w:style>
  <w:style w:type="table" w:styleId="33">
    <w:name w:val="Table Grid"/>
    <w:basedOn w:val="32"/>
    <w:qFormat/>
    <w:uiPriority w:val="3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5">
    <w:name w:val="Strong"/>
    <w:qFormat/>
    <w:uiPriority w:val="22"/>
    <w:rPr>
      <w:b/>
      <w:bCs/>
    </w:rPr>
  </w:style>
  <w:style w:type="character" w:styleId="36">
    <w:name w:val="endnote reference"/>
    <w:qFormat/>
    <w:uiPriority w:val="0"/>
    <w:rPr>
      <w:vertAlign w:val="superscript"/>
    </w:rPr>
  </w:style>
  <w:style w:type="character" w:styleId="37">
    <w:name w:val="FollowedHyperlink"/>
    <w:unhideWhenUsed/>
    <w:qFormat/>
    <w:uiPriority w:val="0"/>
    <w:rPr>
      <w:color w:val="333333"/>
      <w:u w:val="none"/>
    </w:rPr>
  </w:style>
  <w:style w:type="character" w:styleId="38">
    <w:name w:val="Emphasis"/>
    <w:basedOn w:val="34"/>
    <w:qFormat/>
    <w:uiPriority w:val="20"/>
    <w:rPr>
      <w:color w:val="CC0000"/>
    </w:rPr>
  </w:style>
  <w:style w:type="character" w:styleId="39">
    <w:name w:val="Hyperlink"/>
    <w:unhideWhenUsed/>
    <w:qFormat/>
    <w:uiPriority w:val="99"/>
    <w:rPr>
      <w:color w:val="333333"/>
      <w:u w:val="none"/>
    </w:rPr>
  </w:style>
  <w:style w:type="character" w:styleId="40">
    <w:name w:val="annotation reference"/>
    <w:basedOn w:val="34"/>
    <w:semiHidden/>
    <w:unhideWhenUsed/>
    <w:qFormat/>
    <w:uiPriority w:val="0"/>
    <w:rPr>
      <w:sz w:val="21"/>
      <w:szCs w:val="21"/>
    </w:rPr>
  </w:style>
  <w:style w:type="character" w:styleId="41">
    <w:name w:val="footnote reference"/>
    <w:semiHidden/>
    <w:qFormat/>
    <w:uiPriority w:val="0"/>
    <w:rPr>
      <w:rFonts w:cs="Times New Roman"/>
      <w:vertAlign w:val="superscript"/>
    </w:rPr>
  </w:style>
  <w:style w:type="character" w:customStyle="1" w:styleId="42">
    <w:name w:val="批注框文本 字符"/>
    <w:link w:val="19"/>
    <w:semiHidden/>
    <w:qFormat/>
    <w:uiPriority w:val="99"/>
    <w:rPr>
      <w:sz w:val="18"/>
      <w:szCs w:val="18"/>
    </w:rPr>
  </w:style>
  <w:style w:type="character" w:customStyle="1" w:styleId="43">
    <w:name w:val="脚注文本 字符"/>
    <w:link w:val="25"/>
    <w:semiHidden/>
    <w:qFormat/>
    <w:locked/>
    <w:uiPriority w:val="0"/>
    <w:rPr>
      <w:rFonts w:eastAsia="宋体"/>
      <w:kern w:val="2"/>
      <w:sz w:val="18"/>
      <w:szCs w:val="18"/>
      <w:lang w:val="en-US" w:eastAsia="zh-CN" w:bidi="ar-SA"/>
    </w:rPr>
  </w:style>
  <w:style w:type="character" w:customStyle="1" w:styleId="44">
    <w:name w:val="尾注文本 字符"/>
    <w:link w:val="18"/>
    <w:qFormat/>
    <w:uiPriority w:val="0"/>
    <w:rPr>
      <w:rFonts w:ascii="Calibri" w:hAnsi="Calibri"/>
      <w:kern w:val="2"/>
      <w:sz w:val="21"/>
    </w:rPr>
  </w:style>
  <w:style w:type="character" w:customStyle="1" w:styleId="45">
    <w:name w:val="页眉 字符"/>
    <w:link w:val="21"/>
    <w:qFormat/>
    <w:uiPriority w:val="99"/>
    <w:rPr>
      <w:sz w:val="18"/>
      <w:szCs w:val="18"/>
    </w:rPr>
  </w:style>
  <w:style w:type="character" w:customStyle="1" w:styleId="46">
    <w:name w:val="页脚 字符"/>
    <w:link w:val="20"/>
    <w:qFormat/>
    <w:uiPriority w:val="99"/>
    <w:rPr>
      <w:sz w:val="18"/>
      <w:szCs w:val="18"/>
    </w:rPr>
  </w:style>
  <w:style w:type="character" w:customStyle="1" w:styleId="47">
    <w:name w:val="文档结构图 字符"/>
    <w:link w:val="10"/>
    <w:semiHidden/>
    <w:qFormat/>
    <w:uiPriority w:val="0"/>
    <w:rPr>
      <w:rFonts w:ascii="宋体" w:hAnsi="Calibri"/>
      <w:kern w:val="2"/>
      <w:sz w:val="18"/>
      <w:szCs w:val="18"/>
    </w:rPr>
  </w:style>
  <w:style w:type="paragraph" w:customStyle="1" w:styleId="48">
    <w:name w:val="Default"/>
    <w:qFormat/>
    <w:uiPriority w:val="0"/>
    <w:pPr>
      <w:widowControl w:val="0"/>
      <w:autoSpaceDE w:val="0"/>
      <w:autoSpaceDN w:val="0"/>
      <w:adjustRightInd w:val="0"/>
    </w:pPr>
    <w:rPr>
      <w:rFonts w:ascii="黑体" w:hAnsi="黑体" w:eastAsia="宋体" w:cs="黑体"/>
      <w:color w:val="000000"/>
      <w:sz w:val="24"/>
      <w:szCs w:val="24"/>
      <w:lang w:val="en-US" w:eastAsia="zh-CN" w:bidi="ar-SA"/>
    </w:rPr>
  </w:style>
  <w:style w:type="paragraph" w:customStyle="1" w:styleId="49">
    <w:name w:val="正文qrz"/>
    <w:basedOn w:val="1"/>
    <w:qFormat/>
    <w:uiPriority w:val="0"/>
    <w:pPr>
      <w:tabs>
        <w:tab w:val="left" w:pos="4186"/>
      </w:tabs>
      <w:spacing w:before="156" w:line="360" w:lineRule="auto"/>
      <w:ind w:firstLine="480" w:firstLineChars="200"/>
    </w:pPr>
    <w:rPr>
      <w:rFonts w:ascii="宋体" w:hAnsi="宋体"/>
      <w:kern w:val="0"/>
      <w:sz w:val="24"/>
      <w:szCs w:val="20"/>
    </w:rPr>
  </w:style>
  <w:style w:type="paragraph" w:customStyle="1" w:styleId="50">
    <w:name w:val="Char Char Char Char Char Char Char"/>
    <w:basedOn w:val="1"/>
    <w:qFormat/>
    <w:uiPriority w:val="0"/>
    <w:pPr>
      <w:spacing w:line="360" w:lineRule="auto"/>
      <w:ind w:firstLine="200" w:firstLineChars="200"/>
    </w:pPr>
    <w:rPr>
      <w:rFonts w:ascii="Times New Roman" w:hAnsi="Times New Roman"/>
      <w:szCs w:val="20"/>
    </w:rPr>
  </w:style>
  <w:style w:type="paragraph" w:customStyle="1" w:styleId="51">
    <w:name w:val="Char Char Char1 Char"/>
    <w:basedOn w:val="1"/>
    <w:qFormat/>
    <w:uiPriority w:val="0"/>
    <w:pPr>
      <w:spacing w:line="360" w:lineRule="auto"/>
    </w:pPr>
    <w:rPr>
      <w:rFonts w:ascii="Times New Roman" w:hAnsi="Times New Roman"/>
      <w:szCs w:val="24"/>
    </w:rPr>
  </w:style>
  <w:style w:type="character" w:customStyle="1" w:styleId="52">
    <w:name w:val="标题 5 字符"/>
    <w:link w:val="7"/>
    <w:qFormat/>
    <w:uiPriority w:val="0"/>
    <w:rPr>
      <w:rFonts w:ascii="宋体" w:hAnsi="宋体" w:eastAsia="宋体" w:cs="黑体"/>
      <w:b/>
      <w:kern w:val="2"/>
      <w:sz w:val="28"/>
      <w:szCs w:val="28"/>
    </w:rPr>
  </w:style>
  <w:style w:type="paragraph" w:customStyle="1" w:styleId="53">
    <w:name w:val="TOC 标题1"/>
    <w:basedOn w:val="3"/>
    <w:next w:val="1"/>
    <w:unhideWhenUsed/>
    <w:qFormat/>
    <w:uiPriority w:val="39"/>
    <w:pPr>
      <w:keepNext/>
      <w:keepLines/>
      <w:widowControl/>
      <w:spacing w:before="240" w:beforeAutospacing="0" w:after="0" w:afterAutospacing="0" w:line="259" w:lineRule="auto"/>
      <w:outlineLvl w:val="9"/>
    </w:pPr>
    <w:rPr>
      <w:rFonts w:hint="default" w:ascii="Calibri Light" w:hAnsi="Calibri Light" w:cs="Times New Roman"/>
      <w:b w:val="0"/>
      <w:color w:val="2E74B5"/>
      <w:kern w:val="0"/>
      <w:sz w:val="32"/>
      <w:szCs w:val="32"/>
    </w:rPr>
  </w:style>
  <w:style w:type="paragraph" w:styleId="54">
    <w:name w:val="List Paragraph"/>
    <w:basedOn w:val="1"/>
    <w:qFormat/>
    <w:uiPriority w:val="34"/>
    <w:pPr>
      <w:ind w:firstLine="420" w:firstLineChars="200"/>
    </w:pPr>
  </w:style>
  <w:style w:type="character" w:customStyle="1" w:styleId="55">
    <w:name w:val="标题 2 字符"/>
    <w:link w:val="4"/>
    <w:qFormat/>
    <w:uiPriority w:val="9"/>
    <w:rPr>
      <w:rFonts w:ascii="Arial" w:hAnsi="Arial" w:eastAsia="黑体"/>
      <w:b/>
      <w:bCs/>
      <w:kern w:val="2"/>
      <w:sz w:val="32"/>
      <w:szCs w:val="32"/>
    </w:rPr>
  </w:style>
  <w:style w:type="character" w:customStyle="1" w:styleId="56">
    <w:name w:val="日期 字符"/>
    <w:basedOn w:val="34"/>
    <w:link w:val="17"/>
    <w:semiHidden/>
    <w:qFormat/>
    <w:uiPriority w:val="0"/>
    <w:rPr>
      <w:rFonts w:ascii="Calibri" w:hAnsi="Calibri"/>
      <w:kern w:val="2"/>
      <w:sz w:val="21"/>
      <w:szCs w:val="22"/>
    </w:rPr>
  </w:style>
  <w:style w:type="character" w:customStyle="1" w:styleId="57">
    <w:name w:val="正文文本缩进 字符"/>
    <w:basedOn w:val="34"/>
    <w:link w:val="13"/>
    <w:qFormat/>
    <w:uiPriority w:val="0"/>
    <w:rPr>
      <w:kern w:val="2"/>
      <w:sz w:val="24"/>
      <w:szCs w:val="21"/>
    </w:rPr>
  </w:style>
  <w:style w:type="paragraph" w:customStyle="1" w:styleId="58">
    <w:name w:val="TOC 标题12"/>
    <w:basedOn w:val="3"/>
    <w:next w:val="1"/>
    <w:unhideWhenUsed/>
    <w:qFormat/>
    <w:uiPriority w:val="39"/>
    <w:pPr>
      <w:keepNext/>
      <w:keepLines/>
      <w:widowControl/>
      <w:spacing w:before="240" w:beforeAutospacing="0" w:after="0" w:afterAutospacing="0" w:line="259" w:lineRule="auto"/>
      <w:outlineLvl w:val="9"/>
    </w:pPr>
    <w:rPr>
      <w:rFonts w:hint="default" w:ascii="Calibri Light" w:hAnsi="Calibri Light" w:cs="Times New Roman"/>
      <w:b w:val="0"/>
      <w:color w:val="2E74B5"/>
      <w:kern w:val="0"/>
      <w:sz w:val="32"/>
      <w:szCs w:val="32"/>
    </w:rPr>
  </w:style>
  <w:style w:type="paragraph" w:customStyle="1" w:styleId="59">
    <w:name w:val="列出段落1"/>
    <w:basedOn w:val="1"/>
    <w:qFormat/>
    <w:uiPriority w:val="34"/>
    <w:pPr>
      <w:ind w:firstLine="420" w:firstLineChars="200"/>
    </w:pPr>
  </w:style>
  <w:style w:type="paragraph" w:customStyle="1" w:styleId="60">
    <w:name w:val="标准正文"/>
    <w:basedOn w:val="1"/>
    <w:qFormat/>
    <w:uiPriority w:val="0"/>
    <w:pPr>
      <w:tabs>
        <w:tab w:val="left" w:pos="420"/>
      </w:tabs>
      <w:spacing w:before="120" w:after="120" w:line="360" w:lineRule="auto"/>
      <w:ind w:left="601" w:hanging="601"/>
    </w:pPr>
    <w:rPr>
      <w:kern w:val="0"/>
      <w:sz w:val="24"/>
      <w:szCs w:val="24"/>
    </w:rPr>
  </w:style>
  <w:style w:type="paragraph" w:customStyle="1" w:styleId="61">
    <w:name w:val="二级标题"/>
    <w:basedOn w:val="4"/>
    <w:next w:val="1"/>
    <w:link w:val="62"/>
    <w:qFormat/>
    <w:uiPriority w:val="0"/>
    <w:pPr>
      <w:spacing w:before="120" w:after="120" w:line="480" w:lineRule="auto"/>
    </w:pPr>
    <w:rPr>
      <w:rFonts w:ascii="黑体" w:hAnsi="黑体"/>
      <w:b w:val="0"/>
      <w:sz w:val="30"/>
      <w:szCs w:val="28"/>
    </w:rPr>
  </w:style>
  <w:style w:type="character" w:customStyle="1" w:styleId="62">
    <w:name w:val="二级标题 Char"/>
    <w:link w:val="61"/>
    <w:qFormat/>
    <w:uiPriority w:val="0"/>
    <w:rPr>
      <w:rFonts w:ascii="黑体" w:hAnsi="黑体" w:eastAsia="黑体"/>
      <w:bCs/>
      <w:kern w:val="2"/>
      <w:sz w:val="30"/>
      <w:szCs w:val="28"/>
    </w:rPr>
  </w:style>
  <w:style w:type="paragraph" w:customStyle="1" w:styleId="63">
    <w:name w:val="首行缩进:  2 字符"/>
    <w:basedOn w:val="1"/>
    <w:qFormat/>
    <w:uiPriority w:val="0"/>
    <w:pPr>
      <w:spacing w:afterLines="100" w:line="360" w:lineRule="auto"/>
      <w:ind w:firstLine="480" w:firstLineChars="200"/>
    </w:pPr>
    <w:rPr>
      <w:rFonts w:ascii="Times New Roman" w:hAnsi="Times New Roman" w:cs="宋体"/>
      <w:sz w:val="24"/>
      <w:szCs w:val="20"/>
    </w:rPr>
  </w:style>
  <w:style w:type="paragraph" w:customStyle="1" w:styleId="64">
    <w:name w:val="TOC 标题11"/>
    <w:basedOn w:val="3"/>
    <w:next w:val="1"/>
    <w:unhideWhenUsed/>
    <w:qFormat/>
    <w:uiPriority w:val="39"/>
    <w:pPr>
      <w:keepNext/>
      <w:keepLines/>
      <w:widowControl/>
      <w:spacing w:before="240" w:beforeAutospacing="0" w:after="0" w:afterAutospacing="0" w:line="259" w:lineRule="auto"/>
      <w:outlineLvl w:val="9"/>
    </w:pPr>
    <w:rPr>
      <w:rFonts w:hint="default" w:ascii="Calibri Light" w:hAnsi="Calibri Light" w:cs="Times New Roman"/>
      <w:b w:val="0"/>
      <w:color w:val="2E74B5"/>
      <w:kern w:val="0"/>
      <w:sz w:val="32"/>
      <w:szCs w:val="32"/>
    </w:rPr>
  </w:style>
  <w:style w:type="character" w:customStyle="1" w:styleId="65">
    <w:name w:val="批注文字 字符"/>
    <w:basedOn w:val="34"/>
    <w:link w:val="11"/>
    <w:semiHidden/>
    <w:qFormat/>
    <w:uiPriority w:val="0"/>
    <w:rPr>
      <w:rFonts w:ascii="Calibri" w:hAnsi="Calibri"/>
      <w:kern w:val="2"/>
      <w:sz w:val="21"/>
      <w:szCs w:val="22"/>
    </w:rPr>
  </w:style>
  <w:style w:type="character" w:customStyle="1" w:styleId="66">
    <w:name w:val="批注主题 字符"/>
    <w:basedOn w:val="65"/>
    <w:link w:val="30"/>
    <w:semiHidden/>
    <w:qFormat/>
    <w:uiPriority w:val="0"/>
    <w:rPr>
      <w:rFonts w:ascii="Calibri" w:hAnsi="Calibri"/>
      <w:b/>
      <w:bCs/>
      <w:kern w:val="2"/>
      <w:sz w:val="21"/>
      <w:szCs w:val="22"/>
    </w:rPr>
  </w:style>
  <w:style w:type="paragraph" w:customStyle="1" w:styleId="67">
    <w:name w:val="TOC 标题111"/>
    <w:basedOn w:val="3"/>
    <w:next w:val="1"/>
    <w:unhideWhenUsed/>
    <w:qFormat/>
    <w:uiPriority w:val="39"/>
    <w:pPr>
      <w:keepNext/>
      <w:keepLines/>
      <w:widowControl/>
      <w:spacing w:before="240" w:beforeAutospacing="0" w:after="0" w:afterAutospacing="0" w:line="259" w:lineRule="auto"/>
      <w:outlineLvl w:val="9"/>
    </w:pPr>
    <w:rPr>
      <w:rFonts w:hint="default" w:ascii="Calibri Light" w:hAnsi="Calibri Light" w:cs="Times New Roman"/>
      <w:b w:val="0"/>
      <w:color w:val="2E74B5"/>
      <w:kern w:val="0"/>
      <w:sz w:val="32"/>
      <w:szCs w:val="32"/>
    </w:rPr>
  </w:style>
  <w:style w:type="character" w:customStyle="1" w:styleId="68">
    <w:name w:val="正文文本 字符"/>
    <w:basedOn w:val="34"/>
    <w:link w:val="12"/>
    <w:semiHidden/>
    <w:qFormat/>
    <w:uiPriority w:val="0"/>
    <w:rPr>
      <w:rFonts w:ascii="Calibri" w:hAnsi="Calibri"/>
      <w:kern w:val="2"/>
      <w:sz w:val="21"/>
      <w:szCs w:val="22"/>
    </w:rPr>
  </w:style>
  <w:style w:type="character" w:customStyle="1" w:styleId="69">
    <w:name w:val="正文文本首行缩进 字符"/>
    <w:basedOn w:val="68"/>
    <w:link w:val="31"/>
    <w:semiHidden/>
    <w:qFormat/>
    <w:uiPriority w:val="0"/>
    <w:rPr>
      <w:rFonts w:ascii="Calibri" w:hAnsi="Calibri"/>
      <w:kern w:val="2"/>
      <w:sz w:val="21"/>
      <w:szCs w:val="22"/>
    </w:rPr>
  </w:style>
  <w:style w:type="paragraph" w:customStyle="1" w:styleId="70">
    <w:name w:val="TOC 标题1111"/>
    <w:basedOn w:val="3"/>
    <w:next w:val="1"/>
    <w:unhideWhenUsed/>
    <w:qFormat/>
    <w:uiPriority w:val="39"/>
    <w:pPr>
      <w:keepNext/>
      <w:keepLines/>
      <w:widowControl/>
      <w:spacing w:before="240" w:beforeAutospacing="0" w:after="0" w:afterAutospacing="0" w:line="259" w:lineRule="auto"/>
      <w:outlineLvl w:val="9"/>
    </w:pPr>
    <w:rPr>
      <w:rFonts w:hint="default" w:ascii="Calibri Light" w:hAnsi="Calibri Light" w:cs="Times New Roman"/>
      <w:b w:val="0"/>
      <w:color w:val="2E74B5"/>
      <w:kern w:val="0"/>
      <w:sz w:val="32"/>
      <w:szCs w:val="32"/>
    </w:rPr>
  </w:style>
  <w:style w:type="paragraph" w:customStyle="1" w:styleId="71">
    <w:name w:val="正文文本1"/>
    <w:basedOn w:val="1"/>
    <w:qFormat/>
    <w:uiPriority w:val="0"/>
    <w:pPr>
      <w:overflowPunct w:val="0"/>
      <w:spacing w:line="360" w:lineRule="auto"/>
      <w:ind w:firstLine="480" w:firstLineChars="200"/>
    </w:pPr>
    <w:rPr>
      <w:rFonts w:ascii="宋体" w:hAnsi="宋体"/>
      <w:kern w:val="0"/>
      <w:sz w:val="24"/>
      <w:szCs w:val="24"/>
    </w:rPr>
  </w:style>
  <w:style w:type="paragraph" w:customStyle="1" w:styleId="72">
    <w:name w:val="正文（DB）"/>
    <w:qFormat/>
    <w:uiPriority w:val="0"/>
    <w:pPr>
      <w:spacing w:line="360" w:lineRule="auto"/>
      <w:ind w:firstLine="200" w:firstLineChars="200"/>
      <w:jc w:val="both"/>
    </w:pPr>
    <w:rPr>
      <w:rFonts w:ascii="Times New Roman" w:hAnsi="Times New Roman" w:eastAsiaTheme="minorEastAsia" w:cstheme="minorBidi"/>
      <w:sz w:val="28"/>
      <w:szCs w:val="22"/>
      <w:lang w:val="en-US" w:eastAsia="zh-CN" w:bidi="ar-SA"/>
    </w:rPr>
  </w:style>
  <w:style w:type="paragraph" w:customStyle="1" w:styleId="73">
    <w:name w:val="样式 仿宋_GB2312 四号 行距: 固定值 24 磅"/>
    <w:basedOn w:val="1"/>
    <w:qFormat/>
    <w:uiPriority w:val="0"/>
    <w:pPr>
      <w:spacing w:line="480" w:lineRule="exact"/>
      <w:ind w:firstLine="560"/>
    </w:pPr>
    <w:rPr>
      <w:rFonts w:ascii="仿宋_GB2312" w:eastAsia="仿宋_GB2312" w:cs="宋体"/>
      <w:sz w:val="28"/>
      <w:szCs w:val="20"/>
    </w:rPr>
  </w:style>
  <w:style w:type="paragraph" w:customStyle="1" w:styleId="74">
    <w:name w:val="样式 样式 首行缩进:  2 字符1 + 首行缩进:  2 字符"/>
    <w:basedOn w:val="1"/>
    <w:qFormat/>
    <w:uiPriority w:val="0"/>
    <w:pPr>
      <w:topLinePunct/>
    </w:pPr>
    <w:rPr>
      <w:rFonts w:cs="宋体"/>
      <w:szCs w:val="20"/>
    </w:rPr>
  </w:style>
  <w:style w:type="paragraph" w:customStyle="1" w:styleId="75">
    <w:name w:val="修订1"/>
    <w:hidden/>
    <w:semiHidden/>
    <w:qFormat/>
    <w:uiPriority w:val="99"/>
    <w:rPr>
      <w:rFonts w:ascii="Calibri" w:hAnsi="Calibri" w:eastAsia="宋体" w:cs="Times New Roman"/>
      <w:kern w:val="2"/>
      <w:sz w:val="21"/>
      <w:szCs w:val="22"/>
      <w:lang w:val="en-US" w:eastAsia="zh-CN" w:bidi="ar-SA"/>
    </w:rPr>
  </w:style>
  <w:style w:type="character" w:customStyle="1" w:styleId="76">
    <w:name w:val="标题 3 字符"/>
    <w:link w:val="5"/>
    <w:qFormat/>
    <w:uiPriority w:val="9"/>
    <w:rPr>
      <w:rFonts w:ascii="Calibri" w:hAnsi="Calibri"/>
      <w:b/>
      <w:kern w:val="2"/>
      <w:sz w:val="32"/>
      <w:szCs w:val="22"/>
    </w:rPr>
  </w:style>
  <w:style w:type="paragraph" w:customStyle="1" w:styleId="77">
    <w:name w:val="_Style 76"/>
    <w:basedOn w:val="1"/>
    <w:next w:val="1"/>
    <w:qFormat/>
    <w:uiPriority w:val="0"/>
    <w:pPr>
      <w:pBdr>
        <w:bottom w:val="single" w:color="auto" w:sz="6" w:space="1"/>
      </w:pBdr>
      <w:jc w:val="center"/>
    </w:pPr>
    <w:rPr>
      <w:rFonts w:ascii="Arial"/>
      <w:vanish/>
      <w:sz w:val="16"/>
    </w:rPr>
  </w:style>
  <w:style w:type="paragraph" w:customStyle="1" w:styleId="78">
    <w:name w:val="_Style 77"/>
    <w:basedOn w:val="1"/>
    <w:next w:val="1"/>
    <w:qFormat/>
    <w:uiPriority w:val="0"/>
    <w:pPr>
      <w:pBdr>
        <w:top w:val="single" w:color="auto" w:sz="6" w:space="1"/>
      </w:pBdr>
      <w:jc w:val="center"/>
    </w:pPr>
    <w:rPr>
      <w:rFonts w:ascii="Arial"/>
      <w:vanish/>
      <w:sz w:val="16"/>
    </w:rPr>
  </w:style>
  <w:style w:type="paragraph" w:customStyle="1" w:styleId="79">
    <w:name w:val="p0"/>
    <w:basedOn w:val="1"/>
    <w:qFormat/>
    <w:uiPriority w:val="0"/>
    <w:rPr>
      <w:rFonts w:cs="宋体"/>
      <w:szCs w:val="21"/>
    </w:rPr>
  </w:style>
</w:styles>
</file>

<file path=word/_rels/document.xml.rels><?xml version="1.0" encoding="UTF-8" standalone="yes"?>
<Relationships xmlns="http://schemas.openxmlformats.org/package/2006/relationships"><Relationship Id="rId9" Type="http://schemas.openxmlformats.org/officeDocument/2006/relationships/image" Target="media/image2.png"/><Relationship Id="rId8" Type="http://schemas.openxmlformats.org/officeDocument/2006/relationships/image" Target="media/image1.png"/><Relationship Id="rId7" Type="http://schemas.openxmlformats.org/officeDocument/2006/relationships/theme" Target="theme/theme1.xml"/><Relationship Id="rId6" Type="http://schemas.openxmlformats.org/officeDocument/2006/relationships/footer" Target="footer2.xml"/><Relationship Id="rId5" Type="http://schemas.openxmlformats.org/officeDocument/2006/relationships/footer" Target="footer1.xml"/><Relationship Id="rId4" Type="http://schemas.openxmlformats.org/officeDocument/2006/relationships/header" Target="header2.xml"/><Relationship Id="rId32" Type="http://schemas.openxmlformats.org/officeDocument/2006/relationships/fontTable" Target="fontTable.xml"/><Relationship Id="rId31" Type="http://schemas.openxmlformats.org/officeDocument/2006/relationships/customXml" Target="../customXml/item2.xml"/><Relationship Id="rId30" Type="http://schemas.openxmlformats.org/officeDocument/2006/relationships/numbering" Target="numbering.xml"/><Relationship Id="rId3" Type="http://schemas.openxmlformats.org/officeDocument/2006/relationships/header" Target="header1.xml"/><Relationship Id="rId29" Type="http://schemas.openxmlformats.org/officeDocument/2006/relationships/customXml" Target="../customXml/item1.xml"/><Relationship Id="rId28" Type="http://schemas.openxmlformats.org/officeDocument/2006/relationships/image" Target="media/image21.jpeg"/><Relationship Id="rId27" Type="http://schemas.openxmlformats.org/officeDocument/2006/relationships/image" Target="media/image20.jpeg"/><Relationship Id="rId26" Type="http://schemas.openxmlformats.org/officeDocument/2006/relationships/image" Target="media/image19.jpeg"/><Relationship Id="rId25" Type="http://schemas.openxmlformats.org/officeDocument/2006/relationships/image" Target="media/image18.jpeg"/><Relationship Id="rId24" Type="http://schemas.openxmlformats.org/officeDocument/2006/relationships/image" Target="media/image17.jpeg"/><Relationship Id="rId23" Type="http://schemas.openxmlformats.org/officeDocument/2006/relationships/image" Target="media/image16.png"/><Relationship Id="rId22" Type="http://schemas.openxmlformats.org/officeDocument/2006/relationships/image" Target="media/image15.jpeg"/><Relationship Id="rId21" Type="http://schemas.openxmlformats.org/officeDocument/2006/relationships/image" Target="media/image14.jpeg"/><Relationship Id="rId20" Type="http://schemas.openxmlformats.org/officeDocument/2006/relationships/image" Target="media/image13.jpeg"/><Relationship Id="rId2" Type="http://schemas.openxmlformats.org/officeDocument/2006/relationships/settings" Target="settings.xml"/><Relationship Id="rId19" Type="http://schemas.openxmlformats.org/officeDocument/2006/relationships/image" Target="media/image12.jpeg"/><Relationship Id="rId18" Type="http://schemas.openxmlformats.org/officeDocument/2006/relationships/image" Target="media/image11.jpeg"/><Relationship Id="rId17" Type="http://schemas.openxmlformats.org/officeDocument/2006/relationships/image" Target="media/image10.jpeg"/><Relationship Id="rId16" Type="http://schemas.openxmlformats.org/officeDocument/2006/relationships/image" Target="media/image9.png"/><Relationship Id="rId15" Type="http://schemas.openxmlformats.org/officeDocument/2006/relationships/image" Target="media/image8.png"/><Relationship Id="rId14" Type="http://schemas.openxmlformats.org/officeDocument/2006/relationships/image" Target="media/image7.png"/><Relationship Id="rId13" Type="http://schemas.openxmlformats.org/officeDocument/2006/relationships/image" Target="media/image6.png"/><Relationship Id="rId12" Type="http://schemas.openxmlformats.org/officeDocument/2006/relationships/image" Target="media/image5.png"/><Relationship Id="rId11" Type="http://schemas.openxmlformats.org/officeDocument/2006/relationships/image" Target="media/image4.png"/><Relationship Id="rId10" Type="http://schemas.openxmlformats.org/officeDocument/2006/relationships/image" Target="media/image3.pn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4C72BE50-0CEE-4957-9526-42D3D1B14264}">
  <ds:schemaRefs/>
</ds:datastoreItem>
</file>

<file path=docProps/app.xml><?xml version="1.0" encoding="utf-8"?>
<Properties xmlns="http://schemas.openxmlformats.org/officeDocument/2006/extended-properties" xmlns:vt="http://schemas.openxmlformats.org/officeDocument/2006/docPropsVTypes">
  <Template>Normal.dotm</Template>
  <Company>Lenovo</Company>
  <Pages>25</Pages>
  <Words>12243</Words>
  <Characters>14825</Characters>
  <Lines>125</Lines>
  <Paragraphs>35</Paragraphs>
  <TotalTime>13</TotalTime>
  <ScaleCrop>false</ScaleCrop>
  <LinksUpToDate>false</LinksUpToDate>
  <CharactersWithSpaces>15293</CharactersWithSpaces>
  <Application>WPS Office_11.1.0.14309_F1E327BC-269C-435d-A152-05C5408002CA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2023-06-12T01:00:00Z</dcterms:created>
  <dc:creator>lenovo</dc:creator>
  <cp:lastModifiedBy>诺诺</cp:lastModifiedBy>
  <cp:lastPrinted>2020-03-09T05:07:00Z</cp:lastPrinted>
  <dcterms:modified xsi:type="dcterms:W3CDTF">2023-06-13T15:29:57Z</dcterms:modified>
  <dc:title>1、全球城镇化历程与基本规律</dc:title>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2052-11.1.0.14309</vt:lpwstr>
  </property>
  <property fmtid="{D5CDD505-2E9C-101B-9397-08002B2CF9AE}" pid="3" name="ICV">
    <vt:lpwstr>1468BEF0441A4A6EB70D8DFCEA1A8B31</vt:lpwstr>
  </property>
</Properties>
</file>