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0561" w:lineRule="exact"/>
        <w:ind w:firstLine="74"/>
        <w:textAlignment w:val="center"/>
      </w:pPr>
      <w:r>
        <w:drawing>
          <wp:inline distT="0" distB="0" distL="0" distR="0">
            <wp:extent cx="5217160" cy="6705600"/>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6"/>
                    <a:stretch>
                      <a:fillRect/>
                    </a:stretch>
                  </pic:blipFill>
                  <pic:spPr>
                    <a:xfrm>
                      <a:off x="0" y="0"/>
                      <a:ext cx="5217189" cy="6706130"/>
                    </a:xfrm>
                    <a:prstGeom prst="rect">
                      <a:avLst/>
                    </a:prstGeom>
                  </pic:spPr>
                </pic:pic>
              </a:graphicData>
            </a:graphic>
          </wp:inline>
        </w:drawing>
      </w:r>
    </w:p>
    <w:p>
      <w:pPr>
        <w:sectPr>
          <w:pgSz w:w="12246" w:h="16498"/>
          <w:pgMar w:top="1402" w:right="1836" w:bottom="0" w:left="1836" w:header="0" w:footer="0" w:gutter="0"/>
          <w:cols w:space="720" w:num="1"/>
        </w:sectPr>
      </w:pPr>
    </w:p>
    <w:p>
      <w:pPr>
        <w:rPr>
          <w:rFonts w:ascii="Arial"/>
          <w:sz w:val="21"/>
        </w:rPr>
      </w:pPr>
    </w:p>
    <w:p>
      <w:pPr>
        <w:sectPr>
          <w:headerReference r:id="rId5" w:type="default"/>
          <w:footerReference r:id="rId6" w:type="default"/>
          <w:pgSz w:w="12246" w:h="16498"/>
          <w:pgMar w:top="0" w:right="0" w:bottom="0" w:left="0" w:header="0" w:footer="0" w:gutter="0"/>
          <w:cols w:space="720" w:num="1"/>
        </w:sectPr>
      </w:pPr>
    </w:p>
    <w:p>
      <w:pPr>
        <w:spacing w:line="251" w:lineRule="auto"/>
        <w:rPr>
          <w:rFonts w:ascii="Arial"/>
          <w:sz w:val="21"/>
        </w:rPr>
      </w:pPr>
      <w:r>
        <w:drawing>
          <wp:anchor distT="0" distB="0" distL="0" distR="0" simplePos="0" relativeHeight="251664384" behindDoc="0" locked="0" layoutInCell="0" allowOverlap="1">
            <wp:simplePos x="0" y="0"/>
            <wp:positionH relativeFrom="page">
              <wp:posOffset>2269490</wp:posOffset>
            </wp:positionH>
            <wp:positionV relativeFrom="page">
              <wp:posOffset>3533775</wp:posOffset>
            </wp:positionV>
            <wp:extent cx="709930" cy="15621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7"/>
                    <a:stretch>
                      <a:fillRect/>
                    </a:stretch>
                  </pic:blipFill>
                  <pic:spPr>
                    <a:xfrm>
                      <a:off x="0" y="0"/>
                      <a:ext cx="710074" cy="156121"/>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4885055</wp:posOffset>
            </wp:positionH>
            <wp:positionV relativeFrom="page">
              <wp:posOffset>3533775</wp:posOffset>
            </wp:positionV>
            <wp:extent cx="1617980" cy="156210"/>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8"/>
                    <a:stretch>
                      <a:fillRect/>
                    </a:stretch>
                  </pic:blipFill>
                  <pic:spPr>
                    <a:xfrm>
                      <a:off x="0" y="0"/>
                      <a:ext cx="1617843" cy="156108"/>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1285875</wp:posOffset>
            </wp:positionH>
            <wp:positionV relativeFrom="page">
              <wp:posOffset>3533775</wp:posOffset>
            </wp:positionV>
            <wp:extent cx="914400" cy="15621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9"/>
                    <a:stretch>
                      <a:fillRect/>
                    </a:stretch>
                  </pic:blipFill>
                  <pic:spPr>
                    <a:xfrm>
                      <a:off x="0" y="0"/>
                      <a:ext cx="914602" cy="156121"/>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3134995</wp:posOffset>
            </wp:positionH>
            <wp:positionV relativeFrom="page">
              <wp:posOffset>3917315</wp:posOffset>
            </wp:positionV>
            <wp:extent cx="742315" cy="514985"/>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20"/>
                    <a:stretch>
                      <a:fillRect/>
                    </a:stretch>
                  </pic:blipFill>
                  <pic:spPr>
                    <a:xfrm>
                      <a:off x="0" y="0"/>
                      <a:ext cx="742593" cy="514850"/>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1564640</wp:posOffset>
            </wp:positionH>
            <wp:positionV relativeFrom="page">
              <wp:posOffset>9269730</wp:posOffset>
            </wp:positionV>
            <wp:extent cx="956310" cy="10414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1"/>
                    <a:stretch>
                      <a:fillRect/>
                    </a:stretch>
                  </pic:blipFill>
                  <pic:spPr>
                    <a:xfrm>
                      <a:off x="0" y="0"/>
                      <a:ext cx="956546" cy="104347"/>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2540635</wp:posOffset>
            </wp:positionH>
            <wp:positionV relativeFrom="page">
              <wp:posOffset>8815705</wp:posOffset>
            </wp:positionV>
            <wp:extent cx="225425" cy="261620"/>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22"/>
                    <a:stretch>
                      <a:fillRect/>
                    </a:stretch>
                  </pic:blipFill>
                  <pic:spPr>
                    <a:xfrm>
                      <a:off x="0" y="0"/>
                      <a:ext cx="225678" cy="261847"/>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3079750</wp:posOffset>
            </wp:positionH>
            <wp:positionV relativeFrom="page">
              <wp:posOffset>8824595</wp:posOffset>
            </wp:positionV>
            <wp:extent cx="257175" cy="24003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3"/>
                    <a:stretch>
                      <a:fillRect/>
                    </a:stretch>
                  </pic:blipFill>
                  <pic:spPr>
                    <a:xfrm>
                      <a:off x="0" y="0"/>
                      <a:ext cx="256946" cy="240324"/>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2797810</wp:posOffset>
            </wp:positionH>
            <wp:positionV relativeFrom="page">
              <wp:posOffset>8817610</wp:posOffset>
            </wp:positionV>
            <wp:extent cx="261620" cy="258445"/>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4"/>
                    <a:stretch>
                      <a:fillRect/>
                    </a:stretch>
                  </pic:blipFill>
                  <pic:spPr>
                    <a:xfrm>
                      <a:off x="0" y="0"/>
                      <a:ext cx="261632" cy="258133"/>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4468495</wp:posOffset>
            </wp:positionH>
            <wp:positionV relativeFrom="page">
              <wp:posOffset>8813165</wp:posOffset>
            </wp:positionV>
            <wp:extent cx="247650" cy="26416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5"/>
                    <a:stretch>
                      <a:fillRect/>
                    </a:stretch>
                  </pic:blipFill>
                  <pic:spPr>
                    <a:xfrm>
                      <a:off x="0" y="0"/>
                      <a:ext cx="247580" cy="263868"/>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4740275</wp:posOffset>
            </wp:positionH>
            <wp:positionV relativeFrom="page">
              <wp:posOffset>8816340</wp:posOffset>
            </wp:positionV>
            <wp:extent cx="524510" cy="259080"/>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26"/>
                    <a:stretch>
                      <a:fillRect/>
                    </a:stretch>
                  </pic:blipFill>
                  <pic:spPr>
                    <a:xfrm>
                      <a:off x="0" y="0"/>
                      <a:ext cx="524599" cy="259044"/>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4485640</wp:posOffset>
            </wp:positionH>
            <wp:positionV relativeFrom="page">
              <wp:posOffset>9267825</wp:posOffset>
            </wp:positionV>
            <wp:extent cx="214630" cy="10414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7"/>
                    <a:stretch>
                      <a:fillRect/>
                    </a:stretch>
                  </pic:blipFill>
                  <pic:spPr>
                    <a:xfrm>
                      <a:off x="0" y="0"/>
                      <a:ext cx="214791" cy="103949"/>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4749165</wp:posOffset>
            </wp:positionH>
            <wp:positionV relativeFrom="page">
              <wp:posOffset>9269095</wp:posOffset>
            </wp:positionV>
            <wp:extent cx="574675" cy="102235"/>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8"/>
                    <a:stretch>
                      <a:fillRect/>
                    </a:stretch>
                  </pic:blipFill>
                  <pic:spPr>
                    <a:xfrm>
                      <a:off x="0" y="0"/>
                      <a:ext cx="574789" cy="102139"/>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5328285</wp:posOffset>
            </wp:positionH>
            <wp:positionV relativeFrom="page">
              <wp:posOffset>9266555</wp:posOffset>
            </wp:positionV>
            <wp:extent cx="892175" cy="10477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9"/>
                    <a:stretch>
                      <a:fillRect/>
                    </a:stretch>
                  </pic:blipFill>
                  <pic:spPr>
                    <a:xfrm>
                      <a:off x="0" y="0"/>
                      <a:ext cx="891969" cy="104793"/>
                    </a:xfrm>
                    <a:prstGeom prst="rect">
                      <a:avLst/>
                    </a:prstGeom>
                  </pic:spPr>
                </pic:pic>
              </a:graphicData>
            </a:graphic>
          </wp:anchor>
        </w:drawing>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941" w:lineRule="exact"/>
        <w:ind w:firstLine="204"/>
        <w:textAlignment w:val="center"/>
      </w:pPr>
      <w:r>
        <w:drawing>
          <wp:inline distT="0" distB="0" distL="0" distR="0">
            <wp:extent cx="5197475" cy="596900"/>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30"/>
                    <a:stretch>
                      <a:fillRect/>
                    </a:stretch>
                  </pic:blipFill>
                  <pic:spPr>
                    <a:xfrm>
                      <a:off x="0" y="0"/>
                      <a:ext cx="5197641" cy="597155"/>
                    </a:xfrm>
                    <a:prstGeom prst="rect">
                      <a:avLst/>
                    </a:prstGeom>
                  </pic:spPr>
                </pic:pic>
              </a:graphicData>
            </a:graphic>
          </wp:inline>
        </w:drawing>
      </w:r>
    </w:p>
    <w:p>
      <w:pPr>
        <w:spacing w:line="419" w:lineRule="auto"/>
        <w:rPr>
          <w:rFonts w:ascii="Arial"/>
          <w:sz w:val="21"/>
        </w:rPr>
      </w:pPr>
    </w:p>
    <w:p>
      <w:pPr>
        <w:spacing w:line="246" w:lineRule="exact"/>
        <w:ind w:firstLine="2874"/>
        <w:textAlignment w:val="center"/>
      </w:pPr>
      <w:r>
        <w:drawing>
          <wp:inline distT="0" distB="0" distL="0" distR="0">
            <wp:extent cx="1884045" cy="1555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1"/>
                    <a:stretch>
                      <a:fillRect/>
                    </a:stretch>
                  </pic:blipFill>
                  <pic:spPr>
                    <a:xfrm>
                      <a:off x="0" y="0"/>
                      <a:ext cx="1884679" cy="156116"/>
                    </a:xfrm>
                    <a:prstGeom prst="rect">
                      <a:avLst/>
                    </a:prstGeom>
                  </pic:spPr>
                </pic:pic>
              </a:graphicData>
            </a:graphic>
          </wp:inline>
        </w:drawing>
      </w:r>
    </w:p>
    <w:p>
      <w:pPr>
        <w:spacing w:line="356" w:lineRule="auto"/>
        <w:rPr>
          <w:rFonts w:ascii="Arial"/>
          <w:sz w:val="21"/>
        </w:rPr>
      </w:pPr>
    </w:p>
    <w:p>
      <w:pPr>
        <w:spacing w:line="800" w:lineRule="exact"/>
        <w:ind w:firstLine="4332"/>
        <w:textAlignment w:val="center"/>
      </w:pPr>
      <w:r>
        <w:drawing>
          <wp:inline distT="0" distB="0" distL="0" distR="0">
            <wp:extent cx="752475" cy="507365"/>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32"/>
                    <a:stretch>
                      <a:fillRect/>
                    </a:stretch>
                  </pic:blipFill>
                  <pic:spPr>
                    <a:xfrm>
                      <a:off x="0" y="0"/>
                      <a:ext cx="752929" cy="507847"/>
                    </a:xfrm>
                    <a:prstGeom prst="rect">
                      <a:avLst/>
                    </a:prstGeom>
                  </pic:spPr>
                </pic:pic>
              </a:graphicData>
            </a:graphic>
          </wp:inline>
        </w:drawing>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224" w:lineRule="exact"/>
        <w:ind w:firstLine="3081"/>
        <w:textAlignment w:val="center"/>
      </w:pPr>
      <w:r>
        <w:drawing>
          <wp:inline distT="0" distB="0" distL="0" distR="0">
            <wp:extent cx="1537335" cy="141224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3"/>
                    <a:stretch>
                      <a:fillRect/>
                    </a:stretch>
                  </pic:blipFill>
                  <pic:spPr>
                    <a:xfrm>
                      <a:off x="0" y="0"/>
                      <a:ext cx="1537658" cy="1412671"/>
                    </a:xfrm>
                    <a:prstGeom prst="rect">
                      <a:avLst/>
                    </a:prstGeom>
                  </pic:spPr>
                </pic:pic>
              </a:graphicData>
            </a:graphic>
          </wp:inline>
        </w:drawing>
      </w:r>
    </w:p>
    <w:p>
      <w:pPr>
        <w:spacing w:line="356" w:lineRule="auto"/>
        <w:rPr>
          <w:rFonts w:ascii="Arial"/>
          <w:sz w:val="21"/>
        </w:rPr>
      </w:pPr>
    </w:p>
    <w:p>
      <w:pPr>
        <w:spacing w:line="356" w:lineRule="auto"/>
        <w:rPr>
          <w:rFonts w:ascii="Arial"/>
          <w:sz w:val="21"/>
        </w:rPr>
      </w:pPr>
    </w:p>
    <w:p>
      <w:pPr>
        <w:spacing w:line="409" w:lineRule="exact"/>
        <w:ind w:firstLine="3472"/>
        <w:textAlignment w:val="center"/>
      </w:pPr>
      <w:r>
        <w:drawing>
          <wp:inline distT="0" distB="0" distL="0" distR="0">
            <wp:extent cx="1057275" cy="25908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34"/>
                    <a:stretch>
                      <a:fillRect/>
                    </a:stretch>
                  </pic:blipFill>
                  <pic:spPr>
                    <a:xfrm>
                      <a:off x="0" y="0"/>
                      <a:ext cx="1057760" cy="259358"/>
                    </a:xfrm>
                    <a:prstGeom prst="rect">
                      <a:avLst/>
                    </a:prstGeom>
                  </pic:spPr>
                </pic:pic>
              </a:graphicData>
            </a:graphic>
          </wp:inline>
        </w:drawing>
      </w:r>
    </w:p>
    <w:p>
      <w:pPr>
        <w:spacing w:line="301" w:lineRule="auto"/>
        <w:rPr>
          <w:rFonts w:ascii="Arial"/>
          <w:sz w:val="21"/>
        </w:rPr>
      </w:pPr>
    </w:p>
    <w:p>
      <w:pPr>
        <w:spacing w:before="1" w:line="167" w:lineRule="exact"/>
        <w:ind w:firstLine="2201"/>
        <w:textAlignment w:val="center"/>
      </w:pPr>
      <w:r>
        <w:drawing>
          <wp:inline distT="0" distB="0" distL="0" distR="0">
            <wp:extent cx="1917700" cy="10541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5"/>
                    <a:stretch>
                      <a:fillRect/>
                    </a:stretch>
                  </pic:blipFill>
                  <pic:spPr>
                    <a:xfrm>
                      <a:off x="0" y="0"/>
                      <a:ext cx="1917851" cy="106028"/>
                    </a:xfrm>
                    <a:prstGeom prst="rect">
                      <a:avLst/>
                    </a:prstGeom>
                  </pic:spPr>
                </pic:pic>
              </a:graphicData>
            </a:graphic>
          </wp:inline>
        </w:drawing>
      </w:r>
    </w:p>
    <w:p>
      <w:pPr>
        <w:sectPr>
          <w:pgSz w:w="12246" w:h="16498"/>
          <w:pgMar w:top="400" w:right="1836" w:bottom="400" w:left="1836" w:header="0" w:footer="0" w:gutter="0"/>
          <w:cols w:space="720" w:num="1"/>
        </w:sectPr>
      </w:pPr>
    </w:p>
    <w:p>
      <w:pPr>
        <w:rPr>
          <w:rFonts w:ascii="Arial"/>
          <w:sz w:val="21"/>
        </w:rPr>
      </w:pPr>
      <w:r>
        <w:drawing>
          <wp:anchor distT="0" distB="0" distL="0" distR="0" simplePos="0" relativeHeight="251673600" behindDoc="0" locked="0" layoutInCell="0" allowOverlap="1">
            <wp:simplePos x="0" y="0"/>
            <wp:positionH relativeFrom="page">
              <wp:posOffset>111125</wp:posOffset>
            </wp:positionH>
            <wp:positionV relativeFrom="page">
              <wp:posOffset>0</wp:posOffset>
            </wp:positionV>
            <wp:extent cx="7665085" cy="10476230"/>
            <wp:effectExtent l="0" t="0" r="0" b="0"/>
            <wp:wrapNone/>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36"/>
                    <a:stretch>
                      <a:fillRect/>
                    </a:stretch>
                  </pic:blipFill>
                  <pic:spPr>
                    <a:xfrm>
                      <a:off x="0" y="0"/>
                      <a:ext cx="7664818" cy="10476001"/>
                    </a:xfrm>
                    <a:prstGeom prst="rect">
                      <a:avLst/>
                    </a:prstGeom>
                  </pic:spPr>
                </pic:pic>
              </a:graphicData>
            </a:graphic>
          </wp:anchor>
        </w:drawing>
      </w:r>
    </w:p>
    <w:p>
      <w:pPr>
        <w:sectPr>
          <w:pgSz w:w="12246" w:h="16498"/>
          <w:pgMar w:top="400" w:right="0" w:bottom="400" w:left="175" w:header="0" w:footer="0" w:gutter="0"/>
          <w:cols w:space="720" w:num="1"/>
        </w:sectPr>
      </w:pPr>
    </w:p>
    <w:p>
      <w:pPr>
        <w:spacing w:line="241" w:lineRule="auto"/>
        <w:rPr>
          <w:rFonts w:ascii="Arial"/>
          <w:sz w:val="21"/>
        </w:rPr>
      </w:pPr>
      <w:r>
        <w:drawing>
          <wp:anchor distT="0" distB="0" distL="0" distR="0" simplePos="0" relativeHeight="251675648" behindDoc="1" locked="0" layoutInCell="0" allowOverlap="1">
            <wp:simplePos x="0" y="0"/>
            <wp:positionH relativeFrom="page">
              <wp:posOffset>98425</wp:posOffset>
            </wp:positionH>
            <wp:positionV relativeFrom="page">
              <wp:posOffset>10052685</wp:posOffset>
            </wp:positionV>
            <wp:extent cx="7677150" cy="42291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7"/>
                    <a:stretch>
                      <a:fillRect/>
                    </a:stretch>
                  </pic:blipFill>
                  <pic:spPr>
                    <a:xfrm>
                      <a:off x="0" y="0"/>
                      <a:ext cx="7677099"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442"/>
        <w:rPr>
          <w:rFonts w:ascii="Arial" w:hAnsi="Arial" w:eastAsia="Arial" w:cs="Arial"/>
          <w:sz w:val="20"/>
          <w:szCs w:val="20"/>
        </w:rPr>
      </w:pPr>
      <w:r>
        <w:rPr>
          <w:rFonts w:ascii="SimHei" w:hAnsi="SimHei" w:eastAsia="SimHei" w:cs="SimHei"/>
          <w:color w:val="1A67B3"/>
          <w:spacing w:val="24"/>
          <w:position w:val="1"/>
          <w:sz w:val="21"/>
          <w:szCs w:val="21"/>
          <w14:textOutline w14:w="3175" w14:cap="flat" w14:cmpd="sng">
            <w14:solidFill>
              <w14:srgbClr w14:val="1A67B3"/>
            </w14:solidFill>
            <w14:prstDash w14:val="solid"/>
            <w14:miter w14:val="0"/>
          </w14:textOutline>
        </w:rPr>
        <w:t>前言</w:t>
      </w:r>
      <w:r>
        <w:rPr>
          <w:rFonts w:ascii="SimHei" w:hAnsi="SimHei" w:eastAsia="SimHei" w:cs="SimHei"/>
          <w:color w:val="1A67B3"/>
          <w:spacing w:val="24"/>
          <w:position w:val="1"/>
          <w:sz w:val="21"/>
          <w:szCs w:val="21"/>
        </w:rPr>
        <w:t xml:space="preserve"> </w:t>
      </w:r>
      <w:r>
        <w:rPr>
          <w:position w:val="-3"/>
          <w:sz w:val="21"/>
          <w:szCs w:val="21"/>
        </w:rPr>
        <w:drawing>
          <wp:inline distT="0" distB="0" distL="0" distR="0">
            <wp:extent cx="3175" cy="147320"/>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4"/>
          <w:position w:val="1"/>
          <w:sz w:val="21"/>
          <w:szCs w:val="21"/>
        </w:rPr>
        <w:t xml:space="preserve">  </w:t>
      </w:r>
      <w:r>
        <w:rPr>
          <w:rFonts w:ascii="宋体" w:hAnsi="宋体" w:eastAsia="宋体" w:cs="宋体"/>
          <w:color w:val="537DBF"/>
          <w:spacing w:val="24"/>
          <w:position w:val="1"/>
          <w:sz w:val="21"/>
          <w:szCs w:val="21"/>
        </w:rPr>
        <w:t xml:space="preserve">中国外商投资报告 2022  </w:t>
      </w:r>
      <w:r>
        <w:rPr>
          <w:position w:val="-3"/>
          <w:sz w:val="21"/>
          <w:szCs w:val="21"/>
        </w:rPr>
        <w:drawing>
          <wp:inline distT="0" distB="0" distL="0" distR="0">
            <wp:extent cx="3175" cy="14732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4"/>
          <w:position w:val="1"/>
          <w:sz w:val="21"/>
          <w:szCs w:val="21"/>
        </w:rPr>
        <w:t xml:space="preserve">  </w:t>
      </w:r>
      <w:r>
        <w:rPr>
          <w:rFonts w:ascii="宋体" w:hAnsi="宋体" w:eastAsia="宋体" w:cs="宋体"/>
          <w:color w:val="537DBF"/>
          <w:spacing w:val="19"/>
          <w:position w:val="1"/>
          <w:sz w:val="21"/>
          <w:szCs w:val="21"/>
        </w:rPr>
        <w:t xml:space="preserve"> </w:t>
      </w:r>
      <w:r>
        <w:rPr>
          <w:rFonts w:ascii="Arial" w:hAnsi="Arial" w:eastAsia="Arial" w:cs="Arial"/>
          <w:color w:val="231F20"/>
          <w:position w:val="1"/>
          <w:sz w:val="20"/>
          <w:szCs w:val="20"/>
        </w:rPr>
        <w:t>I</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156" w:line="222" w:lineRule="auto"/>
        <w:ind w:left="5450"/>
        <w:rPr>
          <w:rFonts w:ascii="SimHei" w:hAnsi="SimHei" w:eastAsia="SimHei" w:cs="SimHei"/>
          <w:sz w:val="48"/>
          <w:szCs w:val="48"/>
        </w:rPr>
      </w:pPr>
      <w:r>
        <w:rPr>
          <w:rFonts w:ascii="SimHei" w:hAnsi="SimHei" w:eastAsia="SimHei" w:cs="SimHei"/>
          <w:color w:val="015DAC"/>
          <w:spacing w:val="-33"/>
          <w:sz w:val="48"/>
          <w:szCs w:val="48"/>
        </w:rPr>
        <w:t>前</w:t>
      </w:r>
      <w:r>
        <w:rPr>
          <w:rFonts w:ascii="SimHei" w:hAnsi="SimHei" w:eastAsia="SimHei" w:cs="SimHei"/>
          <w:color w:val="015DAC"/>
          <w:spacing w:val="-32"/>
          <w:sz w:val="48"/>
          <w:szCs w:val="48"/>
        </w:rPr>
        <w:t xml:space="preserve"> 言</w:t>
      </w: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94" w:line="260" w:lineRule="auto"/>
        <w:ind w:left="1851" w:right="1916" w:firstLine="459"/>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改革开放以来 ，随着中</w:t>
      </w:r>
      <w:r>
        <w:rPr>
          <w:rFonts w:ascii="微软雅黑" w:hAnsi="微软雅黑" w:eastAsia="微软雅黑" w:cs="微软雅黑"/>
          <w:color w:val="231F20"/>
          <w:spacing w:val="-2"/>
          <w:sz w:val="22"/>
          <w:szCs w:val="22"/>
        </w:rPr>
        <w:t>国对外开放程度不断提高 ，利用外资规模逐步扩大 ，外资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逐步成为中国经济发展</w:t>
      </w:r>
      <w:r>
        <w:rPr>
          <w:rFonts w:ascii="微软雅黑" w:hAnsi="微软雅黑" w:eastAsia="微软雅黑" w:cs="微软雅黑"/>
          <w:color w:val="231F20"/>
          <w:spacing w:val="1"/>
          <w:sz w:val="22"/>
          <w:szCs w:val="22"/>
        </w:rPr>
        <w:t>的重要力量 ，在推动产业升级、增加税收、促进就业等方面发</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挥</w:t>
      </w:r>
      <w:r>
        <w:rPr>
          <w:rFonts w:ascii="微软雅黑" w:hAnsi="微软雅黑" w:eastAsia="微软雅黑" w:cs="微软雅黑"/>
          <w:color w:val="231F20"/>
          <w:spacing w:val="-1"/>
          <w:sz w:val="22"/>
          <w:szCs w:val="22"/>
        </w:rPr>
        <w:t>了重要作用。特别是新冠肺炎疫情在全球蔓延以来，在全球跨国投资波动的情况下，</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中国利用外资</w:t>
      </w:r>
      <w:r>
        <w:rPr>
          <w:rFonts w:ascii="微软雅黑" w:hAnsi="微软雅黑" w:eastAsia="微软雅黑" w:cs="微软雅黑"/>
          <w:color w:val="231F20"/>
          <w:sz w:val="22"/>
          <w:szCs w:val="22"/>
        </w:rPr>
        <w:t>始终保持稳定增长 ，对服务构建新发展格局起到了重要作用。</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年中 </w:t>
      </w:r>
      <w:r>
        <w:rPr>
          <w:rFonts w:ascii="微软雅黑" w:hAnsi="微软雅黑" w:eastAsia="微软雅黑" w:cs="微软雅黑"/>
          <w:color w:val="231F20"/>
          <w:spacing w:val="-4"/>
          <w:sz w:val="22"/>
          <w:szCs w:val="22"/>
        </w:rPr>
        <w:t xml:space="preserve">国全年实际使用外资达到 </w:t>
      </w:r>
      <w:r>
        <w:rPr>
          <w:rFonts w:ascii="Times New Roman" w:hAnsi="Times New Roman" w:eastAsia="Times New Roman" w:cs="Times New Roman"/>
          <w:color w:val="231F20"/>
          <w:spacing w:val="-4"/>
          <w:sz w:val="22"/>
          <w:szCs w:val="22"/>
        </w:rPr>
        <w:t>1</w:t>
      </w:r>
      <w:r>
        <w:rPr>
          <w:rFonts w:ascii="Times New Roman" w:hAnsi="Times New Roman" w:eastAsia="Times New Roman" w:cs="Times New Roman"/>
          <w:color w:val="231F20"/>
          <w:spacing w:val="-3"/>
          <w:sz w:val="22"/>
          <w:szCs w:val="22"/>
        </w:rPr>
        <w:t>8</w:t>
      </w:r>
      <w:r>
        <w:rPr>
          <w:rFonts w:ascii="Times New Roman" w:hAnsi="Times New Roman" w:eastAsia="Times New Roman" w:cs="Times New Roman"/>
          <w:color w:val="231F20"/>
          <w:spacing w:val="-2"/>
          <w:sz w:val="22"/>
          <w:szCs w:val="22"/>
        </w:rPr>
        <w:t xml:space="preserve">09.6 </w:t>
      </w:r>
      <w:r>
        <w:rPr>
          <w:rFonts w:ascii="微软雅黑" w:hAnsi="微软雅黑" w:eastAsia="微软雅黑" w:cs="微软雅黑"/>
          <w:color w:val="231F20"/>
          <w:spacing w:val="-2"/>
          <w:sz w:val="22"/>
          <w:szCs w:val="22"/>
        </w:rPr>
        <w:t xml:space="preserve">亿美元 ，增速达 </w:t>
      </w:r>
      <w:r>
        <w:rPr>
          <w:rFonts w:ascii="Times New Roman" w:hAnsi="Times New Roman" w:eastAsia="Times New Roman" w:cs="Times New Roman"/>
          <w:color w:val="231F20"/>
          <w:spacing w:val="-2"/>
          <w:sz w:val="22"/>
          <w:szCs w:val="22"/>
        </w:rPr>
        <w:t xml:space="preserve">21.2% </w:t>
      </w:r>
      <w:r>
        <w:rPr>
          <w:rFonts w:ascii="微软雅黑" w:hAnsi="微软雅黑" w:eastAsia="微软雅黑" w:cs="微软雅黑"/>
          <w:color w:val="231F20"/>
          <w:spacing w:val="-2"/>
          <w:sz w:val="22"/>
          <w:szCs w:val="22"/>
        </w:rPr>
        <w:t xml:space="preserve">，新设外资企业 </w:t>
      </w:r>
      <w:r>
        <w:rPr>
          <w:rFonts w:ascii="Times New Roman" w:hAnsi="Times New Roman" w:eastAsia="Times New Roman" w:cs="Times New Roman"/>
          <w:color w:val="231F20"/>
          <w:spacing w:val="-2"/>
          <w:sz w:val="22"/>
          <w:szCs w:val="22"/>
        </w:rPr>
        <w:t xml:space="preserve">4.8 </w:t>
      </w:r>
      <w:r>
        <w:rPr>
          <w:rFonts w:ascii="微软雅黑" w:hAnsi="微软雅黑" w:eastAsia="微软雅黑" w:cs="微软雅黑"/>
          <w:color w:val="231F20"/>
          <w:spacing w:val="-2"/>
          <w:sz w:val="22"/>
          <w:szCs w:val="22"/>
        </w:rPr>
        <w:t>万家，  同</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比增长 </w:t>
      </w:r>
      <w:r>
        <w:rPr>
          <w:rFonts w:ascii="Times New Roman" w:hAnsi="Times New Roman" w:eastAsia="Times New Roman" w:cs="Times New Roman"/>
          <w:color w:val="231F20"/>
          <w:spacing w:val="-2"/>
          <w:sz w:val="22"/>
          <w:szCs w:val="22"/>
        </w:rPr>
        <w:t xml:space="preserve">23.5% </w:t>
      </w:r>
      <w:r>
        <w:rPr>
          <w:rFonts w:ascii="微软雅黑" w:hAnsi="微软雅黑" w:eastAsia="微软雅黑" w:cs="微软雅黑"/>
          <w:color w:val="231F20"/>
          <w:spacing w:val="-2"/>
          <w:sz w:val="22"/>
          <w:szCs w:val="22"/>
        </w:rPr>
        <w:t>，实现引资规模和企业数</w:t>
      </w:r>
      <w:r>
        <w:rPr>
          <w:rFonts w:ascii="微软雅黑" w:hAnsi="微软雅黑" w:eastAsia="微软雅黑" w:cs="微软雅黑"/>
          <w:color w:val="231F20"/>
          <w:spacing w:val="-1"/>
          <w:sz w:val="22"/>
          <w:szCs w:val="22"/>
        </w:rPr>
        <w:t>量“双增长”。</w:t>
      </w:r>
    </w:p>
    <w:p>
      <w:pPr>
        <w:spacing w:before="172" w:line="266" w:lineRule="auto"/>
        <w:ind w:left="1828" w:right="1971" w:firstLine="479"/>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 xml:space="preserve">为全面分析和展示 </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年中国外商投资发展情况，本报告内容共分为《综合篇》 </w:t>
      </w:r>
      <w:r>
        <w:rPr>
          <w:rFonts w:ascii="微软雅黑" w:hAnsi="微软雅黑" w:eastAsia="微软雅黑" w:cs="微软雅黑"/>
          <w:color w:val="231F20"/>
          <w:spacing w:val="2"/>
          <w:sz w:val="22"/>
          <w:szCs w:val="22"/>
        </w:rPr>
        <w:t>《产业篇》《地方篇》 三</w:t>
      </w:r>
      <w:r>
        <w:rPr>
          <w:rFonts w:ascii="微软雅黑" w:hAnsi="微软雅黑" w:eastAsia="微软雅黑" w:cs="微软雅黑"/>
          <w:color w:val="231F20"/>
          <w:spacing w:val="1"/>
          <w:sz w:val="22"/>
          <w:szCs w:val="22"/>
        </w:rPr>
        <w:t xml:space="preserve">篇 ，在系统分析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年中国外商投资总体情况的基础上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分别从行业、地区等维度展示了外</w:t>
      </w:r>
      <w:r>
        <w:rPr>
          <w:rFonts w:ascii="微软雅黑" w:hAnsi="微软雅黑" w:eastAsia="微软雅黑" w:cs="微软雅黑"/>
          <w:color w:val="231F20"/>
          <w:spacing w:val="1"/>
          <w:sz w:val="22"/>
          <w:szCs w:val="22"/>
        </w:rPr>
        <w:t>商投资具体情况。</w:t>
      </w:r>
    </w:p>
    <w:p>
      <w:pPr>
        <w:spacing w:before="180" w:line="256" w:lineRule="auto"/>
        <w:ind w:left="1843" w:right="1985" w:firstLine="464"/>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总体来看，</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 ，在世界经济缓慢复苏、新</w:t>
      </w:r>
      <w:r>
        <w:rPr>
          <w:rFonts w:ascii="微软雅黑" w:hAnsi="微软雅黑" w:eastAsia="微软雅黑" w:cs="微软雅黑"/>
          <w:color w:val="231F20"/>
          <w:sz w:val="22"/>
          <w:szCs w:val="22"/>
        </w:rPr>
        <w:t xml:space="preserve">冠疫情持续蔓延、全球产业链供应 </w:t>
      </w:r>
      <w:r>
        <w:rPr>
          <w:rFonts w:ascii="微软雅黑" w:hAnsi="微软雅黑" w:eastAsia="微软雅黑" w:cs="微软雅黑"/>
          <w:color w:val="231F20"/>
          <w:spacing w:val="-6"/>
          <w:sz w:val="22"/>
          <w:szCs w:val="22"/>
        </w:rPr>
        <w:t>链受阻等复杂</w:t>
      </w:r>
      <w:r>
        <w:rPr>
          <w:rFonts w:ascii="微软雅黑" w:hAnsi="微软雅黑" w:eastAsia="微软雅黑" w:cs="微软雅黑"/>
          <w:color w:val="231F20"/>
          <w:spacing w:val="-4"/>
          <w:sz w:val="22"/>
          <w:szCs w:val="22"/>
        </w:rPr>
        <w:t>多</w:t>
      </w:r>
      <w:r>
        <w:rPr>
          <w:rFonts w:ascii="微软雅黑" w:hAnsi="微软雅黑" w:eastAsia="微软雅黑" w:cs="微软雅黑"/>
          <w:color w:val="231F20"/>
          <w:spacing w:val="-3"/>
          <w:sz w:val="22"/>
          <w:szCs w:val="22"/>
        </w:rPr>
        <w:t>变的国际形势下，  中国科学统筹疫情防控和经济社会发展，  国民经济</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持续稳定恢复 ，高质量发展取得新成效 ，对外商投资形成了强大吸引力 ，促进了</w:t>
      </w:r>
      <w:r>
        <w:rPr>
          <w:rFonts w:ascii="微软雅黑" w:hAnsi="微软雅黑" w:eastAsia="微软雅黑" w:cs="微软雅黑"/>
          <w:color w:val="231F20"/>
          <w:spacing w:val="-1"/>
          <w:sz w:val="22"/>
          <w:szCs w:val="22"/>
        </w:rPr>
        <w:t>外</w:t>
      </w:r>
      <w:r>
        <w:rPr>
          <w:rFonts w:ascii="微软雅黑" w:hAnsi="微软雅黑" w:eastAsia="微软雅黑" w:cs="微软雅黑"/>
          <w:color w:val="231F20"/>
          <w:sz w:val="22"/>
          <w:szCs w:val="22"/>
        </w:rPr>
        <w:t xml:space="preserve">商 </w:t>
      </w:r>
      <w:r>
        <w:rPr>
          <w:rFonts w:ascii="微软雅黑" w:hAnsi="微软雅黑" w:eastAsia="微软雅黑" w:cs="微软雅黑"/>
          <w:color w:val="231F20"/>
          <w:spacing w:val="-1"/>
          <w:sz w:val="22"/>
          <w:szCs w:val="22"/>
        </w:rPr>
        <w:t xml:space="preserve">投资持续增长。同时， </w:t>
      </w:r>
      <w:r>
        <w:rPr>
          <w:rFonts w:ascii="微软雅黑" w:hAnsi="微软雅黑" w:eastAsia="微软雅黑" w:cs="微软雅黑"/>
          <w:color w:val="231F20"/>
          <w:sz w:val="22"/>
          <w:szCs w:val="22"/>
        </w:rPr>
        <w:t xml:space="preserve"> 中国引资呈现出一些新特点。</w:t>
      </w:r>
      <w:r>
        <w:rPr>
          <w:rFonts w:ascii="SimHei" w:hAnsi="SimHei" w:eastAsia="SimHei" w:cs="SimHei"/>
          <w:color w:val="231F20"/>
          <w:sz w:val="22"/>
          <w:szCs w:val="22"/>
        </w:rPr>
        <w:t>一是利用外资结构持续优化，</w:t>
      </w:r>
      <w:r>
        <w:rPr>
          <w:rFonts w:ascii="微软雅黑" w:hAnsi="微软雅黑" w:eastAsia="微软雅黑" w:cs="微软雅黑"/>
          <w:color w:val="231F20"/>
          <w:sz w:val="22"/>
          <w:szCs w:val="22"/>
        </w:rPr>
        <w:t xml:space="preserve">高 </w:t>
      </w:r>
      <w:r>
        <w:rPr>
          <w:rFonts w:ascii="微软雅黑" w:hAnsi="微软雅黑" w:eastAsia="微软雅黑" w:cs="微软雅黑"/>
          <w:color w:val="231F20"/>
          <w:spacing w:val="-4"/>
          <w:sz w:val="22"/>
          <w:szCs w:val="22"/>
        </w:rPr>
        <w:t xml:space="preserve">技术产业引资增长 </w:t>
      </w:r>
      <w:r>
        <w:rPr>
          <w:rFonts w:ascii="Times New Roman" w:hAnsi="Times New Roman" w:eastAsia="Times New Roman" w:cs="Times New Roman"/>
          <w:color w:val="231F20"/>
          <w:spacing w:val="-4"/>
          <w:sz w:val="22"/>
          <w:szCs w:val="22"/>
        </w:rPr>
        <w:t>22. 1%</w:t>
      </w:r>
      <w:r>
        <w:rPr>
          <w:rFonts w:ascii="微软雅黑" w:hAnsi="微软雅黑" w:eastAsia="微软雅黑" w:cs="微软雅黑"/>
          <w:color w:val="231F20"/>
          <w:spacing w:val="-4"/>
          <w:sz w:val="22"/>
          <w:szCs w:val="22"/>
        </w:rPr>
        <w:t xml:space="preserve">，   </w:t>
      </w:r>
      <w:r>
        <w:rPr>
          <w:rFonts w:ascii="微软雅黑" w:hAnsi="微软雅黑" w:eastAsia="微软雅黑" w:cs="微软雅黑"/>
          <w:color w:val="231F20"/>
          <w:spacing w:val="-2"/>
          <w:sz w:val="22"/>
          <w:szCs w:val="22"/>
        </w:rPr>
        <w:t xml:space="preserve">占比提升至 </w:t>
      </w:r>
      <w:r>
        <w:rPr>
          <w:rFonts w:ascii="Times New Roman" w:hAnsi="Times New Roman" w:eastAsia="Times New Roman" w:cs="Times New Roman"/>
          <w:color w:val="231F20"/>
          <w:spacing w:val="-2"/>
          <w:sz w:val="22"/>
          <w:szCs w:val="22"/>
        </w:rPr>
        <w:t xml:space="preserve">28.8% </w:t>
      </w:r>
      <w:r>
        <w:rPr>
          <w:rFonts w:ascii="微软雅黑" w:hAnsi="微软雅黑" w:eastAsia="微软雅黑" w:cs="微软雅黑"/>
          <w:color w:val="231F20"/>
          <w:spacing w:val="-2"/>
          <w:sz w:val="22"/>
          <w:szCs w:val="22"/>
        </w:rPr>
        <w:t>，成为引资新增长点。</w:t>
      </w:r>
      <w:r>
        <w:rPr>
          <w:rFonts w:ascii="SimHei" w:hAnsi="SimHei" w:eastAsia="SimHei" w:cs="SimHei"/>
          <w:color w:val="231F20"/>
          <w:spacing w:val="-2"/>
          <w:sz w:val="22"/>
          <w:szCs w:val="22"/>
        </w:rPr>
        <w:t>二是重大项目支</w:t>
      </w:r>
      <w:r>
        <w:rPr>
          <w:rFonts w:ascii="SimHei" w:hAnsi="SimHei" w:eastAsia="SimHei" w:cs="SimHei"/>
          <w:color w:val="231F20"/>
          <w:sz w:val="22"/>
          <w:szCs w:val="22"/>
        </w:rPr>
        <w:t xml:space="preserve"> </w:t>
      </w:r>
      <w:r>
        <w:rPr>
          <w:rFonts w:ascii="SimHei" w:hAnsi="SimHei" w:eastAsia="SimHei" w:cs="SimHei"/>
          <w:color w:val="231F20"/>
          <w:spacing w:val="1"/>
          <w:sz w:val="22"/>
          <w:szCs w:val="22"/>
        </w:rPr>
        <w:t>撑作用显著，</w:t>
      </w:r>
      <w:r>
        <w:rPr>
          <w:rFonts w:ascii="微软雅黑" w:hAnsi="微软雅黑" w:eastAsia="微软雅黑" w:cs="微软雅黑"/>
          <w:color w:val="231F20"/>
          <w:spacing w:val="1"/>
          <w:sz w:val="22"/>
          <w:szCs w:val="22"/>
        </w:rPr>
        <w:t>合同外资</w:t>
      </w:r>
      <w:r>
        <w:rPr>
          <w:rFonts w:ascii="Times New Roman" w:hAnsi="Times New Roman" w:eastAsia="Times New Roman" w:cs="Times New Roman"/>
          <w:color w:val="231F20"/>
          <w:spacing w:val="1"/>
          <w:sz w:val="22"/>
          <w:szCs w:val="22"/>
        </w:rPr>
        <w:t xml:space="preserve">5000 </w:t>
      </w:r>
      <w:r>
        <w:rPr>
          <w:rFonts w:ascii="微软雅黑" w:hAnsi="微软雅黑" w:eastAsia="微软雅黑" w:cs="微软雅黑"/>
          <w:color w:val="231F20"/>
          <w:spacing w:val="1"/>
          <w:sz w:val="22"/>
          <w:szCs w:val="22"/>
        </w:rPr>
        <w:t>万美元、</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亿美元以上的大项目数量分别增</w:t>
      </w:r>
      <w:r>
        <w:rPr>
          <w:rFonts w:ascii="微软雅黑" w:hAnsi="微软雅黑" w:eastAsia="微软雅黑" w:cs="微软雅黑"/>
          <w:color w:val="231F20"/>
          <w:sz w:val="22"/>
          <w:szCs w:val="22"/>
        </w:rPr>
        <w:t xml:space="preserve">长了 </w:t>
      </w:r>
      <w:r>
        <w:rPr>
          <w:rFonts w:ascii="Times New Roman" w:hAnsi="Times New Roman" w:eastAsia="Times New Roman" w:cs="Times New Roman"/>
          <w:color w:val="231F20"/>
          <w:sz w:val="22"/>
          <w:szCs w:val="22"/>
        </w:rPr>
        <w:t xml:space="preserve">26. 1% </w:t>
      </w:r>
      <w:r>
        <w:rPr>
          <w:rFonts w:ascii="微软雅黑" w:hAnsi="微软雅黑" w:eastAsia="微软雅黑" w:cs="微软雅黑"/>
          <w:color w:val="231F20"/>
          <w:sz w:val="22"/>
          <w:szCs w:val="22"/>
        </w:rPr>
        <w:t xml:space="preserve">和 </w:t>
      </w:r>
      <w:r>
        <w:rPr>
          <w:rFonts w:ascii="Times New Roman" w:hAnsi="Times New Roman" w:eastAsia="Times New Roman" w:cs="Times New Roman"/>
          <w:color w:val="231F20"/>
          <w:spacing w:val="4"/>
          <w:sz w:val="22"/>
          <w:szCs w:val="22"/>
        </w:rPr>
        <w:t>25.5%</w:t>
      </w:r>
      <w:r>
        <w:rPr>
          <w:rFonts w:ascii="微软雅黑" w:hAnsi="微软雅黑" w:eastAsia="微软雅黑" w:cs="微软雅黑"/>
          <w:color w:val="231F20"/>
          <w:spacing w:val="4"/>
          <w:sz w:val="22"/>
          <w:szCs w:val="22"/>
        </w:rPr>
        <w:t>。</w:t>
      </w:r>
      <w:r>
        <w:rPr>
          <w:rFonts w:ascii="SimHei" w:hAnsi="SimHei" w:eastAsia="SimHei" w:cs="SimHei"/>
          <w:color w:val="231F20"/>
          <w:spacing w:val="4"/>
          <w:sz w:val="22"/>
          <w:szCs w:val="22"/>
        </w:rPr>
        <w:t>三是开放平台引资效应凸显，</w:t>
      </w:r>
      <w:r>
        <w:rPr>
          <w:rFonts w:ascii="Times New Roman" w:hAnsi="Times New Roman" w:eastAsia="Times New Roman" w:cs="Times New Roman"/>
          <w:color w:val="231F20"/>
          <w:spacing w:val="4"/>
          <w:sz w:val="22"/>
          <w:szCs w:val="22"/>
        </w:rPr>
        <w:t xml:space="preserve">21 </w:t>
      </w:r>
      <w:r>
        <w:rPr>
          <w:rFonts w:ascii="微软雅黑" w:hAnsi="微软雅黑" w:eastAsia="微软雅黑" w:cs="微软雅黑"/>
          <w:color w:val="231F20"/>
          <w:spacing w:val="4"/>
          <w:sz w:val="22"/>
          <w:szCs w:val="22"/>
        </w:rPr>
        <w:t>个自由贸易试验区实际使用外资占全国</w:t>
      </w:r>
      <w:r>
        <w:rPr>
          <w:rFonts w:ascii="微软雅黑" w:hAnsi="微软雅黑" w:eastAsia="微软雅黑" w:cs="微软雅黑"/>
          <w:color w:val="231F20"/>
          <w:sz w:val="22"/>
          <w:szCs w:val="22"/>
        </w:rPr>
        <w:t xml:space="preserve">吸收 </w:t>
      </w:r>
      <w:r>
        <w:rPr>
          <w:rFonts w:ascii="微软雅黑" w:hAnsi="微软雅黑" w:eastAsia="微软雅黑" w:cs="微软雅黑"/>
          <w:color w:val="231F20"/>
          <w:spacing w:val="6"/>
          <w:sz w:val="22"/>
          <w:szCs w:val="22"/>
        </w:rPr>
        <w:t xml:space="preserve">外商投资的 </w:t>
      </w:r>
      <w:r>
        <w:rPr>
          <w:rFonts w:ascii="Times New Roman" w:hAnsi="Times New Roman" w:eastAsia="Times New Roman" w:cs="Times New Roman"/>
          <w:color w:val="231F20"/>
          <w:spacing w:val="6"/>
          <w:sz w:val="22"/>
          <w:szCs w:val="22"/>
        </w:rPr>
        <w:t>18.6</w:t>
      </w:r>
      <w:r>
        <w:rPr>
          <w:rFonts w:ascii="Times New Roman" w:hAnsi="Times New Roman" w:eastAsia="Times New Roman" w:cs="Times New Roman"/>
          <w:color w:val="231F20"/>
          <w:spacing w:val="5"/>
          <w:sz w:val="22"/>
          <w:szCs w:val="22"/>
        </w:rPr>
        <w:t>%</w:t>
      </w:r>
      <w:r>
        <w:rPr>
          <w:rFonts w:ascii="微软雅黑" w:hAnsi="微软雅黑" w:eastAsia="微软雅黑" w:cs="微软雅黑"/>
          <w:color w:val="231F20"/>
          <w:spacing w:val="3"/>
          <w:sz w:val="22"/>
          <w:szCs w:val="22"/>
        </w:rPr>
        <w:t>。</w:t>
      </w:r>
      <w:r>
        <w:rPr>
          <w:rFonts w:ascii="Times New Roman" w:hAnsi="Times New Roman" w:eastAsia="Times New Roman" w:cs="Times New Roman"/>
          <w:color w:val="231F20"/>
          <w:spacing w:val="3"/>
          <w:sz w:val="22"/>
          <w:szCs w:val="22"/>
        </w:rPr>
        <w:t xml:space="preserve">230 </w:t>
      </w:r>
      <w:r>
        <w:rPr>
          <w:rFonts w:ascii="微软雅黑" w:hAnsi="微软雅黑" w:eastAsia="微软雅黑" w:cs="微软雅黑"/>
          <w:color w:val="231F20"/>
          <w:spacing w:val="3"/>
          <w:sz w:val="22"/>
          <w:szCs w:val="22"/>
        </w:rPr>
        <w:t xml:space="preserve">家国家级经济技术开发区实际使用外资同比增长 </w:t>
      </w:r>
      <w:r>
        <w:rPr>
          <w:rFonts w:ascii="Times New Roman" w:hAnsi="Times New Roman" w:eastAsia="Times New Roman" w:cs="Times New Roman"/>
          <w:color w:val="231F20"/>
          <w:spacing w:val="3"/>
          <w:sz w:val="22"/>
          <w:szCs w:val="22"/>
        </w:rPr>
        <w:t xml:space="preserve">25.7% </w:t>
      </w:r>
      <w:r>
        <w:rPr>
          <w:rFonts w:ascii="微软雅黑" w:hAnsi="微软雅黑" w:eastAsia="微软雅黑" w:cs="微软雅黑"/>
          <w:color w:val="231F20"/>
          <w:spacing w:val="3"/>
          <w:sz w:val="22"/>
          <w:szCs w:val="22"/>
        </w:rPr>
        <w:t>，增</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速高于全国平均增</w:t>
      </w:r>
      <w:r>
        <w:rPr>
          <w:rFonts w:ascii="微软雅黑" w:hAnsi="微软雅黑" w:eastAsia="微软雅黑" w:cs="微软雅黑"/>
          <w:color w:val="231F20"/>
          <w:spacing w:val="2"/>
          <w:sz w:val="22"/>
          <w:szCs w:val="22"/>
        </w:rPr>
        <w:t xml:space="preserve">速 </w:t>
      </w:r>
      <w:r>
        <w:rPr>
          <w:rFonts w:ascii="Times New Roman" w:hAnsi="Times New Roman" w:eastAsia="Times New Roman" w:cs="Times New Roman"/>
          <w:color w:val="231F20"/>
          <w:spacing w:val="2"/>
          <w:sz w:val="22"/>
          <w:szCs w:val="22"/>
        </w:rPr>
        <w:t xml:space="preserve">5.5 </w:t>
      </w:r>
      <w:r>
        <w:rPr>
          <w:rFonts w:ascii="微软雅黑" w:hAnsi="微软雅黑" w:eastAsia="微软雅黑" w:cs="微软雅黑"/>
          <w:color w:val="231F20"/>
          <w:spacing w:val="2"/>
          <w:sz w:val="22"/>
          <w:szCs w:val="22"/>
        </w:rPr>
        <w:t>个百分点 ，为稳外资做出了积极贡献。</w:t>
      </w:r>
      <w:r>
        <w:rPr>
          <w:rFonts w:ascii="SimHei" w:hAnsi="SimHei" w:eastAsia="SimHei" w:cs="SimHei"/>
          <w:color w:val="231F20"/>
          <w:spacing w:val="2"/>
          <w:sz w:val="22"/>
          <w:szCs w:val="22"/>
        </w:rPr>
        <w:t>四是外资企业在华经</w:t>
      </w:r>
      <w:r>
        <w:rPr>
          <w:rFonts w:ascii="SimHei" w:hAnsi="SimHei" w:eastAsia="SimHei" w:cs="SimHei"/>
          <w:color w:val="231F20"/>
          <w:sz w:val="22"/>
          <w:szCs w:val="22"/>
        </w:rPr>
        <w:t xml:space="preserve"> </w:t>
      </w:r>
      <w:r>
        <w:rPr>
          <w:rFonts w:ascii="SimHei" w:hAnsi="SimHei" w:eastAsia="SimHei" w:cs="SimHei"/>
          <w:color w:val="231F20"/>
          <w:spacing w:val="2"/>
          <w:sz w:val="22"/>
          <w:szCs w:val="22"/>
        </w:rPr>
        <w:t>营持续向好，</w:t>
      </w:r>
      <w:r>
        <w:rPr>
          <w:rFonts w:ascii="微软雅黑" w:hAnsi="微软雅黑" w:eastAsia="微软雅黑" w:cs="微软雅黑"/>
          <w:color w:val="231F20"/>
          <w:spacing w:val="2"/>
          <w:sz w:val="22"/>
          <w:szCs w:val="22"/>
        </w:rPr>
        <w:t>规模以上外资</w:t>
      </w:r>
      <w:r>
        <w:rPr>
          <w:rFonts w:ascii="微软雅黑" w:hAnsi="微软雅黑" w:eastAsia="微软雅黑" w:cs="微软雅黑"/>
          <w:color w:val="231F20"/>
          <w:spacing w:val="1"/>
          <w:sz w:val="22"/>
          <w:szCs w:val="22"/>
        </w:rPr>
        <w:t>工业企业营业收入、经营利润连续两年正增长 ，且增长速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度加快 </w:t>
      </w:r>
      <w:r>
        <w:rPr>
          <w:rFonts w:ascii="微软雅黑" w:hAnsi="微软雅黑" w:eastAsia="微软雅黑" w:cs="微软雅黑"/>
          <w:color w:val="231F20"/>
          <w:spacing w:val="-2"/>
          <w:sz w:val="22"/>
          <w:szCs w:val="22"/>
        </w:rPr>
        <w:t>，进一步增强了外资企业在华投资信心。</w:t>
      </w:r>
    </w:p>
    <w:p>
      <w:pPr>
        <w:sectPr>
          <w:pgSz w:w="12246" w:h="16498"/>
          <w:pgMar w:top="400" w:right="0" w:bottom="400" w:left="155" w:header="0" w:footer="0" w:gutter="0"/>
          <w:cols w:space="720" w:num="1"/>
        </w:sectPr>
      </w:pPr>
    </w:p>
    <w:p>
      <w:pPr>
        <w:spacing w:line="357" w:lineRule="auto"/>
        <w:rPr>
          <w:rFonts w:ascii="Arial"/>
          <w:sz w:val="21"/>
        </w:rPr>
      </w:pPr>
      <w:r>
        <w:drawing>
          <wp:anchor distT="0" distB="0" distL="0" distR="0" simplePos="0" relativeHeight="25167667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606"/>
        <w:rPr>
          <w:rFonts w:ascii="SimHei" w:hAnsi="SimHei" w:eastAsia="SimHei" w:cs="SimHei"/>
          <w:sz w:val="21"/>
          <w:szCs w:val="21"/>
        </w:rPr>
      </w:pPr>
      <w:r>
        <w:rPr>
          <w:rFonts w:ascii="Arial" w:hAnsi="Arial" w:eastAsia="Arial" w:cs="Arial"/>
          <w:color w:val="231F20"/>
          <w:sz w:val="20"/>
          <w:szCs w:val="20"/>
        </w:rPr>
        <w:t>II</w:t>
      </w:r>
      <w:r>
        <w:rPr>
          <w:rFonts w:ascii="Arial" w:hAnsi="Arial" w:eastAsia="Arial" w:cs="Arial"/>
          <w:color w:val="231F20"/>
          <w:spacing w:val="21"/>
          <w:sz w:val="20"/>
          <w:szCs w:val="20"/>
        </w:rPr>
        <w:t xml:space="preserve">    </w:t>
      </w:r>
      <w:r>
        <w:rPr>
          <w:position w:val="-5"/>
          <w:sz w:val="20"/>
          <w:szCs w:val="20"/>
        </w:rPr>
        <w:drawing>
          <wp:inline distT="0" distB="0" distL="0" distR="0">
            <wp:extent cx="3175" cy="1473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前</w:t>
      </w:r>
      <w:r>
        <w:rPr>
          <w:rFonts w:ascii="SimHei" w:hAnsi="SimHei" w:eastAsia="SimHei" w:cs="SimHei"/>
          <w:color w:val="1A67B3"/>
          <w:spacing w:val="20"/>
          <w:sz w:val="21"/>
          <w:szCs w:val="21"/>
          <w14:textOutline w14:w="3175" w14:cap="flat" w14:cmpd="sng">
            <w14:solidFill>
              <w14:srgbClr w14:val="1A67B3"/>
            </w14:solidFill>
            <w14:prstDash w14:val="solid"/>
            <w14:miter w14:val="0"/>
          </w14:textOutline>
        </w:rPr>
        <w:t>言</w:t>
      </w: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94" w:line="261" w:lineRule="auto"/>
        <w:ind w:left="1990" w:right="1983" w:firstLine="452"/>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分行</w:t>
      </w:r>
      <w:r>
        <w:rPr>
          <w:rFonts w:ascii="微软雅黑" w:hAnsi="微软雅黑" w:eastAsia="微软雅黑" w:cs="微软雅黑"/>
          <w:color w:val="231F20"/>
          <w:spacing w:val="-5"/>
          <w:sz w:val="22"/>
          <w:szCs w:val="22"/>
        </w:rPr>
        <w:t>业</w:t>
      </w:r>
      <w:r>
        <w:rPr>
          <w:rFonts w:ascii="微软雅黑" w:hAnsi="微软雅黑" w:eastAsia="微软雅黑" w:cs="微软雅黑"/>
          <w:color w:val="231F20"/>
          <w:spacing w:val="-3"/>
          <w:sz w:val="22"/>
          <w:szCs w:val="22"/>
        </w:rPr>
        <w:t>看，</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年 ，为推动产业转型升级、促进产业高质量发展，  中国不仅实施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了稳外贸稳外资政策 ，而且在医药、汽车、  电子信息</w:t>
      </w:r>
      <w:r>
        <w:rPr>
          <w:rFonts w:ascii="微软雅黑" w:hAnsi="微软雅黑" w:eastAsia="微软雅黑" w:cs="微软雅黑"/>
          <w:color w:val="231F20"/>
          <w:spacing w:val="-1"/>
          <w:sz w:val="22"/>
          <w:szCs w:val="22"/>
        </w:rPr>
        <w:t>、化工、食品等制造行业和生产</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性服务业领域 ，持续在扩大行业开放、完善扶持政策、优化监</w:t>
      </w:r>
      <w:r>
        <w:rPr>
          <w:rFonts w:ascii="微软雅黑" w:hAnsi="微软雅黑" w:eastAsia="微软雅黑" w:cs="微软雅黑"/>
          <w:color w:val="231F20"/>
          <w:spacing w:val="1"/>
          <w:sz w:val="22"/>
          <w:szCs w:val="22"/>
        </w:rPr>
        <w:t>管制度、深化行业改革</w:t>
      </w:r>
      <w:r>
        <w:rPr>
          <w:rFonts w:ascii="微软雅黑" w:hAnsi="微软雅黑" w:eastAsia="微软雅黑" w:cs="微软雅黑"/>
          <w:color w:val="231F20"/>
          <w:sz w:val="22"/>
          <w:szCs w:val="22"/>
        </w:rPr>
        <w:t xml:space="preserve"> 等方面出台了一系列政策措施 ，为外商投资企业营造了良好的投资环境 ，促进了重点 </w:t>
      </w:r>
      <w:r>
        <w:rPr>
          <w:rFonts w:ascii="微软雅黑" w:hAnsi="微软雅黑" w:eastAsia="微软雅黑" w:cs="微软雅黑"/>
          <w:color w:val="231F20"/>
          <w:spacing w:val="1"/>
          <w:sz w:val="22"/>
          <w:szCs w:val="22"/>
        </w:rPr>
        <w:t>行业利用外资规模持续增长、在华外资企业经</w:t>
      </w:r>
      <w:r>
        <w:rPr>
          <w:rFonts w:ascii="微软雅黑" w:hAnsi="微软雅黑" w:eastAsia="微软雅黑" w:cs="微软雅黑"/>
          <w:color w:val="231F20"/>
          <w:sz w:val="22"/>
          <w:szCs w:val="22"/>
        </w:rPr>
        <w:t>营稳步发展。</w:t>
      </w:r>
    </w:p>
    <w:p>
      <w:pPr>
        <w:tabs>
          <w:tab w:val="left" w:pos="2086"/>
        </w:tabs>
        <w:spacing w:before="173" w:line="260" w:lineRule="auto"/>
        <w:ind w:left="1976" w:right="1984" w:firstLine="465"/>
        <w:rPr>
          <w:rFonts w:ascii="微软雅黑" w:hAnsi="微软雅黑" w:eastAsia="微软雅黑" w:cs="微软雅黑"/>
          <w:sz w:val="22"/>
          <w:szCs w:val="22"/>
        </w:rPr>
      </w:pPr>
      <w:r>
        <w:rPr>
          <w:rFonts w:ascii="微软雅黑" w:hAnsi="微软雅黑" w:eastAsia="微软雅黑" w:cs="微软雅黑"/>
          <w:color w:val="231F20"/>
          <w:spacing w:val="-12"/>
          <w:sz w:val="22"/>
          <w:szCs w:val="22"/>
        </w:rPr>
        <w:t>分地区看</w:t>
      </w:r>
      <w:r>
        <w:rPr>
          <w:rFonts w:ascii="微软雅黑" w:hAnsi="微软雅黑" w:eastAsia="微软雅黑" w:cs="微软雅黑"/>
          <w:color w:val="231F20"/>
          <w:spacing w:val="-10"/>
          <w:sz w:val="22"/>
          <w:szCs w:val="22"/>
        </w:rPr>
        <w:t xml:space="preserve"> </w:t>
      </w:r>
      <w:r>
        <w:rPr>
          <w:rFonts w:ascii="微软雅黑" w:hAnsi="微软雅黑" w:eastAsia="微软雅黑" w:cs="微软雅黑"/>
          <w:color w:val="231F20"/>
          <w:spacing w:val="-6"/>
          <w:sz w:val="22"/>
          <w:szCs w:val="22"/>
        </w:rPr>
        <w:t>，</w:t>
      </w:r>
      <w:r>
        <w:rPr>
          <w:rFonts w:ascii="Times New Roman" w:hAnsi="Times New Roman" w:eastAsia="Times New Roman" w:cs="Times New Roman"/>
          <w:color w:val="231F20"/>
          <w:spacing w:val="-6"/>
          <w:sz w:val="22"/>
          <w:szCs w:val="22"/>
        </w:rPr>
        <w:t xml:space="preserve">2021 </w:t>
      </w:r>
      <w:r>
        <w:rPr>
          <w:rFonts w:ascii="微软雅黑" w:hAnsi="微软雅黑" w:eastAsia="微软雅黑" w:cs="微软雅黑"/>
          <w:color w:val="231F20"/>
          <w:spacing w:val="-6"/>
          <w:sz w:val="22"/>
          <w:szCs w:val="22"/>
        </w:rPr>
        <w:t>年 ，北京 、上海 、江苏 、浙江 、  山东 、广东等外商投资重点省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z w:val="22"/>
          <w:szCs w:val="22"/>
        </w:rPr>
        <w:tab/>
      </w:r>
      <w:r>
        <w:rPr>
          <w:rFonts w:ascii="微软雅黑" w:hAnsi="微软雅黑" w:eastAsia="微软雅黑" w:cs="微软雅黑"/>
          <w:color w:val="231F20"/>
          <w:spacing w:val="-1"/>
          <w:sz w:val="22"/>
          <w:szCs w:val="22"/>
        </w:rPr>
        <w:t xml:space="preserve">( 市 ) </w:t>
      </w:r>
      <w:r>
        <w:rPr>
          <w:rFonts w:ascii="微软雅黑" w:hAnsi="微软雅黑" w:eastAsia="微软雅黑" w:cs="微软雅黑"/>
          <w:color w:val="231F20"/>
          <w:sz w:val="22"/>
          <w:szCs w:val="22"/>
        </w:rPr>
        <w:t xml:space="preserve">和河南 、湖北 、重庆 、陕西等中西部地区部分省 ( 市 )  ，  立足自身发展优势 </w:t>
      </w:r>
      <w:r>
        <w:rPr>
          <w:rFonts w:ascii="微软雅黑" w:hAnsi="微软雅黑" w:eastAsia="微软雅黑" w:cs="微软雅黑"/>
          <w:color w:val="231F20"/>
          <w:spacing w:val="1"/>
          <w:sz w:val="22"/>
          <w:szCs w:val="22"/>
        </w:rPr>
        <w:t>和服务国家重大战略，  围绕</w:t>
      </w:r>
      <w:r>
        <w:rPr>
          <w:rFonts w:ascii="微软雅黑" w:hAnsi="微软雅黑" w:eastAsia="微软雅黑" w:cs="微软雅黑"/>
          <w:color w:val="231F20"/>
          <w:sz w:val="22"/>
          <w:szCs w:val="22"/>
        </w:rPr>
        <w:t xml:space="preserve">推动开放型经济高质量发展，全力做好“稳外资”工作， </w:t>
      </w:r>
      <w:r>
        <w:rPr>
          <w:rFonts w:ascii="微软雅黑" w:hAnsi="微软雅黑" w:eastAsia="微软雅黑" w:cs="微软雅黑"/>
          <w:color w:val="231F20"/>
          <w:spacing w:val="10"/>
          <w:sz w:val="22"/>
          <w:szCs w:val="22"/>
        </w:rPr>
        <w:t>通</w:t>
      </w:r>
      <w:r>
        <w:rPr>
          <w:rFonts w:ascii="微软雅黑" w:hAnsi="微软雅黑" w:eastAsia="微软雅黑" w:cs="微软雅黑"/>
          <w:color w:val="231F20"/>
          <w:spacing w:val="8"/>
          <w:sz w:val="22"/>
          <w:szCs w:val="22"/>
        </w:rPr>
        <w:t>过积极出台相关外资促进政策 ，推进自贸试验区和国家级经济技术开发区等开放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平台建设，  创新外商投资促进和服务机制 ，优化外商投资环境，  实现利用外</w:t>
      </w:r>
      <w:r>
        <w:rPr>
          <w:rFonts w:ascii="微软雅黑" w:hAnsi="微软雅黑" w:eastAsia="微软雅黑" w:cs="微软雅黑"/>
          <w:color w:val="231F20"/>
          <w:sz w:val="22"/>
          <w:szCs w:val="22"/>
        </w:rPr>
        <w:t xml:space="preserve">资质量 </w:t>
      </w:r>
      <w:r>
        <w:rPr>
          <w:rFonts w:ascii="微软雅黑" w:hAnsi="微软雅黑" w:eastAsia="微软雅黑" w:cs="微软雅黑"/>
          <w:color w:val="231F20"/>
          <w:spacing w:val="5"/>
          <w:sz w:val="22"/>
          <w:szCs w:val="22"/>
        </w:rPr>
        <w:t>和</w:t>
      </w:r>
      <w:r>
        <w:rPr>
          <w:rFonts w:ascii="微软雅黑" w:hAnsi="微软雅黑" w:eastAsia="微软雅黑" w:cs="微软雅黑"/>
          <w:color w:val="231F20"/>
          <w:spacing w:val="4"/>
          <w:sz w:val="22"/>
          <w:szCs w:val="22"/>
        </w:rPr>
        <w:t>水平持续提高。</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67769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635"/>
        <w:rPr>
          <w:rFonts w:ascii="Arial" w:hAnsi="Arial" w:eastAsia="Arial" w:cs="Arial"/>
          <w:sz w:val="20"/>
          <w:szCs w:val="20"/>
        </w:rPr>
      </w:pPr>
      <w:r>
        <w:rPr>
          <w:rFonts w:ascii="SimHei" w:hAnsi="SimHei" w:eastAsia="SimHei" w:cs="SimHei"/>
          <w:color w:val="1A67B3"/>
          <w:spacing w:val="35"/>
          <w:position w:val="1"/>
          <w:sz w:val="21"/>
          <w:szCs w:val="21"/>
          <w14:textOutline w14:w="3175" w14:cap="flat" w14:cmpd="sng">
            <w14:solidFill>
              <w14:srgbClr w14:val="1A67B3"/>
            </w14:solidFill>
            <w14:prstDash w14:val="solid"/>
            <w14:miter w14:val="0"/>
          </w14:textOutline>
        </w:rPr>
        <w:t>目</w:t>
      </w:r>
      <w:r>
        <w:rPr>
          <w:rFonts w:ascii="SimHei" w:hAnsi="SimHei" w:eastAsia="SimHei" w:cs="SimHei"/>
          <w:color w:val="1A67B3"/>
          <w:spacing w:val="24"/>
          <w:position w:val="1"/>
          <w:sz w:val="21"/>
          <w:szCs w:val="21"/>
          <w14:textOutline w14:w="3175" w14:cap="flat" w14:cmpd="sng">
            <w14:solidFill>
              <w14:srgbClr w14:val="1A67B3"/>
            </w14:solidFill>
            <w14:prstDash w14:val="solid"/>
            <w14:miter w14:val="0"/>
          </w14:textOutline>
        </w:rPr>
        <w:t>录</w:t>
      </w:r>
      <w:r>
        <w:rPr>
          <w:rFonts w:ascii="SimHei" w:hAnsi="SimHei" w:eastAsia="SimHei" w:cs="SimHei"/>
          <w:color w:val="1A67B3"/>
          <w:spacing w:val="24"/>
          <w:position w:val="1"/>
          <w:sz w:val="21"/>
          <w:szCs w:val="21"/>
        </w:rPr>
        <w:t xml:space="preserve"> </w:t>
      </w:r>
      <w:r>
        <w:rPr>
          <w:position w:val="-3"/>
          <w:sz w:val="21"/>
          <w:szCs w:val="21"/>
        </w:rPr>
        <w:drawing>
          <wp:inline distT="0" distB="0" distL="0" distR="0">
            <wp:extent cx="3175" cy="147320"/>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4"/>
          <w:position w:val="1"/>
          <w:sz w:val="21"/>
          <w:szCs w:val="21"/>
        </w:rPr>
        <w:t xml:space="preserve">  </w:t>
      </w:r>
      <w:r>
        <w:rPr>
          <w:rFonts w:ascii="宋体" w:hAnsi="宋体" w:eastAsia="宋体" w:cs="宋体"/>
          <w:color w:val="537DBF"/>
          <w:spacing w:val="24"/>
          <w:position w:val="1"/>
          <w:sz w:val="21"/>
          <w:szCs w:val="21"/>
        </w:rPr>
        <w:t xml:space="preserve">中国外商投资报告 2022  </w:t>
      </w:r>
      <w:r>
        <w:rPr>
          <w:position w:val="-3"/>
          <w:sz w:val="21"/>
          <w:szCs w:val="21"/>
        </w:rPr>
        <w:drawing>
          <wp:inline distT="0" distB="0" distL="0" distR="0">
            <wp:extent cx="3175" cy="14732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4"/>
          <w:position w:val="1"/>
          <w:sz w:val="21"/>
          <w:szCs w:val="21"/>
        </w:rPr>
        <w:t xml:space="preserve">  </w:t>
      </w:r>
      <w:r>
        <w:rPr>
          <w:rFonts w:ascii="Arial" w:hAnsi="Arial" w:eastAsia="Arial" w:cs="Arial"/>
          <w:color w:val="231F20"/>
          <w:spacing w:val="24"/>
          <w:position w:val="1"/>
          <w:sz w:val="20"/>
          <w:szCs w:val="20"/>
        </w:rPr>
        <w:t>1</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56" w:line="222" w:lineRule="auto"/>
        <w:ind w:left="5467"/>
        <w:rPr>
          <w:rFonts w:ascii="SimHei" w:hAnsi="SimHei" w:eastAsia="SimHei" w:cs="SimHei"/>
          <w:sz w:val="48"/>
          <w:szCs w:val="48"/>
        </w:rPr>
      </w:pPr>
      <w:r>
        <w:rPr>
          <w:rFonts w:ascii="SimHei" w:hAnsi="SimHei" w:eastAsia="SimHei" w:cs="SimHei"/>
          <w:color w:val="015DAC"/>
          <w:spacing w:val="-58"/>
          <w:sz w:val="48"/>
          <w:szCs w:val="48"/>
        </w:rPr>
        <w:t>目</w:t>
      </w:r>
      <w:r>
        <w:rPr>
          <w:rFonts w:ascii="SimHei" w:hAnsi="SimHei" w:eastAsia="SimHei" w:cs="SimHei"/>
          <w:color w:val="015DAC"/>
          <w:spacing w:val="-57"/>
          <w:sz w:val="48"/>
          <w:szCs w:val="48"/>
        </w:rPr>
        <w:t xml:space="preserve"> 录</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sdt>
      <w:sdtPr>
        <w:rPr>
          <w:rFonts w:ascii="SimHei" w:hAnsi="SimHei" w:eastAsia="SimHei" w:cs="SimHei"/>
          <w:sz w:val="24"/>
          <w:szCs w:val="24"/>
        </w:rPr>
        <w:id w:val="8"/>
        <w:docPartObj>
          <w:docPartGallery w:val="Table of Contents"/>
          <w:docPartUnique/>
        </w:docPartObj>
      </w:sdtPr>
      <w:sdtEndPr>
        <w:rPr>
          <w:rFonts w:ascii="Times New Roman" w:hAnsi="Times New Roman" w:eastAsia="Times New Roman" w:cs="Times New Roman"/>
          <w:sz w:val="22"/>
          <w:szCs w:val="22"/>
        </w:rPr>
      </w:sdtEndPr>
      <w:sdtContent>
        <w:p>
          <w:pPr>
            <w:tabs>
              <w:tab w:val="right" w:leader="dot" w:pos="10246"/>
            </w:tabs>
            <w:spacing w:before="78" w:line="222" w:lineRule="auto"/>
            <w:ind w:left="1610"/>
            <w:rPr>
              <w:rFonts w:ascii="Times New Roman" w:hAnsi="Times New Roman" w:eastAsia="Times New Roman" w:cs="Times New Roman"/>
              <w:sz w:val="24"/>
              <w:szCs w:val="24"/>
            </w:rPr>
          </w:pPr>
          <w:r>
            <w:rPr>
              <w:rFonts w:ascii="SimHei" w:hAnsi="SimHei" w:eastAsia="SimHei" w:cs="SimHei"/>
              <w:color w:val="015DAC"/>
              <w:spacing w:val="-13"/>
              <w:sz w:val="24"/>
              <w:szCs w:val="24"/>
            </w:rPr>
            <w:t xml:space="preserve">前  言 </w:t>
          </w:r>
          <w:r>
            <w:rPr>
              <w:rFonts w:ascii="SimHei" w:hAnsi="SimHei" w:eastAsia="SimHei" w:cs="SimHei"/>
              <w:sz w:val="24"/>
              <w:szCs w:val="24"/>
            </w:rPr>
            <w:tab/>
          </w:r>
          <w:r>
            <w:rPr>
              <w:rFonts w:ascii="Times New Roman" w:hAnsi="Times New Roman" w:eastAsia="Times New Roman" w:cs="Times New Roman"/>
              <w:color w:val="015DAC"/>
              <w:spacing w:val="-13"/>
              <w:sz w:val="24"/>
              <w:szCs w:val="24"/>
            </w:rPr>
            <w:t>I</w:t>
          </w:r>
        </w:p>
        <w:p>
          <w:pPr>
            <w:spacing w:line="337" w:lineRule="auto"/>
            <w:rPr>
              <w:rFonts w:ascii="Arial"/>
              <w:sz w:val="21"/>
            </w:rPr>
          </w:pPr>
        </w:p>
        <w:p>
          <w:pPr>
            <w:tabs>
              <w:tab w:val="right" w:leader="dot" w:pos="10260"/>
            </w:tabs>
            <w:spacing w:before="78" w:line="222" w:lineRule="auto"/>
            <w:ind w:left="1609"/>
            <w:rPr>
              <w:rFonts w:ascii="Times New Roman" w:hAnsi="Times New Roman" w:eastAsia="Times New Roman" w:cs="Times New Roman"/>
              <w:sz w:val="24"/>
              <w:szCs w:val="24"/>
            </w:rPr>
          </w:pPr>
          <w:r>
            <w:rPr>
              <w:rFonts w:ascii="SimHei" w:hAnsi="SimHei" w:eastAsia="SimHei" w:cs="SimHei"/>
              <w:color w:val="015DAC"/>
              <w:spacing w:val="1"/>
              <w:sz w:val="24"/>
              <w:szCs w:val="24"/>
            </w:rPr>
            <w:t>综合</w:t>
          </w:r>
          <w:r>
            <w:rPr>
              <w:rFonts w:ascii="SimHei" w:hAnsi="SimHei" w:eastAsia="SimHei" w:cs="SimHei"/>
              <w:color w:val="015DAC"/>
              <w:sz w:val="24"/>
              <w:szCs w:val="24"/>
            </w:rPr>
            <w:t>篇</w:t>
          </w:r>
          <w:r>
            <w:rPr>
              <w:rFonts w:ascii="SimHei" w:hAnsi="SimHei" w:eastAsia="SimHei" w:cs="SimHei"/>
              <w:sz w:val="24"/>
              <w:szCs w:val="24"/>
            </w:rPr>
            <w:tab/>
          </w:r>
          <w:r>
            <w:fldChar w:fldCharType="begin"/>
          </w:r>
          <w:r>
            <w:instrText xml:space="preserve"> HYPERLINK \l "_bookmark1" </w:instrText>
          </w:r>
          <w:r>
            <w:fldChar w:fldCharType="separate"/>
          </w:r>
          <w:r>
            <w:rPr>
              <w:rFonts w:ascii="Times New Roman" w:hAnsi="Times New Roman" w:eastAsia="Times New Roman" w:cs="Times New Roman"/>
              <w:color w:val="015DAC"/>
              <w:sz w:val="24"/>
              <w:szCs w:val="24"/>
            </w:rPr>
            <w:t>1</w:t>
          </w:r>
          <w:r>
            <w:rPr>
              <w:rFonts w:ascii="Times New Roman" w:hAnsi="Times New Roman" w:eastAsia="Times New Roman" w:cs="Times New Roman"/>
              <w:color w:val="015DAC"/>
              <w:sz w:val="24"/>
              <w:szCs w:val="24"/>
            </w:rPr>
            <w:fldChar w:fldCharType="end"/>
          </w:r>
        </w:p>
        <w:p>
          <w:pPr>
            <w:spacing w:line="316" w:lineRule="auto"/>
            <w:rPr>
              <w:rFonts w:ascii="Arial"/>
              <w:sz w:val="21"/>
            </w:rPr>
          </w:pPr>
        </w:p>
        <w:p>
          <w:pPr>
            <w:tabs>
              <w:tab w:val="right" w:leader="dot" w:pos="10260"/>
            </w:tabs>
            <w:spacing w:before="94" w:line="202" w:lineRule="auto"/>
            <w:ind w:left="1840"/>
            <w:rPr>
              <w:rFonts w:ascii="Times New Roman" w:hAnsi="Times New Roman" w:eastAsia="Times New Roman" w:cs="Times New Roman"/>
              <w:sz w:val="22"/>
              <w:szCs w:val="22"/>
            </w:rPr>
          </w:pPr>
          <w:r>
            <w:rPr>
              <w:rFonts w:ascii="微软雅黑" w:hAnsi="微软雅黑" w:eastAsia="微软雅黑" w:cs="微软雅黑"/>
              <w:color w:val="015DAC"/>
              <w:spacing w:val="-1"/>
              <w:sz w:val="22"/>
              <w:szCs w:val="22"/>
            </w:rPr>
            <w:t>一、</w:t>
          </w:r>
          <w:r>
            <w:rPr>
              <w:rFonts w:ascii="Times New Roman" w:hAnsi="Times New Roman" w:eastAsia="Times New Roman" w:cs="Times New Roman"/>
              <w:color w:val="015DAC"/>
              <w:spacing w:val="-1"/>
              <w:sz w:val="22"/>
              <w:szCs w:val="22"/>
            </w:rPr>
            <w:t>20</w:t>
          </w:r>
          <w:r>
            <w:rPr>
              <w:rFonts w:ascii="Times New Roman" w:hAnsi="Times New Roman" w:eastAsia="Times New Roman" w:cs="Times New Roman"/>
              <w:color w:val="015DAC"/>
              <w:sz w:val="22"/>
              <w:szCs w:val="22"/>
            </w:rPr>
            <w:t xml:space="preserve">21 </w:t>
          </w:r>
          <w:r>
            <w:rPr>
              <w:rFonts w:ascii="微软雅黑" w:hAnsi="微软雅黑" w:eastAsia="微软雅黑" w:cs="微软雅黑"/>
              <w:color w:val="015DAC"/>
              <w:sz w:val="22"/>
              <w:szCs w:val="22"/>
            </w:rPr>
            <w:t xml:space="preserve">年中国外商投资发展面临的形势 </w:t>
          </w:r>
          <w:r>
            <w:rPr>
              <w:rFonts w:ascii="微软雅黑" w:hAnsi="微软雅黑" w:eastAsia="微软雅黑" w:cs="微软雅黑"/>
              <w:sz w:val="22"/>
              <w:szCs w:val="22"/>
            </w:rPr>
            <w:tab/>
          </w:r>
          <w:r>
            <w:fldChar w:fldCharType="begin"/>
          </w:r>
          <w:r>
            <w:instrText xml:space="preserve"> HYPERLINK \l "_bookmark2" </w:instrText>
          </w:r>
          <w:r>
            <w:fldChar w:fldCharType="separate"/>
          </w:r>
          <w:r>
            <w:rPr>
              <w:rFonts w:ascii="Times New Roman" w:hAnsi="Times New Roman" w:eastAsia="Times New Roman" w:cs="Times New Roman"/>
              <w:color w:val="015DAC"/>
              <w:sz w:val="22"/>
              <w:szCs w:val="22"/>
            </w:rPr>
            <w:t>2</w:t>
          </w:r>
          <w:r>
            <w:rPr>
              <w:rFonts w:ascii="Times New Roman" w:hAnsi="Times New Roman" w:eastAsia="Times New Roman" w:cs="Times New Roman"/>
              <w:color w:val="015DAC"/>
              <w:sz w:val="22"/>
              <w:szCs w:val="22"/>
            </w:rPr>
            <w:fldChar w:fldCharType="end"/>
          </w:r>
        </w:p>
        <w:p>
          <w:pPr>
            <w:tabs>
              <w:tab w:val="right" w:leader="dot" w:pos="10260"/>
            </w:tabs>
            <w:spacing w:before="139" w:line="219" w:lineRule="auto"/>
            <w:ind w:left="2054"/>
            <w:rPr>
              <w:rFonts w:ascii="Times New Roman" w:hAnsi="Times New Roman" w:eastAsia="Times New Roman" w:cs="Times New Roman"/>
              <w:sz w:val="22"/>
              <w:szCs w:val="22"/>
            </w:rPr>
          </w:pPr>
          <w:r>
            <w:rPr>
              <w:rFonts w:ascii="KaiTi" w:hAnsi="KaiTi" w:eastAsia="KaiTi" w:cs="KaiTi"/>
              <w:color w:val="231F20"/>
              <w:spacing w:val="-19"/>
              <w:sz w:val="22"/>
              <w:szCs w:val="22"/>
            </w:rPr>
            <w:t>(</w:t>
          </w:r>
          <w:r>
            <w:rPr>
              <w:rFonts w:ascii="KaiTi" w:hAnsi="KaiTi" w:eastAsia="KaiTi" w:cs="KaiTi"/>
              <w:color w:val="231F20"/>
              <w:spacing w:val="-13"/>
              <w:sz w:val="22"/>
              <w:szCs w:val="22"/>
            </w:rPr>
            <w:t xml:space="preserve"> 一 ) 国际形势 </w:t>
          </w:r>
          <w:r>
            <w:rPr>
              <w:rFonts w:ascii="KaiTi" w:hAnsi="KaiTi" w:eastAsia="KaiTi" w:cs="KaiTi"/>
              <w:sz w:val="22"/>
              <w:szCs w:val="22"/>
            </w:rPr>
            <w:tab/>
          </w:r>
          <w:r>
            <w:fldChar w:fldCharType="begin"/>
          </w:r>
          <w:r>
            <w:instrText xml:space="preserve"> HYPERLINK \l "_bookmark3" </w:instrText>
          </w:r>
          <w:r>
            <w:fldChar w:fldCharType="separate"/>
          </w:r>
          <w:r>
            <w:rPr>
              <w:rFonts w:ascii="Times New Roman" w:hAnsi="Times New Roman" w:eastAsia="Times New Roman" w:cs="Times New Roman"/>
              <w:color w:val="231F20"/>
              <w:spacing w:val="-13"/>
              <w:sz w:val="22"/>
              <w:szCs w:val="22"/>
            </w:rPr>
            <w:t>2</w:t>
          </w:r>
          <w:r>
            <w:rPr>
              <w:rFonts w:ascii="Times New Roman" w:hAnsi="Times New Roman" w:eastAsia="Times New Roman" w:cs="Times New Roman"/>
              <w:color w:val="231F20"/>
              <w:spacing w:val="-13"/>
              <w:sz w:val="22"/>
              <w:szCs w:val="22"/>
            </w:rPr>
            <w:fldChar w:fldCharType="end"/>
          </w:r>
        </w:p>
        <w:p>
          <w:pPr>
            <w:tabs>
              <w:tab w:val="right" w:leader="dot" w:pos="10260"/>
            </w:tabs>
            <w:spacing w:before="132" w:line="217" w:lineRule="auto"/>
            <w:ind w:left="2054"/>
            <w:rPr>
              <w:rFonts w:ascii="Times New Roman" w:hAnsi="Times New Roman" w:eastAsia="Times New Roman" w:cs="Times New Roman"/>
              <w:sz w:val="22"/>
              <w:szCs w:val="22"/>
            </w:rPr>
          </w:pPr>
          <w:r>
            <w:rPr>
              <w:rFonts w:ascii="KaiTi" w:hAnsi="KaiTi" w:eastAsia="KaiTi" w:cs="KaiTi"/>
              <w:color w:val="231F20"/>
              <w:spacing w:val="6"/>
              <w:sz w:val="22"/>
              <w:szCs w:val="22"/>
            </w:rPr>
            <w:t xml:space="preserve">(二) 国内形势 </w:t>
          </w:r>
          <w:r>
            <w:rPr>
              <w:rFonts w:ascii="KaiTi" w:hAnsi="KaiTi" w:eastAsia="KaiTi" w:cs="KaiTi"/>
              <w:sz w:val="22"/>
              <w:szCs w:val="22"/>
            </w:rPr>
            <w:tab/>
          </w:r>
          <w:r>
            <w:fldChar w:fldCharType="begin"/>
          </w:r>
          <w:r>
            <w:instrText xml:space="preserve"> HYPERLINK \l "_bookmark4" </w:instrText>
          </w:r>
          <w:r>
            <w:fldChar w:fldCharType="separate"/>
          </w:r>
          <w:r>
            <w:rPr>
              <w:rFonts w:ascii="Times New Roman" w:hAnsi="Times New Roman" w:eastAsia="Times New Roman" w:cs="Times New Roman"/>
              <w:color w:val="231F20"/>
              <w:spacing w:val="4"/>
              <w:sz w:val="22"/>
              <w:szCs w:val="22"/>
            </w:rPr>
            <w:t>4</w:t>
          </w:r>
          <w:r>
            <w:rPr>
              <w:rFonts w:ascii="Times New Roman" w:hAnsi="Times New Roman" w:eastAsia="Times New Roman" w:cs="Times New Roman"/>
              <w:color w:val="231F20"/>
              <w:spacing w:val="4"/>
              <w:sz w:val="22"/>
              <w:szCs w:val="22"/>
            </w:rPr>
            <w:fldChar w:fldCharType="end"/>
          </w:r>
        </w:p>
        <w:p>
          <w:pPr>
            <w:tabs>
              <w:tab w:val="right" w:leader="dot" w:pos="10260"/>
            </w:tabs>
            <w:spacing w:before="305" w:line="202" w:lineRule="auto"/>
            <w:ind w:left="1843"/>
            <w:rPr>
              <w:rFonts w:ascii="Times New Roman" w:hAnsi="Times New Roman" w:eastAsia="Times New Roman" w:cs="Times New Roman"/>
              <w:sz w:val="22"/>
              <w:szCs w:val="22"/>
            </w:rPr>
          </w:pPr>
          <w:r>
            <w:rPr>
              <w:rFonts w:ascii="微软雅黑" w:hAnsi="微软雅黑" w:eastAsia="微软雅黑" w:cs="微软雅黑"/>
              <w:color w:val="015DAC"/>
              <w:spacing w:val="-2"/>
              <w:sz w:val="22"/>
              <w:szCs w:val="22"/>
            </w:rPr>
            <w:t>二</w:t>
          </w:r>
          <w:r>
            <w:rPr>
              <w:rFonts w:ascii="微软雅黑" w:hAnsi="微软雅黑" w:eastAsia="微软雅黑" w:cs="微软雅黑"/>
              <w:color w:val="015DAC"/>
              <w:spacing w:val="-1"/>
              <w:sz w:val="22"/>
              <w:szCs w:val="22"/>
            </w:rPr>
            <w:t>、</w:t>
          </w:r>
          <w:r>
            <w:rPr>
              <w:rFonts w:ascii="Times New Roman" w:hAnsi="Times New Roman" w:eastAsia="Times New Roman" w:cs="Times New Roman"/>
              <w:color w:val="015DAC"/>
              <w:spacing w:val="-1"/>
              <w:sz w:val="22"/>
              <w:szCs w:val="22"/>
            </w:rPr>
            <w:t xml:space="preserve">2021 </w:t>
          </w:r>
          <w:r>
            <w:rPr>
              <w:rFonts w:ascii="微软雅黑" w:hAnsi="微软雅黑" w:eastAsia="微软雅黑" w:cs="微软雅黑"/>
              <w:color w:val="015DAC"/>
              <w:spacing w:val="-1"/>
              <w:sz w:val="22"/>
              <w:szCs w:val="22"/>
            </w:rPr>
            <w:t xml:space="preserve">年中国外商投资发展情况 </w:t>
          </w:r>
          <w:r>
            <w:rPr>
              <w:rFonts w:ascii="微软雅黑" w:hAnsi="微软雅黑" w:eastAsia="微软雅黑" w:cs="微软雅黑"/>
              <w:sz w:val="22"/>
              <w:szCs w:val="22"/>
            </w:rPr>
            <w:tab/>
          </w:r>
          <w:r>
            <w:fldChar w:fldCharType="begin"/>
          </w:r>
          <w:r>
            <w:instrText xml:space="preserve"> HYPERLINK \l "_bookmark5" </w:instrText>
          </w:r>
          <w:r>
            <w:fldChar w:fldCharType="separate"/>
          </w:r>
          <w:r>
            <w:rPr>
              <w:rFonts w:ascii="Times New Roman" w:hAnsi="Times New Roman" w:eastAsia="Times New Roman" w:cs="Times New Roman"/>
              <w:color w:val="015DAC"/>
              <w:spacing w:val="-1"/>
              <w:sz w:val="22"/>
              <w:szCs w:val="22"/>
            </w:rPr>
            <w:t>8</w:t>
          </w:r>
          <w:r>
            <w:rPr>
              <w:rFonts w:ascii="Times New Roman" w:hAnsi="Times New Roman" w:eastAsia="Times New Roman" w:cs="Times New Roman"/>
              <w:color w:val="015DAC"/>
              <w:spacing w:val="-1"/>
              <w:sz w:val="22"/>
              <w:szCs w:val="22"/>
            </w:rPr>
            <w:fldChar w:fldCharType="end"/>
          </w:r>
        </w:p>
        <w:p>
          <w:pPr>
            <w:tabs>
              <w:tab w:val="right" w:leader="dot" w:pos="10260"/>
            </w:tabs>
            <w:spacing w:before="139" w:line="216" w:lineRule="auto"/>
            <w:ind w:left="2054"/>
            <w:rPr>
              <w:rFonts w:ascii="Times New Roman" w:hAnsi="Times New Roman" w:eastAsia="Times New Roman" w:cs="Times New Roman"/>
              <w:sz w:val="22"/>
              <w:szCs w:val="22"/>
            </w:rPr>
          </w:pPr>
          <w:r>
            <w:rPr>
              <w:rFonts w:ascii="KaiTi" w:hAnsi="KaiTi" w:eastAsia="KaiTi" w:cs="KaiTi"/>
              <w:color w:val="231F20"/>
              <w:spacing w:val="-29"/>
              <w:sz w:val="22"/>
              <w:szCs w:val="22"/>
            </w:rPr>
            <w:t>(</w:t>
          </w:r>
          <w:r>
            <w:rPr>
              <w:rFonts w:ascii="KaiTi" w:hAnsi="KaiTi" w:eastAsia="KaiTi" w:cs="KaiTi"/>
              <w:color w:val="231F20"/>
              <w:spacing w:val="-15"/>
              <w:sz w:val="22"/>
              <w:szCs w:val="22"/>
            </w:rPr>
            <w:t xml:space="preserve"> 一 ) 外商投资总体情况 </w:t>
          </w:r>
          <w:r>
            <w:rPr>
              <w:rFonts w:ascii="KaiTi" w:hAnsi="KaiTi" w:eastAsia="KaiTi" w:cs="KaiTi"/>
              <w:sz w:val="22"/>
              <w:szCs w:val="22"/>
            </w:rPr>
            <w:tab/>
          </w:r>
          <w:r>
            <w:rPr>
              <w:rFonts w:ascii="KaiTi" w:hAnsi="KaiTi" w:eastAsia="KaiTi" w:cs="KaiTi"/>
              <w:color w:val="231F20"/>
              <w:spacing w:val="-15"/>
              <w:sz w:val="22"/>
              <w:szCs w:val="22"/>
            </w:rPr>
            <w:t xml:space="preserve"> </w:t>
          </w:r>
          <w:r>
            <w:fldChar w:fldCharType="begin"/>
          </w:r>
          <w:r>
            <w:instrText xml:space="preserve"> HYPERLINK \l "_bookmark6" </w:instrText>
          </w:r>
          <w:r>
            <w:fldChar w:fldCharType="separate"/>
          </w:r>
          <w:r>
            <w:rPr>
              <w:rFonts w:ascii="Times New Roman" w:hAnsi="Times New Roman" w:eastAsia="Times New Roman" w:cs="Times New Roman"/>
              <w:color w:val="231F20"/>
              <w:spacing w:val="-15"/>
              <w:sz w:val="22"/>
              <w:szCs w:val="22"/>
            </w:rPr>
            <w:t>8</w:t>
          </w:r>
          <w:r>
            <w:rPr>
              <w:rFonts w:ascii="Times New Roman" w:hAnsi="Times New Roman" w:eastAsia="Times New Roman" w:cs="Times New Roman"/>
              <w:color w:val="231F20"/>
              <w:spacing w:val="-15"/>
              <w:sz w:val="22"/>
              <w:szCs w:val="22"/>
            </w:rPr>
            <w:fldChar w:fldCharType="end"/>
          </w:r>
        </w:p>
        <w:p>
          <w:pPr>
            <w:tabs>
              <w:tab w:val="right" w:leader="dot" w:pos="10259"/>
            </w:tabs>
            <w:spacing w:before="137" w:line="215" w:lineRule="auto"/>
            <w:ind w:left="2054"/>
            <w:rPr>
              <w:rFonts w:ascii="Times New Roman" w:hAnsi="Times New Roman" w:eastAsia="Times New Roman" w:cs="Times New Roman"/>
              <w:sz w:val="22"/>
              <w:szCs w:val="22"/>
            </w:rPr>
          </w:pPr>
          <w:r>
            <w:rPr>
              <w:rFonts w:ascii="KaiTi" w:hAnsi="KaiTi" w:eastAsia="KaiTi" w:cs="KaiTi"/>
              <w:color w:val="231F20"/>
              <w:spacing w:val="-3"/>
              <w:sz w:val="22"/>
              <w:szCs w:val="22"/>
            </w:rPr>
            <w:t xml:space="preserve">(二) 外商投资发展特点及动向 </w:t>
          </w:r>
          <w:r>
            <w:rPr>
              <w:rFonts w:ascii="KaiTi" w:hAnsi="KaiTi" w:eastAsia="KaiTi" w:cs="KaiTi"/>
              <w:sz w:val="22"/>
              <w:szCs w:val="22"/>
            </w:rPr>
            <w:tab/>
          </w:r>
          <w:r>
            <w:rPr>
              <w:rFonts w:ascii="KaiTi" w:hAnsi="KaiTi" w:eastAsia="KaiTi" w:cs="KaiTi"/>
              <w:color w:val="231F20"/>
              <w:spacing w:val="-3"/>
              <w:sz w:val="22"/>
              <w:szCs w:val="22"/>
            </w:rPr>
            <w:t xml:space="preserve"> </w:t>
          </w:r>
          <w:r>
            <w:fldChar w:fldCharType="begin"/>
          </w:r>
          <w:r>
            <w:instrText xml:space="preserve"> HYPERLINK \l "_bookmark7" </w:instrText>
          </w:r>
          <w:r>
            <w:fldChar w:fldCharType="separate"/>
          </w:r>
          <w:r>
            <w:rPr>
              <w:rFonts w:ascii="Times New Roman" w:hAnsi="Times New Roman" w:eastAsia="Times New Roman" w:cs="Times New Roman"/>
              <w:color w:val="231F20"/>
              <w:spacing w:val="-3"/>
              <w:sz w:val="22"/>
              <w:szCs w:val="22"/>
            </w:rPr>
            <w:t>1</w:t>
          </w:r>
          <w:r>
            <w:rPr>
              <w:rFonts w:ascii="Times New Roman" w:hAnsi="Times New Roman" w:eastAsia="Times New Roman" w:cs="Times New Roman"/>
              <w:color w:val="231F20"/>
              <w:spacing w:val="-3"/>
              <w:sz w:val="22"/>
              <w:szCs w:val="22"/>
            </w:rPr>
            <w:fldChar w:fldCharType="end"/>
          </w:r>
          <w:r>
            <w:rPr>
              <w:rFonts w:ascii="Times New Roman" w:hAnsi="Times New Roman" w:eastAsia="Times New Roman" w:cs="Times New Roman"/>
              <w:color w:val="231F20"/>
              <w:spacing w:val="-1"/>
              <w:sz w:val="22"/>
              <w:szCs w:val="22"/>
            </w:rPr>
            <w:t>2</w:t>
          </w:r>
        </w:p>
        <w:p>
          <w:pPr>
            <w:tabs>
              <w:tab w:val="right" w:leader="dot" w:pos="10259"/>
            </w:tabs>
            <w:spacing w:before="306" w:line="202" w:lineRule="auto"/>
            <w:ind w:left="1841"/>
            <w:rPr>
              <w:rFonts w:ascii="Times New Roman" w:hAnsi="Times New Roman" w:eastAsia="Times New Roman" w:cs="Times New Roman"/>
              <w:sz w:val="22"/>
              <w:szCs w:val="22"/>
            </w:rPr>
          </w:pPr>
          <w:r>
            <w:rPr>
              <w:rFonts w:ascii="微软雅黑" w:hAnsi="微软雅黑" w:eastAsia="微软雅黑" w:cs="微软雅黑"/>
              <w:color w:val="015DAC"/>
              <w:spacing w:val="-10"/>
              <w:sz w:val="22"/>
              <w:szCs w:val="22"/>
            </w:rPr>
            <w:t>三</w:t>
          </w:r>
          <w:r>
            <w:rPr>
              <w:rFonts w:ascii="微软雅黑" w:hAnsi="微软雅黑" w:eastAsia="微软雅黑" w:cs="微软雅黑"/>
              <w:color w:val="015DAC"/>
              <w:spacing w:val="-9"/>
              <w:sz w:val="22"/>
              <w:szCs w:val="22"/>
            </w:rPr>
            <w:t>、</w:t>
          </w:r>
          <w:r>
            <w:rPr>
              <w:rFonts w:ascii="Times New Roman" w:hAnsi="Times New Roman" w:eastAsia="Times New Roman" w:cs="Times New Roman"/>
              <w:color w:val="015DAC"/>
              <w:spacing w:val="-5"/>
              <w:sz w:val="22"/>
              <w:szCs w:val="22"/>
            </w:rPr>
            <w:t xml:space="preserve">2021 </w:t>
          </w:r>
          <w:r>
            <w:rPr>
              <w:rFonts w:ascii="微软雅黑" w:hAnsi="微软雅黑" w:eastAsia="微软雅黑" w:cs="微软雅黑"/>
              <w:color w:val="015DAC"/>
              <w:spacing w:val="-5"/>
              <w:sz w:val="22"/>
              <w:szCs w:val="22"/>
            </w:rPr>
            <w:t xml:space="preserve">年中国外商投资重点政策 </w:t>
          </w:r>
          <w:r>
            <w:rPr>
              <w:rFonts w:ascii="微软雅黑" w:hAnsi="微软雅黑" w:eastAsia="微软雅黑" w:cs="微软雅黑"/>
              <w:sz w:val="22"/>
              <w:szCs w:val="22"/>
            </w:rPr>
            <w:tab/>
          </w:r>
          <w:r>
            <w:rPr>
              <w:rFonts w:ascii="微软雅黑" w:hAnsi="微软雅黑" w:eastAsia="微软雅黑" w:cs="微软雅黑"/>
              <w:color w:val="015DAC"/>
              <w:spacing w:val="-5"/>
              <w:sz w:val="22"/>
              <w:szCs w:val="22"/>
            </w:rPr>
            <w:t xml:space="preserve"> </w:t>
          </w:r>
          <w:r>
            <w:fldChar w:fldCharType="begin"/>
          </w:r>
          <w:r>
            <w:instrText xml:space="preserve"> HYPERLINK \l "_bookmark8" </w:instrText>
          </w:r>
          <w:r>
            <w:fldChar w:fldCharType="separate"/>
          </w:r>
          <w:r>
            <w:rPr>
              <w:rFonts w:ascii="Times New Roman" w:hAnsi="Times New Roman" w:eastAsia="Times New Roman" w:cs="Times New Roman"/>
              <w:color w:val="015DAC"/>
              <w:spacing w:val="-5"/>
              <w:sz w:val="22"/>
              <w:szCs w:val="22"/>
            </w:rPr>
            <w:t>1</w:t>
          </w:r>
          <w:r>
            <w:rPr>
              <w:rFonts w:ascii="Times New Roman" w:hAnsi="Times New Roman" w:eastAsia="Times New Roman" w:cs="Times New Roman"/>
              <w:color w:val="015DAC"/>
              <w:spacing w:val="-5"/>
              <w:sz w:val="22"/>
              <w:szCs w:val="22"/>
            </w:rPr>
            <w:fldChar w:fldCharType="end"/>
          </w:r>
          <w:r>
            <w:rPr>
              <w:rFonts w:ascii="Times New Roman" w:hAnsi="Times New Roman" w:eastAsia="Times New Roman" w:cs="Times New Roman"/>
              <w:color w:val="015DAC"/>
              <w:spacing w:val="-5"/>
              <w:sz w:val="22"/>
              <w:szCs w:val="22"/>
            </w:rPr>
            <w:t>6</w:t>
          </w:r>
        </w:p>
        <w:p>
          <w:pPr>
            <w:tabs>
              <w:tab w:val="right" w:leader="dot" w:pos="10259"/>
            </w:tabs>
            <w:spacing w:before="140" w:line="215" w:lineRule="auto"/>
            <w:ind w:left="2053"/>
            <w:rPr>
              <w:rFonts w:ascii="Times New Roman" w:hAnsi="Times New Roman" w:eastAsia="Times New Roman" w:cs="Times New Roman"/>
              <w:sz w:val="22"/>
              <w:szCs w:val="22"/>
            </w:rPr>
          </w:pPr>
          <w:r>
            <w:rPr>
              <w:rFonts w:ascii="KaiTi" w:hAnsi="KaiTi" w:eastAsia="KaiTi" w:cs="KaiTi"/>
              <w:color w:val="231F20"/>
              <w:spacing w:val="-23"/>
              <w:sz w:val="22"/>
              <w:szCs w:val="22"/>
            </w:rPr>
            <w:t>(</w:t>
          </w:r>
          <w:r>
            <w:rPr>
              <w:rFonts w:ascii="KaiTi" w:hAnsi="KaiTi" w:eastAsia="KaiTi" w:cs="KaiTi"/>
              <w:color w:val="231F20"/>
              <w:spacing w:val="-13"/>
              <w:sz w:val="22"/>
              <w:szCs w:val="22"/>
            </w:rPr>
            <w:t xml:space="preserve"> 一 ) 外商投资准入政策 </w:t>
          </w:r>
          <w:r>
            <w:rPr>
              <w:rFonts w:ascii="KaiTi" w:hAnsi="KaiTi" w:eastAsia="KaiTi" w:cs="KaiTi"/>
              <w:sz w:val="22"/>
              <w:szCs w:val="22"/>
            </w:rPr>
            <w:tab/>
          </w:r>
          <w:r>
            <w:rPr>
              <w:rFonts w:ascii="KaiTi" w:hAnsi="KaiTi" w:eastAsia="KaiTi" w:cs="KaiTi"/>
              <w:color w:val="231F20"/>
              <w:spacing w:val="-13"/>
              <w:sz w:val="22"/>
              <w:szCs w:val="22"/>
            </w:rPr>
            <w:t xml:space="preserve"> </w:t>
          </w:r>
          <w:r>
            <w:fldChar w:fldCharType="begin"/>
          </w:r>
          <w:r>
            <w:instrText xml:space="preserve"> HYPERLINK \l "_bookmark9" </w:instrText>
          </w:r>
          <w:r>
            <w:fldChar w:fldCharType="separate"/>
          </w:r>
          <w:r>
            <w:rPr>
              <w:rFonts w:ascii="Times New Roman" w:hAnsi="Times New Roman" w:eastAsia="Times New Roman" w:cs="Times New Roman"/>
              <w:color w:val="231F20"/>
              <w:spacing w:val="-13"/>
              <w:sz w:val="22"/>
              <w:szCs w:val="22"/>
            </w:rPr>
            <w:t>1</w:t>
          </w:r>
          <w:r>
            <w:rPr>
              <w:rFonts w:ascii="Times New Roman" w:hAnsi="Times New Roman" w:eastAsia="Times New Roman" w:cs="Times New Roman"/>
              <w:color w:val="231F20"/>
              <w:spacing w:val="-13"/>
              <w:sz w:val="22"/>
              <w:szCs w:val="22"/>
            </w:rPr>
            <w:fldChar w:fldCharType="end"/>
          </w:r>
          <w:r>
            <w:rPr>
              <w:rFonts w:ascii="Times New Roman" w:hAnsi="Times New Roman" w:eastAsia="Times New Roman" w:cs="Times New Roman"/>
              <w:color w:val="231F20"/>
              <w:spacing w:val="-13"/>
              <w:sz w:val="22"/>
              <w:szCs w:val="22"/>
            </w:rPr>
            <w:t>6</w:t>
          </w:r>
        </w:p>
        <w:p>
          <w:pPr>
            <w:tabs>
              <w:tab w:val="right" w:leader="dot" w:pos="10260"/>
            </w:tabs>
            <w:spacing w:before="137" w:line="215" w:lineRule="auto"/>
            <w:ind w:left="2053"/>
            <w:rPr>
              <w:rFonts w:ascii="Times New Roman" w:hAnsi="Times New Roman" w:eastAsia="Times New Roman" w:cs="Times New Roman"/>
              <w:sz w:val="22"/>
              <w:szCs w:val="22"/>
            </w:rPr>
          </w:pPr>
          <w:r>
            <w:rPr>
              <w:rFonts w:ascii="KaiTi" w:hAnsi="KaiTi" w:eastAsia="KaiTi" w:cs="KaiTi"/>
              <w:color w:val="231F20"/>
              <w:spacing w:val="-2"/>
              <w:sz w:val="22"/>
              <w:szCs w:val="22"/>
            </w:rPr>
            <w:t xml:space="preserve">(二) 外商投资便利化政策 </w:t>
          </w:r>
          <w:r>
            <w:rPr>
              <w:rFonts w:ascii="KaiTi" w:hAnsi="KaiTi" w:eastAsia="KaiTi" w:cs="KaiTi"/>
              <w:sz w:val="22"/>
              <w:szCs w:val="22"/>
            </w:rPr>
            <w:tab/>
          </w:r>
          <w:r>
            <w:rPr>
              <w:rFonts w:ascii="KaiTi" w:hAnsi="KaiTi" w:eastAsia="KaiTi" w:cs="KaiTi"/>
              <w:color w:val="231F20"/>
              <w:spacing w:val="-2"/>
              <w:sz w:val="22"/>
              <w:szCs w:val="22"/>
            </w:rPr>
            <w:t xml:space="preserve"> </w:t>
          </w:r>
          <w:r>
            <w:fldChar w:fldCharType="begin"/>
          </w:r>
          <w:r>
            <w:instrText xml:space="preserve"> HYPERLINK \l "_bookmark10" </w:instrText>
          </w:r>
          <w:r>
            <w:fldChar w:fldCharType="separate"/>
          </w:r>
          <w:r>
            <w:rPr>
              <w:rFonts w:ascii="Times New Roman" w:hAnsi="Times New Roman" w:eastAsia="Times New Roman" w:cs="Times New Roman"/>
              <w:color w:val="231F20"/>
              <w:spacing w:val="-2"/>
              <w:sz w:val="22"/>
              <w:szCs w:val="22"/>
            </w:rPr>
            <w:t>1</w:t>
          </w:r>
          <w:r>
            <w:rPr>
              <w:rFonts w:ascii="Times New Roman" w:hAnsi="Times New Roman" w:eastAsia="Times New Roman" w:cs="Times New Roman"/>
              <w:color w:val="231F20"/>
              <w:spacing w:val="-2"/>
              <w:sz w:val="22"/>
              <w:szCs w:val="22"/>
            </w:rPr>
            <w:fldChar w:fldCharType="end"/>
          </w:r>
          <w:r>
            <w:rPr>
              <w:rFonts w:ascii="Times New Roman" w:hAnsi="Times New Roman" w:eastAsia="Times New Roman" w:cs="Times New Roman"/>
              <w:color w:val="231F20"/>
              <w:sz w:val="22"/>
              <w:szCs w:val="22"/>
            </w:rPr>
            <w:t>9</w:t>
          </w:r>
        </w:p>
        <w:p>
          <w:pPr>
            <w:tabs>
              <w:tab w:val="right" w:leader="dot" w:pos="10260"/>
            </w:tabs>
            <w:spacing w:before="137" w:line="215" w:lineRule="auto"/>
            <w:ind w:left="2055"/>
            <w:rPr>
              <w:rFonts w:ascii="Times New Roman" w:hAnsi="Times New Roman" w:eastAsia="Times New Roman" w:cs="Times New Roman"/>
              <w:sz w:val="22"/>
              <w:szCs w:val="22"/>
            </w:rPr>
          </w:pPr>
          <w:r>
            <w:rPr>
              <w:rFonts w:ascii="KaiTi" w:hAnsi="KaiTi" w:eastAsia="KaiTi" w:cs="KaiTi"/>
              <w:color w:val="231F20"/>
              <w:spacing w:val="-8"/>
              <w:sz w:val="22"/>
              <w:szCs w:val="22"/>
            </w:rPr>
            <w:t xml:space="preserve">( 三 ) 外商投资促进政策 </w:t>
          </w:r>
          <w:r>
            <w:rPr>
              <w:rFonts w:ascii="KaiTi" w:hAnsi="KaiTi" w:eastAsia="KaiTi" w:cs="KaiTi"/>
              <w:sz w:val="22"/>
              <w:szCs w:val="22"/>
            </w:rPr>
            <w:tab/>
          </w:r>
          <w:r>
            <w:fldChar w:fldCharType="begin"/>
          </w:r>
          <w:r>
            <w:instrText xml:space="preserve"> HYPERLINK \l "_bookmark11" </w:instrText>
          </w:r>
          <w:r>
            <w:fldChar w:fldCharType="separate"/>
          </w:r>
          <w:r>
            <w:rPr>
              <w:rFonts w:ascii="Times New Roman" w:hAnsi="Times New Roman" w:eastAsia="Times New Roman" w:cs="Times New Roman"/>
              <w:color w:val="231F20"/>
              <w:spacing w:val="-8"/>
              <w:sz w:val="22"/>
              <w:szCs w:val="22"/>
            </w:rPr>
            <w:t>2</w:t>
          </w:r>
          <w:r>
            <w:rPr>
              <w:rFonts w:ascii="Times New Roman" w:hAnsi="Times New Roman" w:eastAsia="Times New Roman" w:cs="Times New Roman"/>
              <w:color w:val="231F20"/>
              <w:spacing w:val="-8"/>
              <w:sz w:val="22"/>
              <w:szCs w:val="22"/>
            </w:rPr>
            <w:fldChar w:fldCharType="end"/>
          </w:r>
          <w:r>
            <w:rPr>
              <w:rFonts w:ascii="Times New Roman" w:hAnsi="Times New Roman" w:eastAsia="Times New Roman" w:cs="Times New Roman"/>
              <w:color w:val="231F20"/>
              <w:spacing w:val="-7"/>
              <w:sz w:val="22"/>
              <w:szCs w:val="22"/>
            </w:rPr>
            <w:t>3</w:t>
          </w:r>
        </w:p>
        <w:p>
          <w:pPr>
            <w:tabs>
              <w:tab w:val="right" w:leader="dot" w:pos="10260"/>
            </w:tabs>
            <w:spacing w:before="137" w:line="215" w:lineRule="auto"/>
            <w:ind w:left="2055"/>
            <w:rPr>
              <w:rFonts w:ascii="Times New Roman" w:hAnsi="Times New Roman" w:eastAsia="Times New Roman" w:cs="Times New Roman"/>
              <w:sz w:val="22"/>
              <w:szCs w:val="22"/>
            </w:rPr>
          </w:pPr>
          <w:r>
            <w:rPr>
              <w:rFonts w:ascii="KaiTi" w:hAnsi="KaiTi" w:eastAsia="KaiTi" w:cs="KaiTi"/>
              <w:color w:val="231F20"/>
              <w:spacing w:val="-8"/>
              <w:sz w:val="22"/>
              <w:szCs w:val="22"/>
            </w:rPr>
            <w:t xml:space="preserve">( 四 ) 外商投资保护政策 </w:t>
          </w:r>
          <w:r>
            <w:rPr>
              <w:rFonts w:ascii="KaiTi" w:hAnsi="KaiTi" w:eastAsia="KaiTi" w:cs="KaiTi"/>
              <w:sz w:val="22"/>
              <w:szCs w:val="22"/>
            </w:rPr>
            <w:tab/>
          </w:r>
          <w:r>
            <w:fldChar w:fldCharType="begin"/>
          </w:r>
          <w:r>
            <w:instrText xml:space="preserve"> HYPERLINK \l "_bookmark12" </w:instrText>
          </w:r>
          <w:r>
            <w:fldChar w:fldCharType="separate"/>
          </w:r>
          <w:r>
            <w:rPr>
              <w:rFonts w:ascii="Times New Roman" w:hAnsi="Times New Roman" w:eastAsia="Times New Roman" w:cs="Times New Roman"/>
              <w:color w:val="231F20"/>
              <w:spacing w:val="-8"/>
              <w:sz w:val="22"/>
              <w:szCs w:val="22"/>
            </w:rPr>
            <w:t>2</w:t>
          </w:r>
          <w:r>
            <w:rPr>
              <w:rFonts w:ascii="Times New Roman" w:hAnsi="Times New Roman" w:eastAsia="Times New Roman" w:cs="Times New Roman"/>
              <w:color w:val="231F20"/>
              <w:spacing w:val="-8"/>
              <w:sz w:val="22"/>
              <w:szCs w:val="22"/>
            </w:rPr>
            <w:fldChar w:fldCharType="end"/>
          </w:r>
          <w:r>
            <w:rPr>
              <w:rFonts w:ascii="Times New Roman" w:hAnsi="Times New Roman" w:eastAsia="Times New Roman" w:cs="Times New Roman"/>
              <w:color w:val="231F20"/>
              <w:spacing w:val="-6"/>
              <w:sz w:val="22"/>
              <w:szCs w:val="22"/>
            </w:rPr>
            <w:t>5</w:t>
          </w:r>
        </w:p>
        <w:p>
          <w:pPr>
            <w:spacing w:line="313" w:lineRule="auto"/>
            <w:rPr>
              <w:rFonts w:ascii="Arial"/>
              <w:sz w:val="21"/>
            </w:rPr>
          </w:pPr>
        </w:p>
        <w:p>
          <w:pPr>
            <w:tabs>
              <w:tab w:val="right" w:leader="dot" w:pos="10020"/>
            </w:tabs>
            <w:spacing w:before="79" w:line="222" w:lineRule="auto"/>
            <w:ind w:left="1609"/>
            <w:rPr>
              <w:rFonts w:ascii="Times New Roman" w:hAnsi="Times New Roman" w:eastAsia="Times New Roman" w:cs="Times New Roman"/>
              <w:sz w:val="24"/>
              <w:szCs w:val="24"/>
            </w:rPr>
          </w:pPr>
          <w:r>
            <w:rPr>
              <w:rFonts w:ascii="SimHei" w:hAnsi="SimHei" w:eastAsia="SimHei" w:cs="SimHei"/>
              <w:color w:val="015DAC"/>
              <w:spacing w:val="29"/>
              <w:sz w:val="24"/>
              <w:szCs w:val="24"/>
            </w:rPr>
            <w:t>产业篇</w:t>
          </w:r>
          <w:r>
            <w:rPr>
              <w:rFonts w:ascii="SimHei" w:hAnsi="SimHei" w:eastAsia="SimHei" w:cs="SimHei"/>
              <w:sz w:val="24"/>
              <w:szCs w:val="24"/>
            </w:rPr>
            <w:tab/>
          </w:r>
          <w:r>
            <w:rPr>
              <w:rFonts w:ascii="Times New Roman" w:hAnsi="Times New Roman" w:eastAsia="Times New Roman" w:cs="Times New Roman"/>
              <w:color w:val="015DAC"/>
              <w:spacing w:val="29"/>
              <w:sz w:val="24"/>
              <w:szCs w:val="24"/>
            </w:rPr>
            <w:t>7</w:t>
          </w:r>
          <w:r>
            <w:fldChar w:fldCharType="begin"/>
          </w:r>
          <w:r>
            <w:instrText xml:space="preserve"> HYPERLINK \l "_bookmark13" </w:instrText>
          </w:r>
          <w:r>
            <w:fldChar w:fldCharType="separate"/>
          </w:r>
          <w:r>
            <w:rPr>
              <w:rFonts w:ascii="Times New Roman" w:hAnsi="Times New Roman" w:eastAsia="Times New Roman" w:cs="Times New Roman"/>
              <w:color w:val="015DAC"/>
              <w:spacing w:val="29"/>
              <w:sz w:val="24"/>
              <w:szCs w:val="24"/>
            </w:rPr>
            <w:t>2</w:t>
          </w:r>
          <w:r>
            <w:rPr>
              <w:rFonts w:ascii="Times New Roman" w:hAnsi="Times New Roman" w:eastAsia="Times New Roman" w:cs="Times New Roman"/>
              <w:color w:val="015DAC"/>
              <w:spacing w:val="29"/>
              <w:sz w:val="24"/>
              <w:szCs w:val="24"/>
            </w:rPr>
            <w:fldChar w:fldCharType="end"/>
          </w:r>
        </w:p>
        <w:p>
          <w:pPr>
            <w:spacing w:line="314" w:lineRule="auto"/>
            <w:rPr>
              <w:rFonts w:ascii="Arial"/>
              <w:sz w:val="21"/>
            </w:rPr>
          </w:pPr>
        </w:p>
        <w:p>
          <w:pPr>
            <w:tabs>
              <w:tab w:val="right" w:leader="dot" w:pos="10260"/>
            </w:tabs>
            <w:spacing w:before="94" w:line="220" w:lineRule="auto"/>
            <w:ind w:left="1840"/>
            <w:rPr>
              <w:rFonts w:ascii="Times New Roman" w:hAnsi="Times New Roman" w:eastAsia="Times New Roman" w:cs="Times New Roman"/>
              <w:sz w:val="22"/>
              <w:szCs w:val="22"/>
            </w:rPr>
          </w:pPr>
          <w:r>
            <w:rPr>
              <w:rFonts w:ascii="微软雅黑" w:hAnsi="微软雅黑" w:eastAsia="微软雅黑" w:cs="微软雅黑"/>
              <w:color w:val="015DAC"/>
              <w:spacing w:val="1"/>
              <w:sz w:val="22"/>
              <w:szCs w:val="22"/>
            </w:rPr>
            <w:t>一、医</w:t>
          </w:r>
          <w:r>
            <w:rPr>
              <w:rFonts w:ascii="微软雅黑" w:hAnsi="微软雅黑" w:eastAsia="微软雅黑" w:cs="微软雅黑"/>
              <w:color w:val="015DAC"/>
              <w:sz w:val="22"/>
              <w:szCs w:val="22"/>
            </w:rPr>
            <w:t xml:space="preserve">药制造业 </w:t>
          </w:r>
          <w:r>
            <w:rPr>
              <w:rFonts w:ascii="微软雅黑" w:hAnsi="微软雅黑" w:eastAsia="微软雅黑" w:cs="微软雅黑"/>
              <w:sz w:val="22"/>
              <w:szCs w:val="22"/>
            </w:rPr>
            <w:tab/>
          </w:r>
          <w:r>
            <w:fldChar w:fldCharType="begin"/>
          </w:r>
          <w:r>
            <w:instrText xml:space="preserve"> HYPERLINK \l "_bookmark14" </w:instrText>
          </w:r>
          <w:r>
            <w:fldChar w:fldCharType="separate"/>
          </w:r>
          <w:r>
            <w:rPr>
              <w:rFonts w:ascii="Times New Roman" w:hAnsi="Times New Roman" w:eastAsia="Times New Roman" w:cs="Times New Roman"/>
              <w:color w:val="015DAC"/>
              <w:sz w:val="22"/>
              <w:szCs w:val="22"/>
            </w:rPr>
            <w:t>2</w:t>
          </w:r>
          <w:r>
            <w:rPr>
              <w:rFonts w:ascii="Times New Roman" w:hAnsi="Times New Roman" w:eastAsia="Times New Roman" w:cs="Times New Roman"/>
              <w:color w:val="015DAC"/>
              <w:sz w:val="22"/>
              <w:szCs w:val="22"/>
            </w:rPr>
            <w:fldChar w:fldCharType="end"/>
          </w:r>
          <w:r>
            <w:rPr>
              <w:rFonts w:ascii="Times New Roman" w:hAnsi="Times New Roman" w:eastAsia="Times New Roman" w:cs="Times New Roman"/>
              <w:color w:val="015DAC"/>
              <w:sz w:val="22"/>
              <w:szCs w:val="22"/>
            </w:rPr>
            <w:t>8</w:t>
          </w:r>
        </w:p>
        <w:p>
          <w:pPr>
            <w:tabs>
              <w:tab w:val="right" w:leader="dot" w:pos="10261"/>
            </w:tabs>
            <w:spacing w:before="113" w:line="215" w:lineRule="auto"/>
            <w:ind w:left="2055"/>
            <w:rPr>
              <w:rFonts w:ascii="Times New Roman" w:hAnsi="Times New Roman" w:eastAsia="Times New Roman" w:cs="Times New Roman"/>
              <w:sz w:val="22"/>
              <w:szCs w:val="22"/>
            </w:rPr>
          </w:pPr>
          <w:r>
            <w:rPr>
              <w:rFonts w:ascii="KaiTi" w:hAnsi="KaiTi" w:eastAsia="KaiTi" w:cs="KaiTi"/>
              <w:color w:val="231F20"/>
              <w:spacing w:val="-16"/>
              <w:sz w:val="22"/>
              <w:szCs w:val="22"/>
            </w:rPr>
            <w:t>(</w:t>
          </w:r>
          <w:r>
            <w:rPr>
              <w:rFonts w:ascii="KaiTi" w:hAnsi="KaiTi" w:eastAsia="KaiTi" w:cs="KaiTi"/>
              <w:color w:val="231F20"/>
              <w:spacing w:val="-12"/>
              <w:sz w:val="22"/>
              <w:szCs w:val="22"/>
            </w:rPr>
            <w:t xml:space="preserve"> </w:t>
          </w:r>
          <w:r>
            <w:rPr>
              <w:rFonts w:ascii="KaiTi" w:hAnsi="KaiTi" w:eastAsia="KaiTi" w:cs="KaiTi"/>
              <w:color w:val="231F20"/>
              <w:spacing w:val="-8"/>
              <w:sz w:val="22"/>
              <w:szCs w:val="22"/>
            </w:rPr>
            <w:t xml:space="preserve">一 ) 行业政策变化 </w:t>
          </w:r>
          <w:r>
            <w:rPr>
              <w:rFonts w:ascii="KaiTi" w:hAnsi="KaiTi" w:eastAsia="KaiTi" w:cs="KaiTi"/>
              <w:sz w:val="22"/>
              <w:szCs w:val="22"/>
            </w:rPr>
            <w:tab/>
          </w:r>
          <w:r>
            <w:fldChar w:fldCharType="begin"/>
          </w:r>
          <w:r>
            <w:instrText xml:space="preserve"> HYPERLINK \l "_bookmark15" </w:instrText>
          </w:r>
          <w:r>
            <w:fldChar w:fldCharType="separate"/>
          </w:r>
          <w:r>
            <w:rPr>
              <w:rFonts w:ascii="Times New Roman" w:hAnsi="Times New Roman" w:eastAsia="Times New Roman" w:cs="Times New Roman"/>
              <w:color w:val="231F20"/>
              <w:spacing w:val="-8"/>
              <w:sz w:val="22"/>
              <w:szCs w:val="22"/>
            </w:rPr>
            <w:t>2</w:t>
          </w:r>
          <w:r>
            <w:rPr>
              <w:rFonts w:ascii="Times New Roman" w:hAnsi="Times New Roman" w:eastAsia="Times New Roman" w:cs="Times New Roman"/>
              <w:color w:val="231F20"/>
              <w:spacing w:val="-8"/>
              <w:sz w:val="22"/>
              <w:szCs w:val="22"/>
            </w:rPr>
            <w:fldChar w:fldCharType="end"/>
          </w:r>
          <w:r>
            <w:rPr>
              <w:rFonts w:ascii="Times New Roman" w:hAnsi="Times New Roman" w:eastAsia="Times New Roman" w:cs="Times New Roman"/>
              <w:color w:val="231F20"/>
              <w:spacing w:val="-8"/>
              <w:sz w:val="22"/>
              <w:szCs w:val="22"/>
            </w:rPr>
            <w:t>8</w:t>
          </w:r>
        </w:p>
        <w:p>
          <w:pPr>
            <w:tabs>
              <w:tab w:val="right" w:leader="dot" w:pos="10263"/>
            </w:tabs>
            <w:spacing w:before="136" w:line="217" w:lineRule="auto"/>
            <w:ind w:left="2056"/>
            <w:rPr>
              <w:rFonts w:ascii="Times New Roman" w:hAnsi="Times New Roman" w:eastAsia="Times New Roman" w:cs="Times New Roman"/>
              <w:sz w:val="22"/>
              <w:szCs w:val="22"/>
            </w:rPr>
          </w:pPr>
          <w:r>
            <w:rPr>
              <w:rFonts w:ascii="KaiTi" w:hAnsi="KaiTi" w:eastAsia="KaiTi" w:cs="KaiTi"/>
              <w:color w:val="231F20"/>
              <w:spacing w:val="-4"/>
              <w:sz w:val="22"/>
              <w:szCs w:val="22"/>
            </w:rPr>
            <w:t>(二)</w:t>
          </w:r>
          <w:r>
            <w:rPr>
              <w:rFonts w:ascii="KaiTi" w:hAnsi="KaiTi" w:eastAsia="KaiTi" w:cs="KaiTi"/>
              <w:color w:val="231F20"/>
              <w:spacing w:val="-3"/>
              <w:sz w:val="22"/>
              <w:szCs w:val="22"/>
            </w:rPr>
            <w:t xml:space="preserve"> </w:t>
          </w:r>
          <w:r>
            <w:rPr>
              <w:rFonts w:ascii="KaiTi" w:hAnsi="KaiTi" w:eastAsia="KaiTi" w:cs="KaiTi"/>
              <w:color w:val="231F20"/>
              <w:spacing w:val="-2"/>
              <w:sz w:val="22"/>
              <w:szCs w:val="22"/>
            </w:rPr>
            <w:t xml:space="preserve">利用外资情况 </w:t>
          </w:r>
          <w:r>
            <w:rPr>
              <w:rFonts w:ascii="KaiTi" w:hAnsi="KaiTi" w:eastAsia="KaiTi" w:cs="KaiTi"/>
              <w:sz w:val="22"/>
              <w:szCs w:val="22"/>
            </w:rPr>
            <w:tab/>
          </w:r>
          <w:r>
            <w:rPr>
              <w:rFonts w:ascii="KaiTi" w:hAnsi="KaiTi" w:eastAsia="KaiTi" w:cs="KaiTi"/>
              <w:color w:val="231F20"/>
              <w:spacing w:val="-2"/>
              <w:sz w:val="22"/>
              <w:szCs w:val="22"/>
            </w:rPr>
            <w:t xml:space="preserve"> </w:t>
          </w:r>
          <w:r>
            <w:fldChar w:fldCharType="begin"/>
          </w:r>
          <w:r>
            <w:instrText xml:space="preserve"> HYPERLINK \l "_bookmark16" </w:instrText>
          </w:r>
          <w:r>
            <w:fldChar w:fldCharType="separate"/>
          </w:r>
          <w:r>
            <w:rPr>
              <w:rFonts w:ascii="Times New Roman" w:hAnsi="Times New Roman" w:eastAsia="Times New Roman" w:cs="Times New Roman"/>
              <w:color w:val="231F20"/>
              <w:spacing w:val="-2"/>
              <w:sz w:val="22"/>
              <w:szCs w:val="22"/>
            </w:rPr>
            <w:t>3</w:t>
          </w:r>
          <w:r>
            <w:rPr>
              <w:rFonts w:ascii="Times New Roman" w:hAnsi="Times New Roman" w:eastAsia="Times New Roman" w:cs="Times New Roman"/>
              <w:color w:val="231F20"/>
              <w:spacing w:val="-2"/>
              <w:sz w:val="22"/>
              <w:szCs w:val="22"/>
            </w:rPr>
            <w:fldChar w:fldCharType="end"/>
          </w:r>
          <w:r>
            <w:rPr>
              <w:rFonts w:ascii="Times New Roman" w:hAnsi="Times New Roman" w:eastAsia="Times New Roman" w:cs="Times New Roman"/>
              <w:color w:val="231F20"/>
              <w:spacing w:val="-2"/>
              <w:sz w:val="22"/>
              <w:szCs w:val="22"/>
            </w:rPr>
            <w:t>2</w:t>
          </w:r>
        </w:p>
      </w:sdtContent>
    </w:sdt>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67872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3"/>
        <w:rPr>
          <w:rFonts w:ascii="SimHei" w:hAnsi="SimHei" w:eastAsia="SimHei" w:cs="SimHei"/>
          <w:sz w:val="21"/>
          <w:szCs w:val="21"/>
        </w:rPr>
      </w:pPr>
      <w:bookmarkStart w:id="0" w:name="_bookmark5"/>
      <w:bookmarkEnd w:id="0"/>
      <w:bookmarkStart w:id="1" w:name="_bookmark6"/>
      <w:bookmarkEnd w:id="1"/>
      <w:r>
        <w:rPr>
          <w:rFonts w:ascii="Arial" w:hAnsi="Arial" w:eastAsia="Arial" w:cs="Arial"/>
          <w:color w:val="231F20"/>
          <w:spacing w:val="37"/>
          <w:sz w:val="20"/>
          <w:szCs w:val="20"/>
        </w:rPr>
        <w:t>2</w:t>
      </w:r>
      <w:r>
        <w:rPr>
          <w:rFonts w:ascii="Arial" w:hAnsi="Arial" w:eastAsia="Arial" w:cs="Arial"/>
          <w:color w:val="231F20"/>
          <w:spacing w:val="20"/>
          <w:sz w:val="20"/>
          <w:szCs w:val="20"/>
        </w:rPr>
        <w:t xml:space="preserve">    </w:t>
      </w:r>
      <w:r>
        <w:rPr>
          <w:position w:val="-5"/>
          <w:sz w:val="20"/>
          <w:szCs w:val="20"/>
        </w:rPr>
        <w:drawing>
          <wp:inline distT="0" distB="0" distL="0" distR="0">
            <wp:extent cx="3175" cy="1473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0"/>
          <w:sz w:val="20"/>
          <w:szCs w:val="20"/>
        </w:rPr>
        <w:t xml:space="preserve">   </w:t>
      </w:r>
      <w:r>
        <w:rPr>
          <w:rFonts w:ascii="宋体" w:hAnsi="宋体" w:eastAsia="宋体" w:cs="宋体"/>
          <w:color w:val="537DBF"/>
          <w:spacing w:val="20"/>
          <w:sz w:val="21"/>
          <w:szCs w:val="21"/>
        </w:rPr>
        <w:t xml:space="preserve">中国外商投资报告 2022 </w:t>
      </w:r>
      <w:r>
        <w:rPr>
          <w:position w:val="-5"/>
          <w:sz w:val="21"/>
          <w:szCs w:val="21"/>
        </w:rPr>
        <w:drawing>
          <wp:inline distT="0" distB="0" distL="0" distR="0">
            <wp:extent cx="3175" cy="147320"/>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0"/>
          <w:sz w:val="21"/>
          <w:szCs w:val="21"/>
        </w:rPr>
        <w:t xml:space="preserve">  </w:t>
      </w:r>
      <w:r>
        <w:rPr>
          <w:rFonts w:ascii="SimHei" w:hAnsi="SimHei" w:eastAsia="SimHei" w:cs="SimHei"/>
          <w:color w:val="1A67B3"/>
          <w:spacing w:val="20"/>
          <w:sz w:val="21"/>
          <w:szCs w:val="21"/>
          <w14:textOutline w14:w="3175" w14:cap="flat" w14:cmpd="sng">
            <w14:solidFill>
              <w14:srgbClr w14:val="1A67B3"/>
            </w14:solidFill>
            <w14:prstDash w14:val="solid"/>
            <w14:miter w14:val="0"/>
          </w14:textOutline>
        </w:rPr>
        <w:t>目录</w:t>
      </w:r>
    </w:p>
    <w:p>
      <w:pPr>
        <w:spacing w:line="253" w:lineRule="auto"/>
        <w:rPr>
          <w:rFonts w:ascii="Arial"/>
          <w:sz w:val="21"/>
        </w:rPr>
      </w:pPr>
    </w:p>
    <w:p>
      <w:pPr>
        <w:spacing w:line="253" w:lineRule="auto"/>
        <w:rPr>
          <w:rFonts w:ascii="Arial"/>
          <w:sz w:val="21"/>
        </w:rPr>
      </w:pPr>
    </w:p>
    <w:p>
      <w:pPr>
        <w:spacing w:line="253" w:lineRule="auto"/>
        <w:rPr>
          <w:rFonts w:ascii="Arial"/>
          <w:sz w:val="21"/>
        </w:rPr>
      </w:pPr>
    </w:p>
    <w:sdt>
      <w:sdtPr>
        <w:rPr>
          <w:rFonts w:ascii="微软雅黑" w:hAnsi="微软雅黑" w:eastAsia="微软雅黑" w:cs="微软雅黑"/>
          <w:sz w:val="22"/>
          <w:szCs w:val="22"/>
        </w:rPr>
        <w:id w:val="9"/>
        <w:docPartObj>
          <w:docPartGallery w:val="Table of Contents"/>
          <w:docPartUnique/>
        </w:docPartObj>
      </w:sdtPr>
      <w:sdtEndPr>
        <w:rPr>
          <w:rFonts w:ascii="Times New Roman" w:hAnsi="Times New Roman" w:eastAsia="Times New Roman" w:cs="Times New Roman"/>
          <w:sz w:val="22"/>
          <w:szCs w:val="22"/>
        </w:rPr>
      </w:sdtEndPr>
      <w:sdtContent>
        <w:p>
          <w:pPr>
            <w:tabs>
              <w:tab w:val="right" w:leader="dot" w:pos="10611"/>
            </w:tabs>
            <w:spacing w:before="94" w:line="219" w:lineRule="auto"/>
            <w:ind w:left="2227"/>
            <w:rPr>
              <w:rFonts w:ascii="Times New Roman" w:hAnsi="Times New Roman" w:eastAsia="Times New Roman" w:cs="Times New Roman"/>
              <w:sz w:val="22"/>
              <w:szCs w:val="22"/>
            </w:rPr>
          </w:pPr>
          <w:r>
            <w:rPr>
              <w:rFonts w:ascii="微软雅黑" w:hAnsi="微软雅黑" w:eastAsia="微软雅黑" w:cs="微软雅黑"/>
              <w:color w:val="015DAC"/>
              <w:spacing w:val="-6"/>
              <w:sz w:val="22"/>
              <w:szCs w:val="22"/>
            </w:rPr>
            <w:t>二、</w:t>
          </w:r>
          <w:r>
            <w:rPr>
              <w:rFonts w:ascii="微软雅黑" w:hAnsi="微软雅黑" w:eastAsia="微软雅黑" w:cs="微软雅黑"/>
              <w:color w:val="015DAC"/>
              <w:spacing w:val="-5"/>
              <w:sz w:val="22"/>
              <w:szCs w:val="22"/>
            </w:rPr>
            <w:t>电</w:t>
          </w:r>
          <w:r>
            <w:rPr>
              <w:rFonts w:ascii="微软雅黑" w:hAnsi="微软雅黑" w:eastAsia="微软雅黑" w:cs="微软雅黑"/>
              <w:color w:val="015DAC"/>
              <w:spacing w:val="-3"/>
              <w:sz w:val="22"/>
              <w:szCs w:val="22"/>
            </w:rPr>
            <w:t xml:space="preserve">子信息制造业 </w:t>
          </w:r>
          <w:r>
            <w:rPr>
              <w:rFonts w:ascii="微软雅黑" w:hAnsi="微软雅黑" w:eastAsia="微软雅黑" w:cs="微软雅黑"/>
              <w:sz w:val="22"/>
              <w:szCs w:val="22"/>
            </w:rPr>
            <w:tab/>
          </w:r>
          <w:r>
            <w:fldChar w:fldCharType="begin"/>
          </w:r>
          <w:r>
            <w:instrText xml:space="preserve"> HYPERLINK \l "_bookmark17" </w:instrText>
          </w:r>
          <w:r>
            <w:fldChar w:fldCharType="separate"/>
          </w:r>
          <w:r>
            <w:rPr>
              <w:rFonts w:ascii="Times New Roman" w:hAnsi="Times New Roman" w:eastAsia="Times New Roman" w:cs="Times New Roman"/>
              <w:color w:val="015DAC"/>
              <w:spacing w:val="-3"/>
              <w:sz w:val="22"/>
              <w:szCs w:val="22"/>
            </w:rPr>
            <w:t>3</w:t>
          </w:r>
          <w:r>
            <w:rPr>
              <w:rFonts w:ascii="Times New Roman" w:hAnsi="Times New Roman" w:eastAsia="Times New Roman" w:cs="Times New Roman"/>
              <w:color w:val="015DAC"/>
              <w:spacing w:val="-3"/>
              <w:sz w:val="22"/>
              <w:szCs w:val="22"/>
            </w:rPr>
            <w:fldChar w:fldCharType="end"/>
          </w:r>
          <w:r>
            <w:rPr>
              <w:rFonts w:ascii="Times New Roman" w:hAnsi="Times New Roman" w:eastAsia="Times New Roman" w:cs="Times New Roman"/>
              <w:color w:val="015DAC"/>
              <w:spacing w:val="-3"/>
              <w:sz w:val="22"/>
              <w:szCs w:val="22"/>
            </w:rPr>
            <w:t>4</w:t>
          </w:r>
        </w:p>
        <w:p>
          <w:pPr>
            <w:tabs>
              <w:tab w:val="right" w:leader="dot" w:pos="10618"/>
            </w:tabs>
            <w:spacing w:before="113" w:line="215" w:lineRule="auto"/>
            <w:ind w:left="2437"/>
            <w:rPr>
              <w:rFonts w:ascii="Times New Roman" w:hAnsi="Times New Roman" w:eastAsia="Times New Roman" w:cs="Times New Roman"/>
              <w:sz w:val="22"/>
              <w:szCs w:val="22"/>
            </w:rPr>
          </w:pPr>
          <w:r>
            <w:rPr>
              <w:rFonts w:ascii="KaiTi" w:hAnsi="KaiTi" w:eastAsia="KaiTi" w:cs="KaiTi"/>
              <w:color w:val="231F20"/>
              <w:spacing w:val="-27"/>
              <w:sz w:val="22"/>
              <w:szCs w:val="22"/>
            </w:rPr>
            <w:t>(</w:t>
          </w:r>
          <w:r>
            <w:rPr>
              <w:rFonts w:ascii="KaiTi" w:hAnsi="KaiTi" w:eastAsia="KaiTi" w:cs="KaiTi"/>
              <w:color w:val="231F20"/>
              <w:spacing w:val="-17"/>
              <w:sz w:val="22"/>
              <w:szCs w:val="22"/>
            </w:rPr>
            <w:t xml:space="preserve"> 一 ) 行业政策变化 </w:t>
          </w:r>
          <w:r>
            <w:rPr>
              <w:rFonts w:ascii="KaiTi" w:hAnsi="KaiTi" w:eastAsia="KaiTi" w:cs="KaiTi"/>
              <w:sz w:val="22"/>
              <w:szCs w:val="22"/>
            </w:rPr>
            <w:tab/>
          </w:r>
          <w:r>
            <w:rPr>
              <w:rFonts w:ascii="KaiTi" w:hAnsi="KaiTi" w:eastAsia="KaiTi" w:cs="KaiTi"/>
              <w:color w:val="231F20"/>
              <w:spacing w:val="-17"/>
              <w:sz w:val="22"/>
              <w:szCs w:val="22"/>
            </w:rPr>
            <w:t xml:space="preserve"> </w:t>
          </w:r>
          <w:r>
            <w:fldChar w:fldCharType="begin"/>
          </w:r>
          <w:r>
            <w:instrText xml:space="preserve"> HYPERLINK \l "_bookmark18" </w:instrText>
          </w:r>
          <w:r>
            <w:fldChar w:fldCharType="separate"/>
          </w:r>
          <w:r>
            <w:rPr>
              <w:rFonts w:ascii="Times New Roman" w:hAnsi="Times New Roman" w:eastAsia="Times New Roman" w:cs="Times New Roman"/>
              <w:color w:val="231F20"/>
              <w:spacing w:val="-17"/>
              <w:sz w:val="22"/>
              <w:szCs w:val="22"/>
            </w:rPr>
            <w:t>3</w:t>
          </w:r>
          <w:r>
            <w:rPr>
              <w:rFonts w:ascii="Times New Roman" w:hAnsi="Times New Roman" w:eastAsia="Times New Roman" w:cs="Times New Roman"/>
              <w:color w:val="231F20"/>
              <w:spacing w:val="-17"/>
              <w:sz w:val="22"/>
              <w:szCs w:val="22"/>
            </w:rPr>
            <w:fldChar w:fldCharType="end"/>
          </w:r>
          <w:r>
            <w:rPr>
              <w:rFonts w:ascii="Times New Roman" w:hAnsi="Times New Roman" w:eastAsia="Times New Roman" w:cs="Times New Roman"/>
              <w:color w:val="231F20"/>
              <w:spacing w:val="-17"/>
              <w:sz w:val="22"/>
              <w:szCs w:val="22"/>
            </w:rPr>
            <w:t>4</w:t>
          </w:r>
        </w:p>
        <w:p>
          <w:pPr>
            <w:tabs>
              <w:tab w:val="right" w:leader="dot" w:pos="10618"/>
            </w:tabs>
            <w:spacing w:before="136" w:line="217" w:lineRule="auto"/>
            <w:ind w:left="2437"/>
            <w:rPr>
              <w:rFonts w:ascii="Times New Roman" w:hAnsi="Times New Roman" w:eastAsia="Times New Roman" w:cs="Times New Roman"/>
              <w:sz w:val="22"/>
              <w:szCs w:val="22"/>
            </w:rPr>
          </w:pPr>
          <w:r>
            <w:rPr>
              <w:rFonts w:ascii="KaiTi" w:hAnsi="KaiTi" w:eastAsia="KaiTi" w:cs="KaiTi"/>
              <w:color w:val="231F20"/>
              <w:spacing w:val="-6"/>
              <w:sz w:val="22"/>
              <w:szCs w:val="22"/>
            </w:rPr>
            <w:t>(二)</w:t>
          </w:r>
          <w:r>
            <w:rPr>
              <w:rFonts w:ascii="KaiTi" w:hAnsi="KaiTi" w:eastAsia="KaiTi" w:cs="KaiTi"/>
              <w:color w:val="231F20"/>
              <w:spacing w:val="-5"/>
              <w:sz w:val="22"/>
              <w:szCs w:val="22"/>
            </w:rPr>
            <w:t xml:space="preserve"> </w:t>
          </w:r>
          <w:r>
            <w:rPr>
              <w:rFonts w:ascii="KaiTi" w:hAnsi="KaiTi" w:eastAsia="KaiTi" w:cs="KaiTi"/>
              <w:color w:val="231F20"/>
              <w:spacing w:val="-3"/>
              <w:sz w:val="22"/>
              <w:szCs w:val="22"/>
            </w:rPr>
            <w:t xml:space="preserve">利用外资情况 </w:t>
          </w:r>
          <w:r>
            <w:rPr>
              <w:rFonts w:ascii="KaiTi" w:hAnsi="KaiTi" w:eastAsia="KaiTi" w:cs="KaiTi"/>
              <w:sz w:val="22"/>
              <w:szCs w:val="22"/>
            </w:rPr>
            <w:tab/>
          </w:r>
          <w:r>
            <w:rPr>
              <w:rFonts w:ascii="KaiTi" w:hAnsi="KaiTi" w:eastAsia="KaiTi" w:cs="KaiTi"/>
              <w:color w:val="231F20"/>
              <w:spacing w:val="-3"/>
              <w:sz w:val="22"/>
              <w:szCs w:val="22"/>
            </w:rPr>
            <w:t xml:space="preserve"> </w:t>
          </w:r>
          <w:r>
            <w:fldChar w:fldCharType="begin"/>
          </w:r>
          <w:r>
            <w:instrText xml:space="preserve"> HYPERLINK \l "_bookmark19" </w:instrText>
          </w:r>
          <w:r>
            <w:fldChar w:fldCharType="separate"/>
          </w:r>
          <w:r>
            <w:rPr>
              <w:rFonts w:ascii="Times New Roman" w:hAnsi="Times New Roman" w:eastAsia="Times New Roman" w:cs="Times New Roman"/>
              <w:color w:val="231F20"/>
              <w:spacing w:val="-3"/>
              <w:sz w:val="22"/>
              <w:szCs w:val="22"/>
            </w:rPr>
            <w:t>3</w:t>
          </w:r>
          <w:r>
            <w:rPr>
              <w:rFonts w:ascii="Times New Roman" w:hAnsi="Times New Roman" w:eastAsia="Times New Roman" w:cs="Times New Roman"/>
              <w:color w:val="231F20"/>
              <w:spacing w:val="-3"/>
              <w:sz w:val="22"/>
              <w:szCs w:val="22"/>
            </w:rPr>
            <w:fldChar w:fldCharType="end"/>
          </w:r>
          <w:r>
            <w:rPr>
              <w:rFonts w:ascii="Times New Roman" w:hAnsi="Times New Roman" w:eastAsia="Times New Roman" w:cs="Times New Roman"/>
              <w:color w:val="231F20"/>
              <w:spacing w:val="-3"/>
              <w:sz w:val="22"/>
              <w:szCs w:val="22"/>
            </w:rPr>
            <w:t>6</w:t>
          </w:r>
        </w:p>
        <w:p>
          <w:pPr>
            <w:tabs>
              <w:tab w:val="right" w:leader="dot" w:pos="10611"/>
            </w:tabs>
            <w:spacing w:before="303" w:line="214" w:lineRule="auto"/>
            <w:ind w:left="2225"/>
            <w:rPr>
              <w:rFonts w:ascii="Times New Roman" w:hAnsi="Times New Roman" w:eastAsia="Times New Roman" w:cs="Times New Roman"/>
              <w:sz w:val="22"/>
              <w:szCs w:val="22"/>
            </w:rPr>
          </w:pPr>
          <w:r>
            <w:rPr>
              <w:rFonts w:ascii="微软雅黑" w:hAnsi="微软雅黑" w:eastAsia="微软雅黑" w:cs="微软雅黑"/>
              <w:color w:val="015DAC"/>
              <w:spacing w:val="-4"/>
              <w:sz w:val="22"/>
              <w:szCs w:val="22"/>
            </w:rPr>
            <w:t>三</w:t>
          </w:r>
          <w:r>
            <w:rPr>
              <w:rFonts w:ascii="微软雅黑" w:hAnsi="微软雅黑" w:eastAsia="微软雅黑" w:cs="微软雅黑"/>
              <w:color w:val="015DAC"/>
              <w:spacing w:val="-3"/>
              <w:sz w:val="22"/>
              <w:szCs w:val="22"/>
            </w:rPr>
            <w:t xml:space="preserve">、汽车制造业 </w:t>
          </w:r>
          <w:r>
            <w:rPr>
              <w:rFonts w:ascii="微软雅黑" w:hAnsi="微软雅黑" w:eastAsia="微软雅黑" w:cs="微软雅黑"/>
              <w:sz w:val="22"/>
              <w:szCs w:val="22"/>
            </w:rPr>
            <w:tab/>
          </w:r>
          <w:r>
            <w:fldChar w:fldCharType="begin"/>
          </w:r>
          <w:r>
            <w:instrText xml:space="preserve"> HYPERLINK \l "_bookmark20" </w:instrText>
          </w:r>
          <w:r>
            <w:fldChar w:fldCharType="separate"/>
          </w:r>
          <w:r>
            <w:rPr>
              <w:rFonts w:ascii="Times New Roman" w:hAnsi="Times New Roman" w:eastAsia="Times New Roman" w:cs="Times New Roman"/>
              <w:color w:val="015DAC"/>
              <w:spacing w:val="-3"/>
              <w:sz w:val="22"/>
              <w:szCs w:val="22"/>
            </w:rPr>
            <w:t>3</w:t>
          </w:r>
          <w:r>
            <w:rPr>
              <w:rFonts w:ascii="Times New Roman" w:hAnsi="Times New Roman" w:eastAsia="Times New Roman" w:cs="Times New Roman"/>
              <w:color w:val="015DAC"/>
              <w:spacing w:val="-3"/>
              <w:sz w:val="22"/>
              <w:szCs w:val="22"/>
            </w:rPr>
            <w:fldChar w:fldCharType="end"/>
          </w:r>
          <w:r>
            <w:rPr>
              <w:rFonts w:ascii="Times New Roman" w:hAnsi="Times New Roman" w:eastAsia="Times New Roman" w:cs="Times New Roman"/>
              <w:color w:val="015DAC"/>
              <w:spacing w:val="-3"/>
              <w:sz w:val="22"/>
              <w:szCs w:val="22"/>
            </w:rPr>
            <w:t>8</w:t>
          </w:r>
        </w:p>
        <w:p>
          <w:pPr>
            <w:tabs>
              <w:tab w:val="right" w:leader="dot" w:pos="10618"/>
            </w:tabs>
            <w:spacing w:before="122" w:line="215" w:lineRule="auto"/>
            <w:ind w:left="2437"/>
            <w:rPr>
              <w:rFonts w:ascii="Times New Roman" w:hAnsi="Times New Roman" w:eastAsia="Times New Roman" w:cs="Times New Roman"/>
              <w:sz w:val="22"/>
              <w:szCs w:val="22"/>
            </w:rPr>
          </w:pPr>
          <w:r>
            <w:rPr>
              <w:rFonts w:ascii="KaiTi" w:hAnsi="KaiTi" w:eastAsia="KaiTi" w:cs="KaiTi"/>
              <w:color w:val="231F20"/>
              <w:spacing w:val="-27"/>
              <w:sz w:val="22"/>
              <w:szCs w:val="22"/>
            </w:rPr>
            <w:t>(</w:t>
          </w:r>
          <w:r>
            <w:rPr>
              <w:rFonts w:ascii="KaiTi" w:hAnsi="KaiTi" w:eastAsia="KaiTi" w:cs="KaiTi"/>
              <w:color w:val="231F20"/>
              <w:spacing w:val="-17"/>
              <w:sz w:val="22"/>
              <w:szCs w:val="22"/>
            </w:rPr>
            <w:t xml:space="preserve"> 一 ) 行业政策变化 </w:t>
          </w:r>
          <w:r>
            <w:rPr>
              <w:rFonts w:ascii="KaiTi" w:hAnsi="KaiTi" w:eastAsia="KaiTi" w:cs="KaiTi"/>
              <w:sz w:val="22"/>
              <w:szCs w:val="22"/>
            </w:rPr>
            <w:tab/>
          </w:r>
          <w:r>
            <w:rPr>
              <w:rFonts w:ascii="KaiTi" w:hAnsi="KaiTi" w:eastAsia="KaiTi" w:cs="KaiTi"/>
              <w:color w:val="231F20"/>
              <w:spacing w:val="-17"/>
              <w:sz w:val="22"/>
              <w:szCs w:val="22"/>
            </w:rPr>
            <w:t xml:space="preserve"> </w:t>
          </w:r>
          <w:r>
            <w:fldChar w:fldCharType="begin"/>
          </w:r>
          <w:r>
            <w:instrText xml:space="preserve"> HYPERLINK \l "_bookmark21" </w:instrText>
          </w:r>
          <w:r>
            <w:fldChar w:fldCharType="separate"/>
          </w:r>
          <w:r>
            <w:rPr>
              <w:rFonts w:ascii="Times New Roman" w:hAnsi="Times New Roman" w:eastAsia="Times New Roman" w:cs="Times New Roman"/>
              <w:color w:val="231F20"/>
              <w:spacing w:val="-17"/>
              <w:sz w:val="22"/>
              <w:szCs w:val="22"/>
            </w:rPr>
            <w:t>3</w:t>
          </w:r>
          <w:r>
            <w:rPr>
              <w:rFonts w:ascii="Times New Roman" w:hAnsi="Times New Roman" w:eastAsia="Times New Roman" w:cs="Times New Roman"/>
              <w:color w:val="231F20"/>
              <w:spacing w:val="-17"/>
              <w:sz w:val="22"/>
              <w:szCs w:val="22"/>
            </w:rPr>
            <w:fldChar w:fldCharType="end"/>
          </w:r>
          <w:r>
            <w:rPr>
              <w:rFonts w:ascii="Times New Roman" w:hAnsi="Times New Roman" w:eastAsia="Times New Roman" w:cs="Times New Roman"/>
              <w:color w:val="231F20"/>
              <w:spacing w:val="-17"/>
              <w:sz w:val="22"/>
              <w:szCs w:val="22"/>
            </w:rPr>
            <w:t>9</w:t>
          </w:r>
        </w:p>
        <w:p>
          <w:pPr>
            <w:tabs>
              <w:tab w:val="right" w:leader="dot" w:pos="10618"/>
            </w:tabs>
            <w:spacing w:before="136" w:line="217" w:lineRule="auto"/>
            <w:ind w:left="2437"/>
            <w:rPr>
              <w:rFonts w:ascii="Times New Roman" w:hAnsi="Times New Roman" w:eastAsia="Times New Roman" w:cs="Times New Roman"/>
              <w:sz w:val="22"/>
              <w:szCs w:val="22"/>
            </w:rPr>
          </w:pPr>
          <w:r>
            <w:rPr>
              <w:rFonts w:ascii="KaiTi" w:hAnsi="KaiTi" w:eastAsia="KaiTi" w:cs="KaiTi"/>
              <w:color w:val="231F20"/>
              <w:spacing w:val="2"/>
              <w:sz w:val="22"/>
              <w:szCs w:val="22"/>
            </w:rPr>
            <w:t>(二) 利</w:t>
          </w:r>
          <w:r>
            <w:rPr>
              <w:rFonts w:ascii="KaiTi" w:hAnsi="KaiTi" w:eastAsia="KaiTi" w:cs="KaiTi"/>
              <w:color w:val="231F20"/>
              <w:spacing w:val="1"/>
              <w:sz w:val="22"/>
              <w:szCs w:val="22"/>
            </w:rPr>
            <w:t xml:space="preserve">用外资情况 </w:t>
          </w:r>
          <w:r>
            <w:rPr>
              <w:rFonts w:ascii="KaiTi" w:hAnsi="KaiTi" w:eastAsia="KaiTi" w:cs="KaiTi"/>
              <w:sz w:val="22"/>
              <w:szCs w:val="22"/>
            </w:rPr>
            <w:tab/>
          </w:r>
          <w:r>
            <w:fldChar w:fldCharType="begin"/>
          </w:r>
          <w:r>
            <w:instrText xml:space="preserve"> HYPERLINK \l "_bookmark22" </w:instrText>
          </w:r>
          <w:r>
            <w:fldChar w:fldCharType="separate"/>
          </w:r>
          <w:r>
            <w:rPr>
              <w:rFonts w:ascii="Times New Roman" w:hAnsi="Times New Roman" w:eastAsia="Times New Roman" w:cs="Times New Roman"/>
              <w:color w:val="231F20"/>
              <w:spacing w:val="1"/>
              <w:sz w:val="22"/>
              <w:szCs w:val="22"/>
            </w:rPr>
            <w:t>4</w:t>
          </w:r>
          <w:r>
            <w:rPr>
              <w:rFonts w:ascii="Times New Roman" w:hAnsi="Times New Roman" w:eastAsia="Times New Roman" w:cs="Times New Roman"/>
              <w:color w:val="231F20"/>
              <w:spacing w:val="1"/>
              <w:sz w:val="22"/>
              <w:szCs w:val="22"/>
            </w:rPr>
            <w:fldChar w:fldCharType="end"/>
          </w:r>
          <w:r>
            <w:rPr>
              <w:rFonts w:ascii="Times New Roman" w:hAnsi="Times New Roman" w:eastAsia="Times New Roman" w:cs="Times New Roman"/>
              <w:color w:val="231F20"/>
              <w:spacing w:val="1"/>
              <w:sz w:val="22"/>
              <w:szCs w:val="22"/>
            </w:rPr>
            <w:t xml:space="preserve"> 1</w:t>
          </w:r>
        </w:p>
        <w:p>
          <w:pPr>
            <w:tabs>
              <w:tab w:val="right" w:leader="dot" w:pos="10611"/>
            </w:tabs>
            <w:spacing w:before="305" w:line="204" w:lineRule="auto"/>
            <w:ind w:left="2239"/>
            <w:rPr>
              <w:rFonts w:ascii="Times New Roman" w:hAnsi="Times New Roman" w:eastAsia="Times New Roman" w:cs="Times New Roman"/>
              <w:sz w:val="22"/>
              <w:szCs w:val="22"/>
            </w:rPr>
          </w:pPr>
          <w:r>
            <w:rPr>
              <w:rFonts w:ascii="微软雅黑" w:hAnsi="微软雅黑" w:eastAsia="微软雅黑" w:cs="微软雅黑"/>
              <w:color w:val="015DAC"/>
              <w:spacing w:val="-6"/>
              <w:sz w:val="22"/>
              <w:szCs w:val="22"/>
            </w:rPr>
            <w:t xml:space="preserve">四、化工制造业 </w:t>
          </w:r>
          <w:r>
            <w:rPr>
              <w:rFonts w:ascii="微软雅黑" w:hAnsi="微软雅黑" w:eastAsia="微软雅黑" w:cs="微软雅黑"/>
              <w:sz w:val="22"/>
              <w:szCs w:val="22"/>
            </w:rPr>
            <w:tab/>
          </w:r>
          <w:r>
            <w:fldChar w:fldCharType="begin"/>
          </w:r>
          <w:r>
            <w:instrText xml:space="preserve"> HYPERLINK \l "_bookmark23" </w:instrText>
          </w:r>
          <w:r>
            <w:fldChar w:fldCharType="separate"/>
          </w:r>
          <w:r>
            <w:rPr>
              <w:rFonts w:ascii="Times New Roman" w:hAnsi="Times New Roman" w:eastAsia="Times New Roman" w:cs="Times New Roman"/>
              <w:color w:val="015DAC"/>
              <w:spacing w:val="-6"/>
              <w:sz w:val="22"/>
              <w:szCs w:val="22"/>
            </w:rPr>
            <w:t>4</w:t>
          </w:r>
          <w:r>
            <w:rPr>
              <w:rFonts w:ascii="Times New Roman" w:hAnsi="Times New Roman" w:eastAsia="Times New Roman" w:cs="Times New Roman"/>
              <w:color w:val="015DAC"/>
              <w:spacing w:val="-6"/>
              <w:sz w:val="22"/>
              <w:szCs w:val="22"/>
            </w:rPr>
            <w:fldChar w:fldCharType="end"/>
          </w:r>
          <w:r>
            <w:rPr>
              <w:rFonts w:ascii="Times New Roman" w:hAnsi="Times New Roman" w:eastAsia="Times New Roman" w:cs="Times New Roman"/>
              <w:color w:val="015DAC"/>
              <w:spacing w:val="-5"/>
              <w:sz w:val="22"/>
              <w:szCs w:val="22"/>
            </w:rPr>
            <w:t>4</w:t>
          </w:r>
        </w:p>
        <w:p>
          <w:pPr>
            <w:tabs>
              <w:tab w:val="right" w:leader="dot" w:pos="10618"/>
            </w:tabs>
            <w:spacing w:before="137" w:line="215" w:lineRule="auto"/>
            <w:ind w:left="2437"/>
            <w:rPr>
              <w:rFonts w:ascii="Times New Roman" w:hAnsi="Times New Roman" w:eastAsia="Times New Roman" w:cs="Times New Roman"/>
              <w:sz w:val="22"/>
              <w:szCs w:val="22"/>
            </w:rPr>
          </w:pPr>
          <w:r>
            <w:rPr>
              <w:rFonts w:ascii="KaiTi" w:hAnsi="KaiTi" w:eastAsia="KaiTi" w:cs="KaiTi"/>
              <w:color w:val="231F20"/>
              <w:spacing w:val="-18"/>
              <w:sz w:val="22"/>
              <w:szCs w:val="22"/>
            </w:rPr>
            <w:t>(</w:t>
          </w:r>
          <w:r>
            <w:rPr>
              <w:rFonts w:ascii="KaiTi" w:hAnsi="KaiTi" w:eastAsia="KaiTi" w:cs="KaiTi"/>
              <w:color w:val="231F20"/>
              <w:spacing w:val="-11"/>
              <w:sz w:val="22"/>
              <w:szCs w:val="22"/>
            </w:rPr>
            <w:t xml:space="preserve"> 一 ) 行业政策变化 </w:t>
          </w:r>
          <w:r>
            <w:rPr>
              <w:rFonts w:ascii="KaiTi" w:hAnsi="KaiTi" w:eastAsia="KaiTi" w:cs="KaiTi"/>
              <w:sz w:val="22"/>
              <w:szCs w:val="22"/>
            </w:rPr>
            <w:tab/>
          </w:r>
          <w:r>
            <w:fldChar w:fldCharType="begin"/>
          </w:r>
          <w:r>
            <w:instrText xml:space="preserve"> HYPERLINK \l "_bookmark24" </w:instrText>
          </w:r>
          <w:r>
            <w:fldChar w:fldCharType="separate"/>
          </w:r>
          <w:r>
            <w:rPr>
              <w:rFonts w:ascii="Times New Roman" w:hAnsi="Times New Roman" w:eastAsia="Times New Roman" w:cs="Times New Roman"/>
              <w:color w:val="231F20"/>
              <w:spacing w:val="-11"/>
              <w:sz w:val="22"/>
              <w:szCs w:val="22"/>
            </w:rPr>
            <w:t>4</w:t>
          </w:r>
          <w:r>
            <w:rPr>
              <w:rFonts w:ascii="Times New Roman" w:hAnsi="Times New Roman" w:eastAsia="Times New Roman" w:cs="Times New Roman"/>
              <w:color w:val="231F20"/>
              <w:spacing w:val="-11"/>
              <w:sz w:val="22"/>
              <w:szCs w:val="22"/>
            </w:rPr>
            <w:fldChar w:fldCharType="end"/>
          </w:r>
          <w:r>
            <w:rPr>
              <w:rFonts w:ascii="Times New Roman" w:hAnsi="Times New Roman" w:eastAsia="Times New Roman" w:cs="Times New Roman"/>
              <w:color w:val="231F20"/>
              <w:spacing w:val="-11"/>
              <w:sz w:val="22"/>
              <w:szCs w:val="22"/>
            </w:rPr>
            <w:t>4</w:t>
          </w:r>
        </w:p>
        <w:p>
          <w:pPr>
            <w:tabs>
              <w:tab w:val="right" w:leader="dot" w:pos="10618"/>
            </w:tabs>
            <w:spacing w:before="136" w:line="217" w:lineRule="auto"/>
            <w:ind w:left="2437"/>
            <w:rPr>
              <w:rFonts w:ascii="Times New Roman" w:hAnsi="Times New Roman" w:eastAsia="Times New Roman" w:cs="Times New Roman"/>
              <w:sz w:val="22"/>
              <w:szCs w:val="22"/>
            </w:rPr>
          </w:pPr>
          <w:r>
            <w:rPr>
              <w:rFonts w:ascii="KaiTi" w:hAnsi="KaiTi" w:eastAsia="KaiTi" w:cs="KaiTi"/>
              <w:color w:val="231F20"/>
              <w:spacing w:val="8"/>
              <w:sz w:val="22"/>
              <w:szCs w:val="22"/>
            </w:rPr>
            <w:t>(</w:t>
          </w:r>
          <w:r>
            <w:rPr>
              <w:rFonts w:ascii="KaiTi" w:hAnsi="KaiTi" w:eastAsia="KaiTi" w:cs="KaiTi"/>
              <w:color w:val="231F20"/>
              <w:spacing w:val="5"/>
              <w:sz w:val="22"/>
              <w:szCs w:val="22"/>
            </w:rPr>
            <w:t>二</w:t>
          </w:r>
          <w:r>
            <w:rPr>
              <w:rFonts w:ascii="KaiTi" w:hAnsi="KaiTi" w:eastAsia="KaiTi" w:cs="KaiTi"/>
              <w:color w:val="231F20"/>
              <w:spacing w:val="4"/>
              <w:sz w:val="22"/>
              <w:szCs w:val="22"/>
            </w:rPr>
            <w:t xml:space="preserve">) 利用外资情况 </w:t>
          </w:r>
          <w:r>
            <w:rPr>
              <w:rFonts w:ascii="KaiTi" w:hAnsi="KaiTi" w:eastAsia="KaiTi" w:cs="KaiTi"/>
              <w:sz w:val="22"/>
              <w:szCs w:val="22"/>
            </w:rPr>
            <w:tab/>
          </w:r>
          <w:r>
            <w:fldChar w:fldCharType="begin"/>
          </w:r>
          <w:r>
            <w:instrText xml:space="preserve"> HYPERLINK \l "_bookmark25" </w:instrText>
          </w:r>
          <w:r>
            <w:fldChar w:fldCharType="separate"/>
          </w:r>
          <w:r>
            <w:rPr>
              <w:rFonts w:ascii="Times New Roman" w:hAnsi="Times New Roman" w:eastAsia="Times New Roman" w:cs="Times New Roman"/>
              <w:color w:val="231F20"/>
              <w:spacing w:val="4"/>
              <w:sz w:val="22"/>
              <w:szCs w:val="22"/>
            </w:rPr>
            <w:t>4</w:t>
          </w:r>
          <w:r>
            <w:rPr>
              <w:rFonts w:ascii="Times New Roman" w:hAnsi="Times New Roman" w:eastAsia="Times New Roman" w:cs="Times New Roman"/>
              <w:color w:val="231F20"/>
              <w:spacing w:val="4"/>
              <w:sz w:val="22"/>
              <w:szCs w:val="22"/>
            </w:rPr>
            <w:fldChar w:fldCharType="end"/>
          </w:r>
          <w:r>
            <w:rPr>
              <w:rFonts w:ascii="Times New Roman" w:hAnsi="Times New Roman" w:eastAsia="Times New Roman" w:cs="Times New Roman"/>
              <w:color w:val="231F20"/>
              <w:spacing w:val="4"/>
              <w:sz w:val="22"/>
              <w:szCs w:val="22"/>
            </w:rPr>
            <w:t>6</w:t>
          </w:r>
        </w:p>
        <w:p>
          <w:pPr>
            <w:tabs>
              <w:tab w:val="right" w:leader="dot" w:pos="10611"/>
            </w:tabs>
            <w:spacing w:before="304" w:line="211" w:lineRule="auto"/>
            <w:ind w:left="2224"/>
            <w:rPr>
              <w:rFonts w:ascii="Times New Roman" w:hAnsi="Times New Roman" w:eastAsia="Times New Roman" w:cs="Times New Roman"/>
              <w:sz w:val="22"/>
              <w:szCs w:val="22"/>
            </w:rPr>
          </w:pPr>
          <w:r>
            <w:rPr>
              <w:rFonts w:ascii="微软雅黑" w:hAnsi="微软雅黑" w:eastAsia="微软雅黑" w:cs="微软雅黑"/>
              <w:color w:val="015DAC"/>
              <w:spacing w:val="-8"/>
              <w:sz w:val="22"/>
              <w:szCs w:val="22"/>
            </w:rPr>
            <w:t>五</w:t>
          </w:r>
          <w:r>
            <w:rPr>
              <w:rFonts w:ascii="微软雅黑" w:hAnsi="微软雅黑" w:eastAsia="微软雅黑" w:cs="微软雅黑"/>
              <w:color w:val="015DAC"/>
              <w:spacing w:val="-4"/>
              <w:sz w:val="22"/>
              <w:szCs w:val="22"/>
            </w:rPr>
            <w:t xml:space="preserve">、食品制造业 </w:t>
          </w:r>
          <w:r>
            <w:rPr>
              <w:rFonts w:ascii="微软雅黑" w:hAnsi="微软雅黑" w:eastAsia="微软雅黑" w:cs="微软雅黑"/>
              <w:sz w:val="22"/>
              <w:szCs w:val="22"/>
            </w:rPr>
            <w:tab/>
          </w:r>
          <w:r>
            <w:fldChar w:fldCharType="begin"/>
          </w:r>
          <w:r>
            <w:instrText xml:space="preserve"> HYPERLINK \l "_bookmark26" </w:instrText>
          </w:r>
          <w:r>
            <w:fldChar w:fldCharType="separate"/>
          </w:r>
          <w:r>
            <w:rPr>
              <w:rFonts w:ascii="Times New Roman" w:hAnsi="Times New Roman" w:eastAsia="Times New Roman" w:cs="Times New Roman"/>
              <w:color w:val="015DAC"/>
              <w:spacing w:val="-4"/>
              <w:sz w:val="22"/>
              <w:szCs w:val="22"/>
            </w:rPr>
            <w:t>4</w:t>
          </w:r>
          <w:r>
            <w:rPr>
              <w:rFonts w:ascii="Times New Roman" w:hAnsi="Times New Roman" w:eastAsia="Times New Roman" w:cs="Times New Roman"/>
              <w:color w:val="015DAC"/>
              <w:spacing w:val="-4"/>
              <w:sz w:val="22"/>
              <w:szCs w:val="22"/>
            </w:rPr>
            <w:fldChar w:fldCharType="end"/>
          </w:r>
          <w:r>
            <w:rPr>
              <w:rFonts w:ascii="Times New Roman" w:hAnsi="Times New Roman" w:eastAsia="Times New Roman" w:cs="Times New Roman"/>
              <w:color w:val="015DAC"/>
              <w:spacing w:val="-4"/>
              <w:sz w:val="22"/>
              <w:szCs w:val="22"/>
            </w:rPr>
            <w:t>9</w:t>
          </w:r>
        </w:p>
        <w:p>
          <w:pPr>
            <w:tabs>
              <w:tab w:val="right" w:leader="dot" w:pos="10618"/>
            </w:tabs>
            <w:spacing w:before="127" w:line="215" w:lineRule="auto"/>
            <w:ind w:left="2437"/>
            <w:rPr>
              <w:rFonts w:ascii="Times New Roman" w:hAnsi="Times New Roman" w:eastAsia="Times New Roman" w:cs="Times New Roman"/>
              <w:sz w:val="22"/>
              <w:szCs w:val="22"/>
            </w:rPr>
          </w:pPr>
          <w:r>
            <w:rPr>
              <w:rFonts w:ascii="KaiTi" w:hAnsi="KaiTi" w:eastAsia="KaiTi" w:cs="KaiTi"/>
              <w:color w:val="231F20"/>
              <w:spacing w:val="-18"/>
              <w:sz w:val="22"/>
              <w:szCs w:val="22"/>
            </w:rPr>
            <w:t>(</w:t>
          </w:r>
          <w:r>
            <w:rPr>
              <w:rFonts w:ascii="KaiTi" w:hAnsi="KaiTi" w:eastAsia="KaiTi" w:cs="KaiTi"/>
              <w:color w:val="231F20"/>
              <w:spacing w:val="-11"/>
              <w:sz w:val="22"/>
              <w:szCs w:val="22"/>
            </w:rPr>
            <w:t xml:space="preserve"> 一 ) 行业政策变化 </w:t>
          </w:r>
          <w:r>
            <w:rPr>
              <w:rFonts w:ascii="KaiTi" w:hAnsi="KaiTi" w:eastAsia="KaiTi" w:cs="KaiTi"/>
              <w:sz w:val="22"/>
              <w:szCs w:val="22"/>
            </w:rPr>
            <w:tab/>
          </w:r>
          <w:r>
            <w:fldChar w:fldCharType="begin"/>
          </w:r>
          <w:r>
            <w:instrText xml:space="preserve"> HYPERLINK \l "_bookmark27" </w:instrText>
          </w:r>
          <w:r>
            <w:fldChar w:fldCharType="separate"/>
          </w:r>
          <w:r>
            <w:rPr>
              <w:rFonts w:ascii="Times New Roman" w:hAnsi="Times New Roman" w:eastAsia="Times New Roman" w:cs="Times New Roman"/>
              <w:color w:val="231F20"/>
              <w:spacing w:val="-11"/>
              <w:sz w:val="22"/>
              <w:szCs w:val="22"/>
            </w:rPr>
            <w:t>4</w:t>
          </w:r>
          <w:r>
            <w:rPr>
              <w:rFonts w:ascii="Times New Roman" w:hAnsi="Times New Roman" w:eastAsia="Times New Roman" w:cs="Times New Roman"/>
              <w:color w:val="231F20"/>
              <w:spacing w:val="-11"/>
              <w:sz w:val="22"/>
              <w:szCs w:val="22"/>
            </w:rPr>
            <w:fldChar w:fldCharType="end"/>
          </w:r>
          <w:r>
            <w:rPr>
              <w:rFonts w:ascii="Times New Roman" w:hAnsi="Times New Roman" w:eastAsia="Times New Roman" w:cs="Times New Roman"/>
              <w:color w:val="231F20"/>
              <w:spacing w:val="-11"/>
              <w:sz w:val="22"/>
              <w:szCs w:val="22"/>
            </w:rPr>
            <w:t>9</w:t>
          </w:r>
        </w:p>
        <w:p>
          <w:pPr>
            <w:tabs>
              <w:tab w:val="right" w:leader="dot" w:pos="10618"/>
            </w:tabs>
            <w:spacing w:before="136" w:line="217" w:lineRule="auto"/>
            <w:ind w:left="2437"/>
            <w:rPr>
              <w:rFonts w:ascii="Times New Roman" w:hAnsi="Times New Roman" w:eastAsia="Times New Roman" w:cs="Times New Roman"/>
              <w:sz w:val="22"/>
              <w:szCs w:val="22"/>
            </w:rPr>
          </w:pPr>
          <w:r>
            <w:rPr>
              <w:rFonts w:ascii="KaiTi" w:hAnsi="KaiTi" w:eastAsia="KaiTi" w:cs="KaiTi"/>
              <w:color w:val="231F20"/>
              <w:spacing w:val="-8"/>
              <w:sz w:val="22"/>
              <w:szCs w:val="22"/>
            </w:rPr>
            <w:t>(</w:t>
          </w:r>
          <w:r>
            <w:rPr>
              <w:rFonts w:ascii="KaiTi" w:hAnsi="KaiTi" w:eastAsia="KaiTi" w:cs="KaiTi"/>
              <w:color w:val="231F20"/>
              <w:spacing w:val="-6"/>
              <w:sz w:val="22"/>
              <w:szCs w:val="22"/>
            </w:rPr>
            <w:t>二</w:t>
          </w:r>
          <w:r>
            <w:rPr>
              <w:rFonts w:ascii="KaiTi" w:hAnsi="KaiTi" w:eastAsia="KaiTi" w:cs="KaiTi"/>
              <w:color w:val="231F20"/>
              <w:spacing w:val="-4"/>
              <w:sz w:val="22"/>
              <w:szCs w:val="22"/>
            </w:rPr>
            <w:t xml:space="preserve">) 利用外资情况 </w:t>
          </w:r>
          <w:r>
            <w:rPr>
              <w:rFonts w:ascii="KaiTi" w:hAnsi="KaiTi" w:eastAsia="KaiTi" w:cs="KaiTi"/>
              <w:sz w:val="22"/>
              <w:szCs w:val="22"/>
            </w:rPr>
            <w:tab/>
          </w:r>
          <w:r>
            <w:rPr>
              <w:rFonts w:ascii="KaiTi" w:hAnsi="KaiTi" w:eastAsia="KaiTi" w:cs="KaiTi"/>
              <w:color w:val="231F20"/>
              <w:spacing w:val="-4"/>
              <w:sz w:val="22"/>
              <w:szCs w:val="22"/>
            </w:rPr>
            <w:t xml:space="preserve"> </w:t>
          </w:r>
          <w:r>
            <w:fldChar w:fldCharType="begin"/>
          </w:r>
          <w:r>
            <w:instrText xml:space="preserve"> HYPERLINK \l "_bookmark28" </w:instrText>
          </w:r>
          <w:r>
            <w:fldChar w:fldCharType="separate"/>
          </w:r>
          <w:r>
            <w:rPr>
              <w:rFonts w:ascii="Times New Roman" w:hAnsi="Times New Roman" w:eastAsia="Times New Roman" w:cs="Times New Roman"/>
              <w:color w:val="231F20"/>
              <w:spacing w:val="-4"/>
              <w:sz w:val="22"/>
              <w:szCs w:val="22"/>
            </w:rPr>
            <w:t>5</w:t>
          </w:r>
          <w:r>
            <w:rPr>
              <w:rFonts w:ascii="Times New Roman" w:hAnsi="Times New Roman" w:eastAsia="Times New Roman" w:cs="Times New Roman"/>
              <w:color w:val="231F20"/>
              <w:spacing w:val="-4"/>
              <w:sz w:val="22"/>
              <w:szCs w:val="22"/>
            </w:rPr>
            <w:fldChar w:fldCharType="end"/>
          </w:r>
          <w:r>
            <w:rPr>
              <w:rFonts w:ascii="Times New Roman" w:hAnsi="Times New Roman" w:eastAsia="Times New Roman" w:cs="Times New Roman"/>
              <w:color w:val="231F20"/>
              <w:spacing w:val="-4"/>
              <w:sz w:val="22"/>
              <w:szCs w:val="22"/>
            </w:rPr>
            <w:t>0</w:t>
          </w:r>
        </w:p>
        <w:p>
          <w:pPr>
            <w:tabs>
              <w:tab w:val="right" w:leader="dot" w:pos="10611"/>
            </w:tabs>
            <w:spacing w:before="305" w:line="206" w:lineRule="auto"/>
            <w:ind w:left="2224"/>
            <w:rPr>
              <w:rFonts w:ascii="Times New Roman" w:hAnsi="Times New Roman" w:eastAsia="Times New Roman" w:cs="Times New Roman"/>
              <w:sz w:val="22"/>
              <w:szCs w:val="22"/>
            </w:rPr>
          </w:pPr>
          <w:r>
            <w:rPr>
              <w:rFonts w:ascii="微软雅黑" w:hAnsi="微软雅黑" w:eastAsia="微软雅黑" w:cs="微软雅黑"/>
              <w:color w:val="015DAC"/>
              <w:spacing w:val="-4"/>
              <w:sz w:val="22"/>
              <w:szCs w:val="22"/>
            </w:rPr>
            <w:t xml:space="preserve">六、生产性服务业 </w:t>
          </w:r>
          <w:r>
            <w:rPr>
              <w:rFonts w:ascii="微软雅黑" w:hAnsi="微软雅黑" w:eastAsia="微软雅黑" w:cs="微软雅黑"/>
              <w:sz w:val="22"/>
              <w:szCs w:val="22"/>
            </w:rPr>
            <w:tab/>
          </w:r>
          <w:r>
            <w:fldChar w:fldCharType="begin"/>
          </w:r>
          <w:r>
            <w:instrText xml:space="preserve"> HYPERLINK \l "_bookmark29" </w:instrText>
          </w:r>
          <w:r>
            <w:fldChar w:fldCharType="separate"/>
          </w:r>
          <w:r>
            <w:rPr>
              <w:rFonts w:ascii="Times New Roman" w:hAnsi="Times New Roman" w:eastAsia="Times New Roman" w:cs="Times New Roman"/>
              <w:color w:val="015DAC"/>
              <w:spacing w:val="-4"/>
              <w:sz w:val="22"/>
              <w:szCs w:val="22"/>
            </w:rPr>
            <w:t>4</w:t>
          </w:r>
          <w:r>
            <w:rPr>
              <w:rFonts w:ascii="Times New Roman" w:hAnsi="Times New Roman" w:eastAsia="Times New Roman" w:cs="Times New Roman"/>
              <w:color w:val="015DAC"/>
              <w:spacing w:val="-4"/>
              <w:sz w:val="22"/>
              <w:szCs w:val="22"/>
            </w:rPr>
            <w:fldChar w:fldCharType="end"/>
          </w:r>
          <w:r>
            <w:rPr>
              <w:rFonts w:ascii="Times New Roman" w:hAnsi="Times New Roman" w:eastAsia="Times New Roman" w:cs="Times New Roman"/>
              <w:color w:val="015DAC"/>
              <w:spacing w:val="-3"/>
              <w:sz w:val="22"/>
              <w:szCs w:val="22"/>
            </w:rPr>
            <w:t>4</w:t>
          </w:r>
        </w:p>
        <w:p>
          <w:pPr>
            <w:tabs>
              <w:tab w:val="right" w:leader="dot" w:pos="10618"/>
            </w:tabs>
            <w:spacing w:before="133" w:line="215" w:lineRule="auto"/>
            <w:ind w:left="2437"/>
            <w:rPr>
              <w:rFonts w:ascii="Times New Roman" w:hAnsi="Times New Roman" w:eastAsia="Times New Roman" w:cs="Times New Roman"/>
              <w:sz w:val="22"/>
              <w:szCs w:val="22"/>
            </w:rPr>
          </w:pPr>
          <w:r>
            <w:rPr>
              <w:rFonts w:ascii="KaiTi" w:hAnsi="KaiTi" w:eastAsia="KaiTi" w:cs="KaiTi"/>
              <w:color w:val="231F20"/>
              <w:spacing w:val="-18"/>
              <w:sz w:val="22"/>
              <w:szCs w:val="22"/>
            </w:rPr>
            <w:t>(</w:t>
          </w:r>
          <w:r>
            <w:rPr>
              <w:rFonts w:ascii="KaiTi" w:hAnsi="KaiTi" w:eastAsia="KaiTi" w:cs="KaiTi"/>
              <w:color w:val="231F20"/>
              <w:spacing w:val="-11"/>
              <w:sz w:val="22"/>
              <w:szCs w:val="22"/>
            </w:rPr>
            <w:t xml:space="preserve"> 一 ) 行业政策变化 </w:t>
          </w:r>
          <w:r>
            <w:rPr>
              <w:rFonts w:ascii="KaiTi" w:hAnsi="KaiTi" w:eastAsia="KaiTi" w:cs="KaiTi"/>
              <w:sz w:val="22"/>
              <w:szCs w:val="22"/>
            </w:rPr>
            <w:tab/>
          </w:r>
          <w:r>
            <w:fldChar w:fldCharType="begin"/>
          </w:r>
          <w:r>
            <w:instrText xml:space="preserve"> HYPERLINK \l "_bookmark30" </w:instrText>
          </w:r>
          <w:r>
            <w:fldChar w:fldCharType="separate"/>
          </w:r>
          <w:r>
            <w:rPr>
              <w:rFonts w:ascii="Times New Roman" w:hAnsi="Times New Roman" w:eastAsia="Times New Roman" w:cs="Times New Roman"/>
              <w:color w:val="231F20"/>
              <w:spacing w:val="-11"/>
              <w:sz w:val="22"/>
              <w:szCs w:val="22"/>
            </w:rPr>
            <w:t>4</w:t>
          </w:r>
          <w:r>
            <w:rPr>
              <w:rFonts w:ascii="Times New Roman" w:hAnsi="Times New Roman" w:eastAsia="Times New Roman" w:cs="Times New Roman"/>
              <w:color w:val="231F20"/>
              <w:spacing w:val="-11"/>
              <w:sz w:val="22"/>
              <w:szCs w:val="22"/>
            </w:rPr>
            <w:fldChar w:fldCharType="end"/>
          </w:r>
          <w:r>
            <w:rPr>
              <w:rFonts w:ascii="Times New Roman" w:hAnsi="Times New Roman" w:eastAsia="Times New Roman" w:cs="Times New Roman"/>
              <w:color w:val="231F20"/>
              <w:spacing w:val="-11"/>
              <w:sz w:val="22"/>
              <w:szCs w:val="22"/>
            </w:rPr>
            <w:t>4</w:t>
          </w:r>
        </w:p>
        <w:p>
          <w:pPr>
            <w:tabs>
              <w:tab w:val="right" w:leader="dot" w:pos="10618"/>
            </w:tabs>
            <w:spacing w:before="137" w:line="217" w:lineRule="auto"/>
            <w:ind w:left="2437"/>
            <w:rPr>
              <w:rFonts w:ascii="Times New Roman" w:hAnsi="Times New Roman" w:eastAsia="Times New Roman" w:cs="Times New Roman"/>
              <w:sz w:val="22"/>
              <w:szCs w:val="22"/>
            </w:rPr>
          </w:pPr>
          <w:r>
            <w:rPr>
              <w:rFonts w:ascii="KaiTi" w:hAnsi="KaiTi" w:eastAsia="KaiTi" w:cs="KaiTi"/>
              <w:color w:val="231F20"/>
              <w:spacing w:val="-8"/>
              <w:sz w:val="22"/>
              <w:szCs w:val="22"/>
            </w:rPr>
            <w:t>(</w:t>
          </w:r>
          <w:r>
            <w:rPr>
              <w:rFonts w:ascii="KaiTi" w:hAnsi="KaiTi" w:eastAsia="KaiTi" w:cs="KaiTi"/>
              <w:color w:val="231F20"/>
              <w:spacing w:val="-6"/>
              <w:sz w:val="22"/>
              <w:szCs w:val="22"/>
            </w:rPr>
            <w:t>二</w:t>
          </w:r>
          <w:r>
            <w:rPr>
              <w:rFonts w:ascii="KaiTi" w:hAnsi="KaiTi" w:eastAsia="KaiTi" w:cs="KaiTi"/>
              <w:color w:val="231F20"/>
              <w:spacing w:val="-4"/>
              <w:sz w:val="22"/>
              <w:szCs w:val="22"/>
            </w:rPr>
            <w:t xml:space="preserve">) 利用外资情况 </w:t>
          </w:r>
          <w:r>
            <w:rPr>
              <w:rFonts w:ascii="KaiTi" w:hAnsi="KaiTi" w:eastAsia="KaiTi" w:cs="KaiTi"/>
              <w:sz w:val="22"/>
              <w:szCs w:val="22"/>
            </w:rPr>
            <w:tab/>
          </w:r>
          <w:r>
            <w:rPr>
              <w:rFonts w:ascii="KaiTi" w:hAnsi="KaiTi" w:eastAsia="KaiTi" w:cs="KaiTi"/>
              <w:color w:val="231F20"/>
              <w:spacing w:val="-4"/>
              <w:sz w:val="22"/>
              <w:szCs w:val="22"/>
            </w:rPr>
            <w:t xml:space="preserve"> </w:t>
          </w:r>
          <w:r>
            <w:fldChar w:fldCharType="begin"/>
          </w:r>
          <w:r>
            <w:instrText xml:space="preserve"> HYPERLINK \l "_bookmark31" </w:instrText>
          </w:r>
          <w:r>
            <w:fldChar w:fldCharType="separate"/>
          </w:r>
          <w:r>
            <w:rPr>
              <w:rFonts w:ascii="Times New Roman" w:hAnsi="Times New Roman" w:eastAsia="Times New Roman" w:cs="Times New Roman"/>
              <w:color w:val="231F20"/>
              <w:spacing w:val="-4"/>
              <w:sz w:val="22"/>
              <w:szCs w:val="22"/>
            </w:rPr>
            <w:t>5</w:t>
          </w:r>
          <w:r>
            <w:rPr>
              <w:rFonts w:ascii="Times New Roman" w:hAnsi="Times New Roman" w:eastAsia="Times New Roman" w:cs="Times New Roman"/>
              <w:color w:val="231F20"/>
              <w:spacing w:val="-4"/>
              <w:sz w:val="22"/>
              <w:szCs w:val="22"/>
            </w:rPr>
            <w:fldChar w:fldCharType="end"/>
          </w:r>
          <w:r>
            <w:rPr>
              <w:rFonts w:ascii="Times New Roman" w:hAnsi="Times New Roman" w:eastAsia="Times New Roman" w:cs="Times New Roman"/>
              <w:color w:val="231F20"/>
              <w:spacing w:val="-4"/>
              <w:sz w:val="22"/>
              <w:szCs w:val="22"/>
            </w:rPr>
            <w:t>7</w:t>
          </w:r>
        </w:p>
      </w:sdtContent>
    </w:sdt>
    <w:p>
      <w:pPr>
        <w:spacing w:line="311" w:lineRule="auto"/>
        <w:rPr>
          <w:rFonts w:ascii="Arial"/>
          <w:sz w:val="21"/>
        </w:rPr>
      </w:pPr>
    </w:p>
    <w:sdt>
      <w:sdtPr>
        <w:rPr>
          <w:rFonts w:ascii="SimHei" w:hAnsi="SimHei" w:eastAsia="SimHei" w:cs="SimHei"/>
          <w:sz w:val="24"/>
          <w:szCs w:val="24"/>
        </w:rPr>
        <w:id w:val="10"/>
        <w:docPartObj>
          <w:docPartGallery w:val="Table of Contents"/>
          <w:docPartUnique/>
        </w:docPartObj>
      </w:sdtPr>
      <w:sdtEndPr>
        <w:rPr>
          <w:rFonts w:ascii="Times New Roman" w:hAnsi="Times New Roman" w:eastAsia="Times New Roman" w:cs="Times New Roman"/>
          <w:sz w:val="22"/>
          <w:szCs w:val="22"/>
        </w:rPr>
      </w:sdtEndPr>
      <w:sdtContent>
        <w:p>
          <w:pPr>
            <w:tabs>
              <w:tab w:val="right" w:leader="dot" w:pos="10373"/>
            </w:tabs>
            <w:spacing w:before="78" w:line="221" w:lineRule="auto"/>
            <w:ind w:left="1994"/>
            <w:rPr>
              <w:rFonts w:ascii="Times New Roman" w:hAnsi="Times New Roman" w:eastAsia="Times New Roman" w:cs="Times New Roman"/>
              <w:sz w:val="24"/>
              <w:szCs w:val="24"/>
            </w:rPr>
          </w:pPr>
          <w:r>
            <w:rPr>
              <w:rFonts w:ascii="SimHei" w:hAnsi="SimHei" w:eastAsia="SimHei" w:cs="SimHei"/>
              <w:color w:val="015DAC"/>
              <w:spacing w:val="25"/>
              <w:sz w:val="24"/>
              <w:szCs w:val="24"/>
            </w:rPr>
            <w:t>地</w:t>
          </w:r>
          <w:r>
            <w:rPr>
              <w:rFonts w:ascii="SimHei" w:hAnsi="SimHei" w:eastAsia="SimHei" w:cs="SimHei"/>
              <w:color w:val="015DAC"/>
              <w:spacing w:val="22"/>
              <w:sz w:val="24"/>
              <w:szCs w:val="24"/>
            </w:rPr>
            <w:t>方篇</w:t>
          </w:r>
          <w:r>
            <w:rPr>
              <w:rFonts w:ascii="SimHei" w:hAnsi="SimHei" w:eastAsia="SimHei" w:cs="SimHei"/>
              <w:sz w:val="24"/>
              <w:szCs w:val="24"/>
            </w:rPr>
            <w:tab/>
          </w:r>
          <w:r>
            <w:rPr>
              <w:rFonts w:ascii="Times New Roman" w:hAnsi="Times New Roman" w:eastAsia="Times New Roman" w:cs="Times New Roman"/>
              <w:color w:val="015DAC"/>
              <w:spacing w:val="22"/>
              <w:sz w:val="24"/>
              <w:szCs w:val="24"/>
            </w:rPr>
            <w:t>3</w:t>
          </w:r>
          <w:r>
            <w:fldChar w:fldCharType="begin"/>
          </w:r>
          <w:r>
            <w:instrText xml:space="preserve"> HYPERLINK \l "_bookmark32" </w:instrText>
          </w:r>
          <w:r>
            <w:fldChar w:fldCharType="separate"/>
          </w:r>
          <w:r>
            <w:rPr>
              <w:rFonts w:ascii="Times New Roman" w:hAnsi="Times New Roman" w:eastAsia="Times New Roman" w:cs="Times New Roman"/>
              <w:color w:val="015DAC"/>
              <w:spacing w:val="22"/>
              <w:sz w:val="24"/>
              <w:szCs w:val="24"/>
            </w:rPr>
            <w:t>6</w:t>
          </w:r>
          <w:r>
            <w:rPr>
              <w:rFonts w:ascii="Times New Roman" w:hAnsi="Times New Roman" w:eastAsia="Times New Roman" w:cs="Times New Roman"/>
              <w:color w:val="015DAC"/>
              <w:spacing w:val="22"/>
              <w:sz w:val="24"/>
              <w:szCs w:val="24"/>
            </w:rPr>
            <w:fldChar w:fldCharType="end"/>
          </w:r>
        </w:p>
        <w:p>
          <w:pPr>
            <w:spacing w:line="316" w:lineRule="auto"/>
            <w:rPr>
              <w:rFonts w:ascii="Arial"/>
              <w:sz w:val="21"/>
            </w:rPr>
          </w:pPr>
        </w:p>
        <w:p>
          <w:pPr>
            <w:tabs>
              <w:tab w:val="right" w:leader="dot" w:pos="10611"/>
            </w:tabs>
            <w:spacing w:before="95" w:line="220" w:lineRule="auto"/>
            <w:ind w:left="2223"/>
            <w:rPr>
              <w:rFonts w:ascii="Times New Roman" w:hAnsi="Times New Roman" w:eastAsia="Times New Roman" w:cs="Times New Roman"/>
              <w:sz w:val="22"/>
              <w:szCs w:val="22"/>
            </w:rPr>
          </w:pPr>
          <w:r>
            <w:rPr>
              <w:rFonts w:ascii="微软雅黑" w:hAnsi="微软雅黑" w:eastAsia="微软雅黑" w:cs="微软雅黑"/>
              <w:color w:val="015DAC"/>
              <w:spacing w:val="-10"/>
              <w:sz w:val="22"/>
              <w:szCs w:val="22"/>
            </w:rPr>
            <w:t>一</w:t>
          </w:r>
          <w:r>
            <w:rPr>
              <w:rFonts w:ascii="微软雅黑" w:hAnsi="微软雅黑" w:eastAsia="微软雅黑" w:cs="微软雅黑"/>
              <w:color w:val="015DAC"/>
              <w:spacing w:val="-5"/>
              <w:sz w:val="22"/>
              <w:szCs w:val="22"/>
            </w:rPr>
            <w:t xml:space="preserve">、北京市 </w:t>
          </w:r>
          <w:r>
            <w:rPr>
              <w:rFonts w:ascii="微软雅黑" w:hAnsi="微软雅黑" w:eastAsia="微软雅黑" w:cs="微软雅黑"/>
              <w:sz w:val="22"/>
              <w:szCs w:val="22"/>
            </w:rPr>
            <w:tab/>
          </w:r>
          <w:r>
            <w:fldChar w:fldCharType="begin"/>
          </w:r>
          <w:r>
            <w:instrText xml:space="preserve"> HYPERLINK \l "_bookmark33" </w:instrText>
          </w:r>
          <w:r>
            <w:fldChar w:fldCharType="separate"/>
          </w:r>
          <w:r>
            <w:rPr>
              <w:rFonts w:ascii="Times New Roman" w:hAnsi="Times New Roman" w:eastAsia="Times New Roman" w:cs="Times New Roman"/>
              <w:color w:val="015DAC"/>
              <w:spacing w:val="-5"/>
              <w:sz w:val="22"/>
              <w:szCs w:val="22"/>
            </w:rPr>
            <w:t>6</w:t>
          </w:r>
          <w:r>
            <w:rPr>
              <w:rFonts w:ascii="Times New Roman" w:hAnsi="Times New Roman" w:eastAsia="Times New Roman" w:cs="Times New Roman"/>
              <w:color w:val="015DAC"/>
              <w:spacing w:val="-5"/>
              <w:sz w:val="22"/>
              <w:szCs w:val="22"/>
            </w:rPr>
            <w:fldChar w:fldCharType="end"/>
          </w:r>
          <w:r>
            <w:rPr>
              <w:rFonts w:ascii="Times New Roman" w:hAnsi="Times New Roman" w:eastAsia="Times New Roman" w:cs="Times New Roman"/>
              <w:color w:val="015DAC"/>
              <w:spacing w:val="-5"/>
              <w:sz w:val="22"/>
              <w:szCs w:val="22"/>
            </w:rPr>
            <w:t>4</w:t>
          </w:r>
        </w:p>
        <w:p>
          <w:pPr>
            <w:tabs>
              <w:tab w:val="right" w:leader="dot" w:pos="10618"/>
            </w:tabs>
            <w:spacing w:before="112" w:line="215" w:lineRule="auto"/>
            <w:ind w:left="2437"/>
            <w:rPr>
              <w:rFonts w:ascii="Times New Roman" w:hAnsi="Times New Roman" w:eastAsia="Times New Roman" w:cs="Times New Roman"/>
              <w:sz w:val="22"/>
              <w:szCs w:val="22"/>
            </w:rPr>
          </w:pPr>
          <w:r>
            <w:rPr>
              <w:rFonts w:ascii="KaiTi" w:hAnsi="KaiTi" w:eastAsia="KaiTi" w:cs="KaiTi"/>
              <w:color w:val="231F20"/>
              <w:spacing w:val="-16"/>
              <w:sz w:val="22"/>
              <w:szCs w:val="22"/>
            </w:rPr>
            <w:t xml:space="preserve">( </w:t>
          </w:r>
          <w:r>
            <w:rPr>
              <w:rFonts w:ascii="KaiTi" w:hAnsi="KaiTi" w:eastAsia="KaiTi" w:cs="KaiTi"/>
              <w:color w:val="231F20"/>
              <w:spacing w:val="-9"/>
              <w:sz w:val="22"/>
              <w:szCs w:val="22"/>
            </w:rPr>
            <w:t>一</w:t>
          </w:r>
          <w:r>
            <w:rPr>
              <w:rFonts w:ascii="KaiTi" w:hAnsi="KaiTi" w:eastAsia="KaiTi" w:cs="KaiTi"/>
              <w:color w:val="231F20"/>
              <w:spacing w:val="-8"/>
              <w:sz w:val="22"/>
              <w:szCs w:val="22"/>
            </w:rPr>
            <w:t xml:space="preserve"> ) 出台全链条稳外资政策，促进外资企业稳定发展 </w:t>
          </w:r>
          <w:r>
            <w:rPr>
              <w:rFonts w:ascii="KaiTi" w:hAnsi="KaiTi" w:eastAsia="KaiTi" w:cs="KaiTi"/>
              <w:sz w:val="22"/>
              <w:szCs w:val="22"/>
            </w:rPr>
            <w:tab/>
          </w:r>
          <w:r>
            <w:rPr>
              <w:rFonts w:ascii="KaiTi" w:hAnsi="KaiTi" w:eastAsia="KaiTi" w:cs="KaiTi"/>
              <w:color w:val="231F20"/>
              <w:spacing w:val="-8"/>
              <w:sz w:val="22"/>
              <w:szCs w:val="22"/>
            </w:rPr>
            <w:t xml:space="preserve"> </w:t>
          </w:r>
          <w:r>
            <w:fldChar w:fldCharType="begin"/>
          </w:r>
          <w:r>
            <w:instrText xml:space="preserve"> HYPERLINK \l "_bookmark34" </w:instrText>
          </w:r>
          <w:r>
            <w:fldChar w:fldCharType="separate"/>
          </w:r>
          <w:r>
            <w:rPr>
              <w:rFonts w:ascii="Times New Roman" w:hAnsi="Times New Roman" w:eastAsia="Times New Roman" w:cs="Times New Roman"/>
              <w:color w:val="231F20"/>
              <w:spacing w:val="-8"/>
              <w:sz w:val="22"/>
              <w:szCs w:val="22"/>
            </w:rPr>
            <w:t>6</w:t>
          </w:r>
          <w:r>
            <w:rPr>
              <w:rFonts w:ascii="Times New Roman" w:hAnsi="Times New Roman" w:eastAsia="Times New Roman" w:cs="Times New Roman"/>
              <w:color w:val="231F20"/>
              <w:spacing w:val="-8"/>
              <w:sz w:val="22"/>
              <w:szCs w:val="22"/>
            </w:rPr>
            <w:fldChar w:fldCharType="end"/>
          </w:r>
          <w:r>
            <w:rPr>
              <w:rFonts w:ascii="Times New Roman" w:hAnsi="Times New Roman" w:eastAsia="Times New Roman" w:cs="Times New Roman"/>
              <w:color w:val="231F20"/>
              <w:spacing w:val="-8"/>
              <w:sz w:val="22"/>
              <w:szCs w:val="22"/>
            </w:rPr>
            <w:t>4</w:t>
          </w:r>
        </w:p>
        <w:p>
          <w:pPr>
            <w:tabs>
              <w:tab w:val="right" w:leader="dot" w:pos="10618"/>
            </w:tabs>
            <w:spacing w:before="137" w:line="215" w:lineRule="auto"/>
            <w:ind w:left="2437"/>
            <w:rPr>
              <w:rFonts w:ascii="Times New Roman" w:hAnsi="Times New Roman" w:eastAsia="Times New Roman" w:cs="Times New Roman"/>
              <w:sz w:val="22"/>
              <w:szCs w:val="22"/>
            </w:rPr>
          </w:pPr>
          <w:r>
            <w:rPr>
              <w:rFonts w:ascii="KaiTi" w:hAnsi="KaiTi" w:eastAsia="KaiTi" w:cs="KaiTi"/>
              <w:color w:val="231F20"/>
              <w:spacing w:val="-8"/>
              <w:sz w:val="22"/>
              <w:szCs w:val="22"/>
            </w:rPr>
            <w:t>(二)</w:t>
          </w:r>
          <w:r>
            <w:rPr>
              <w:rFonts w:ascii="KaiTi" w:hAnsi="KaiTi" w:eastAsia="KaiTi" w:cs="KaiTi"/>
              <w:color w:val="231F20"/>
              <w:spacing w:val="-7"/>
              <w:sz w:val="22"/>
              <w:szCs w:val="22"/>
            </w:rPr>
            <w:t xml:space="preserve"> </w:t>
          </w:r>
          <w:r>
            <w:rPr>
              <w:rFonts w:ascii="KaiTi" w:hAnsi="KaiTi" w:eastAsia="KaiTi" w:cs="KaiTi"/>
              <w:color w:val="231F20"/>
              <w:spacing w:val="-4"/>
              <w:sz w:val="22"/>
              <w:szCs w:val="22"/>
            </w:rPr>
            <w:t xml:space="preserve">发挥 “两区”叠加政策优势，促进外资企业投资北京 </w:t>
          </w:r>
          <w:r>
            <w:rPr>
              <w:rFonts w:ascii="KaiTi" w:hAnsi="KaiTi" w:eastAsia="KaiTi" w:cs="KaiTi"/>
              <w:sz w:val="22"/>
              <w:szCs w:val="22"/>
            </w:rPr>
            <w:tab/>
          </w:r>
          <w:r>
            <w:rPr>
              <w:rFonts w:ascii="KaiTi" w:hAnsi="KaiTi" w:eastAsia="KaiTi" w:cs="KaiTi"/>
              <w:color w:val="231F20"/>
              <w:spacing w:val="-4"/>
              <w:sz w:val="22"/>
              <w:szCs w:val="22"/>
            </w:rPr>
            <w:t xml:space="preserve"> </w:t>
          </w:r>
          <w:r>
            <w:fldChar w:fldCharType="begin"/>
          </w:r>
          <w:r>
            <w:instrText xml:space="preserve"> HYPERLINK \l "_bookmark35" </w:instrText>
          </w:r>
          <w:r>
            <w:fldChar w:fldCharType="separate"/>
          </w:r>
          <w:r>
            <w:rPr>
              <w:rFonts w:ascii="Times New Roman" w:hAnsi="Times New Roman" w:eastAsia="Times New Roman" w:cs="Times New Roman"/>
              <w:color w:val="231F20"/>
              <w:spacing w:val="-4"/>
              <w:sz w:val="22"/>
              <w:szCs w:val="22"/>
            </w:rPr>
            <w:t>6</w:t>
          </w:r>
          <w:r>
            <w:rPr>
              <w:rFonts w:ascii="Times New Roman" w:hAnsi="Times New Roman" w:eastAsia="Times New Roman" w:cs="Times New Roman"/>
              <w:color w:val="231F20"/>
              <w:spacing w:val="-4"/>
              <w:sz w:val="22"/>
              <w:szCs w:val="22"/>
            </w:rPr>
            <w:fldChar w:fldCharType="end"/>
          </w:r>
          <w:r>
            <w:rPr>
              <w:rFonts w:ascii="Times New Roman" w:hAnsi="Times New Roman" w:eastAsia="Times New Roman" w:cs="Times New Roman"/>
              <w:color w:val="231F20"/>
              <w:spacing w:val="-4"/>
              <w:sz w:val="22"/>
              <w:szCs w:val="22"/>
            </w:rPr>
            <w:t>5</w:t>
          </w:r>
        </w:p>
        <w:p>
          <w:pPr>
            <w:tabs>
              <w:tab w:val="right" w:leader="dot" w:pos="10618"/>
            </w:tabs>
            <w:spacing w:before="138" w:line="214" w:lineRule="auto"/>
            <w:ind w:left="2437"/>
            <w:rPr>
              <w:rFonts w:ascii="Times New Roman" w:hAnsi="Times New Roman" w:eastAsia="Times New Roman" w:cs="Times New Roman"/>
              <w:sz w:val="22"/>
              <w:szCs w:val="22"/>
            </w:rPr>
          </w:pPr>
          <w:r>
            <w:rPr>
              <w:rFonts w:ascii="KaiTi" w:hAnsi="KaiTi" w:eastAsia="KaiTi" w:cs="KaiTi"/>
              <w:color w:val="231F20"/>
              <w:spacing w:val="-16"/>
              <w:sz w:val="22"/>
              <w:szCs w:val="22"/>
            </w:rPr>
            <w:t>(</w:t>
          </w:r>
          <w:r>
            <w:rPr>
              <w:rFonts w:ascii="KaiTi" w:hAnsi="KaiTi" w:eastAsia="KaiTi" w:cs="KaiTi"/>
              <w:color w:val="231F20"/>
              <w:spacing w:val="-8"/>
              <w:sz w:val="22"/>
              <w:szCs w:val="22"/>
            </w:rPr>
            <w:t xml:space="preserve"> 三 ) 促进高精尖产业投资，推进制造业高端智能发展 </w:t>
          </w:r>
          <w:r>
            <w:rPr>
              <w:rFonts w:ascii="KaiTi" w:hAnsi="KaiTi" w:eastAsia="KaiTi" w:cs="KaiTi"/>
              <w:sz w:val="22"/>
              <w:szCs w:val="22"/>
            </w:rPr>
            <w:tab/>
          </w:r>
          <w:r>
            <w:rPr>
              <w:rFonts w:ascii="KaiTi" w:hAnsi="KaiTi" w:eastAsia="KaiTi" w:cs="KaiTi"/>
              <w:color w:val="231F20"/>
              <w:spacing w:val="-8"/>
              <w:sz w:val="22"/>
              <w:szCs w:val="22"/>
            </w:rPr>
            <w:t xml:space="preserve"> </w:t>
          </w:r>
          <w:r>
            <w:fldChar w:fldCharType="begin"/>
          </w:r>
          <w:r>
            <w:instrText xml:space="preserve"> HYPERLINK \l "_bookmark36" </w:instrText>
          </w:r>
          <w:r>
            <w:fldChar w:fldCharType="separate"/>
          </w:r>
          <w:r>
            <w:rPr>
              <w:rFonts w:ascii="Times New Roman" w:hAnsi="Times New Roman" w:eastAsia="Times New Roman" w:cs="Times New Roman"/>
              <w:color w:val="231F20"/>
              <w:spacing w:val="-8"/>
              <w:sz w:val="22"/>
              <w:szCs w:val="22"/>
            </w:rPr>
            <w:t>6</w:t>
          </w:r>
          <w:r>
            <w:rPr>
              <w:rFonts w:ascii="Times New Roman" w:hAnsi="Times New Roman" w:eastAsia="Times New Roman" w:cs="Times New Roman"/>
              <w:color w:val="231F20"/>
              <w:spacing w:val="-8"/>
              <w:sz w:val="22"/>
              <w:szCs w:val="22"/>
            </w:rPr>
            <w:fldChar w:fldCharType="end"/>
          </w:r>
          <w:r>
            <w:rPr>
              <w:rFonts w:ascii="Times New Roman" w:hAnsi="Times New Roman" w:eastAsia="Times New Roman" w:cs="Times New Roman"/>
              <w:color w:val="231F20"/>
              <w:spacing w:val="-8"/>
              <w:sz w:val="22"/>
              <w:szCs w:val="22"/>
            </w:rPr>
            <w:t>6</w:t>
          </w:r>
        </w:p>
        <w:p>
          <w:pPr>
            <w:tabs>
              <w:tab w:val="right" w:leader="dot" w:pos="10618"/>
            </w:tabs>
            <w:spacing w:before="137" w:line="219" w:lineRule="auto"/>
            <w:ind w:left="2437"/>
            <w:rPr>
              <w:rFonts w:ascii="Times New Roman" w:hAnsi="Times New Roman" w:eastAsia="Times New Roman" w:cs="Times New Roman"/>
              <w:sz w:val="22"/>
              <w:szCs w:val="22"/>
            </w:rPr>
          </w:pPr>
          <w:r>
            <w:rPr>
              <w:rFonts w:ascii="KaiTi" w:hAnsi="KaiTi" w:eastAsia="KaiTi" w:cs="KaiTi"/>
              <w:color w:val="231F20"/>
              <w:spacing w:val="-16"/>
              <w:sz w:val="22"/>
              <w:szCs w:val="22"/>
            </w:rPr>
            <w:t>(</w:t>
          </w:r>
          <w:r>
            <w:rPr>
              <w:rFonts w:ascii="KaiTi" w:hAnsi="KaiTi" w:eastAsia="KaiTi" w:cs="KaiTi"/>
              <w:color w:val="231F20"/>
              <w:spacing w:val="-8"/>
              <w:sz w:val="22"/>
              <w:szCs w:val="22"/>
            </w:rPr>
            <w:t xml:space="preserve"> 四 ) 高质量建设各类园区，加快培育千亿级产业集群 </w:t>
          </w:r>
          <w:r>
            <w:rPr>
              <w:rFonts w:ascii="KaiTi" w:hAnsi="KaiTi" w:eastAsia="KaiTi" w:cs="KaiTi"/>
              <w:sz w:val="22"/>
              <w:szCs w:val="22"/>
            </w:rPr>
            <w:tab/>
          </w:r>
          <w:r>
            <w:rPr>
              <w:rFonts w:ascii="KaiTi" w:hAnsi="KaiTi" w:eastAsia="KaiTi" w:cs="KaiTi"/>
              <w:color w:val="231F20"/>
              <w:spacing w:val="-8"/>
              <w:sz w:val="22"/>
              <w:szCs w:val="22"/>
            </w:rPr>
            <w:t xml:space="preserve"> </w:t>
          </w:r>
          <w:r>
            <w:fldChar w:fldCharType="begin"/>
          </w:r>
          <w:r>
            <w:instrText xml:space="preserve"> HYPERLINK \l "_bookmark37" </w:instrText>
          </w:r>
          <w:r>
            <w:fldChar w:fldCharType="separate"/>
          </w:r>
          <w:r>
            <w:rPr>
              <w:rFonts w:ascii="Times New Roman" w:hAnsi="Times New Roman" w:eastAsia="Times New Roman" w:cs="Times New Roman"/>
              <w:color w:val="231F20"/>
              <w:spacing w:val="-8"/>
              <w:sz w:val="22"/>
              <w:szCs w:val="22"/>
            </w:rPr>
            <w:t>6</w:t>
          </w:r>
          <w:r>
            <w:rPr>
              <w:rFonts w:ascii="Times New Roman" w:hAnsi="Times New Roman" w:eastAsia="Times New Roman" w:cs="Times New Roman"/>
              <w:color w:val="231F20"/>
              <w:spacing w:val="-8"/>
              <w:sz w:val="22"/>
              <w:szCs w:val="22"/>
            </w:rPr>
            <w:fldChar w:fldCharType="end"/>
          </w:r>
          <w:r>
            <w:rPr>
              <w:rFonts w:ascii="Times New Roman" w:hAnsi="Times New Roman" w:eastAsia="Times New Roman" w:cs="Times New Roman"/>
              <w:color w:val="231F20"/>
              <w:spacing w:val="-8"/>
              <w:sz w:val="22"/>
              <w:szCs w:val="22"/>
            </w:rPr>
            <w:t>6</w:t>
          </w:r>
        </w:p>
        <w:p>
          <w:pPr>
            <w:tabs>
              <w:tab w:val="right" w:leader="dot" w:pos="10618"/>
            </w:tabs>
            <w:spacing w:before="132" w:line="217" w:lineRule="auto"/>
            <w:ind w:left="2437"/>
            <w:rPr>
              <w:rFonts w:ascii="Times New Roman" w:hAnsi="Times New Roman" w:eastAsia="Times New Roman" w:cs="Times New Roman"/>
              <w:sz w:val="22"/>
              <w:szCs w:val="22"/>
            </w:rPr>
          </w:pPr>
          <w:r>
            <w:rPr>
              <w:rFonts w:ascii="KaiTi" w:hAnsi="KaiTi" w:eastAsia="KaiTi" w:cs="KaiTi"/>
              <w:color w:val="231F20"/>
              <w:spacing w:val="-16"/>
              <w:sz w:val="22"/>
              <w:szCs w:val="22"/>
            </w:rPr>
            <w:t xml:space="preserve">( </w:t>
          </w:r>
          <w:r>
            <w:rPr>
              <w:rFonts w:ascii="KaiTi" w:hAnsi="KaiTi" w:eastAsia="KaiTi" w:cs="KaiTi"/>
              <w:color w:val="231F20"/>
              <w:spacing w:val="-10"/>
              <w:sz w:val="22"/>
              <w:szCs w:val="22"/>
            </w:rPr>
            <w:t>五</w:t>
          </w:r>
          <w:r>
            <w:rPr>
              <w:rFonts w:ascii="KaiTi" w:hAnsi="KaiTi" w:eastAsia="KaiTi" w:cs="KaiTi"/>
              <w:color w:val="231F20"/>
              <w:spacing w:val="-8"/>
              <w:sz w:val="22"/>
              <w:szCs w:val="22"/>
            </w:rPr>
            <w:t xml:space="preserve"> ) 强化服务外资企业机制，提升外资企业服务效能 </w:t>
          </w:r>
          <w:r>
            <w:rPr>
              <w:rFonts w:ascii="KaiTi" w:hAnsi="KaiTi" w:eastAsia="KaiTi" w:cs="KaiTi"/>
              <w:sz w:val="22"/>
              <w:szCs w:val="22"/>
            </w:rPr>
            <w:tab/>
          </w:r>
          <w:r>
            <w:rPr>
              <w:rFonts w:ascii="KaiTi" w:hAnsi="KaiTi" w:eastAsia="KaiTi" w:cs="KaiTi"/>
              <w:color w:val="231F20"/>
              <w:spacing w:val="-8"/>
              <w:sz w:val="22"/>
              <w:szCs w:val="22"/>
            </w:rPr>
            <w:t xml:space="preserve"> </w:t>
          </w:r>
          <w:r>
            <w:fldChar w:fldCharType="begin"/>
          </w:r>
          <w:r>
            <w:instrText xml:space="preserve"> HYPERLINK \l "_bookmark38" </w:instrText>
          </w:r>
          <w:r>
            <w:fldChar w:fldCharType="separate"/>
          </w:r>
          <w:r>
            <w:rPr>
              <w:rFonts w:ascii="Times New Roman" w:hAnsi="Times New Roman" w:eastAsia="Times New Roman" w:cs="Times New Roman"/>
              <w:color w:val="231F20"/>
              <w:spacing w:val="-8"/>
              <w:sz w:val="22"/>
              <w:szCs w:val="22"/>
            </w:rPr>
            <w:t>6</w:t>
          </w:r>
          <w:r>
            <w:rPr>
              <w:rFonts w:ascii="Times New Roman" w:hAnsi="Times New Roman" w:eastAsia="Times New Roman" w:cs="Times New Roman"/>
              <w:color w:val="231F20"/>
              <w:spacing w:val="-8"/>
              <w:sz w:val="22"/>
              <w:szCs w:val="22"/>
            </w:rPr>
            <w:fldChar w:fldCharType="end"/>
          </w:r>
          <w:r>
            <w:rPr>
              <w:rFonts w:ascii="Times New Roman" w:hAnsi="Times New Roman" w:eastAsia="Times New Roman" w:cs="Times New Roman"/>
              <w:color w:val="231F20"/>
              <w:spacing w:val="-8"/>
              <w:sz w:val="22"/>
              <w:szCs w:val="22"/>
            </w:rPr>
            <w:t>7</w:t>
          </w:r>
        </w:p>
        <w:p>
          <w:pPr>
            <w:tabs>
              <w:tab w:val="right" w:leader="dot" w:pos="10611"/>
            </w:tabs>
            <w:spacing w:before="305" w:line="219" w:lineRule="auto"/>
            <w:ind w:left="2227"/>
            <w:rPr>
              <w:rFonts w:ascii="Times New Roman" w:hAnsi="Times New Roman" w:eastAsia="Times New Roman" w:cs="Times New Roman"/>
              <w:sz w:val="22"/>
              <w:szCs w:val="22"/>
            </w:rPr>
          </w:pPr>
          <w:r>
            <w:rPr>
              <w:rFonts w:ascii="微软雅黑" w:hAnsi="微软雅黑" w:eastAsia="微软雅黑" w:cs="微软雅黑"/>
              <w:color w:val="015DAC"/>
              <w:spacing w:val="-7"/>
              <w:sz w:val="22"/>
              <w:szCs w:val="22"/>
            </w:rPr>
            <w:t>二</w:t>
          </w:r>
          <w:r>
            <w:rPr>
              <w:rFonts w:ascii="微软雅黑" w:hAnsi="微软雅黑" w:eastAsia="微软雅黑" w:cs="微软雅黑"/>
              <w:color w:val="015DAC"/>
              <w:spacing w:val="-4"/>
              <w:sz w:val="22"/>
              <w:szCs w:val="22"/>
            </w:rPr>
            <w:t xml:space="preserve">、上海市 </w:t>
          </w:r>
          <w:r>
            <w:rPr>
              <w:rFonts w:ascii="微软雅黑" w:hAnsi="微软雅黑" w:eastAsia="微软雅黑" w:cs="微软雅黑"/>
              <w:sz w:val="22"/>
              <w:szCs w:val="22"/>
            </w:rPr>
            <w:tab/>
          </w:r>
          <w:r>
            <w:fldChar w:fldCharType="begin"/>
          </w:r>
          <w:r>
            <w:instrText xml:space="preserve"> HYPERLINK \l "_bookmark39" </w:instrText>
          </w:r>
          <w:r>
            <w:fldChar w:fldCharType="separate"/>
          </w:r>
          <w:r>
            <w:rPr>
              <w:rFonts w:ascii="Times New Roman" w:hAnsi="Times New Roman" w:eastAsia="Times New Roman" w:cs="Times New Roman"/>
              <w:color w:val="015DAC"/>
              <w:spacing w:val="-4"/>
              <w:sz w:val="22"/>
              <w:szCs w:val="22"/>
            </w:rPr>
            <w:t>6</w:t>
          </w:r>
          <w:r>
            <w:rPr>
              <w:rFonts w:ascii="Times New Roman" w:hAnsi="Times New Roman" w:eastAsia="Times New Roman" w:cs="Times New Roman"/>
              <w:color w:val="015DAC"/>
              <w:spacing w:val="-4"/>
              <w:sz w:val="22"/>
              <w:szCs w:val="22"/>
            </w:rPr>
            <w:fldChar w:fldCharType="end"/>
          </w:r>
          <w:r>
            <w:rPr>
              <w:rFonts w:ascii="Times New Roman" w:hAnsi="Times New Roman" w:eastAsia="Times New Roman" w:cs="Times New Roman"/>
              <w:color w:val="015DAC"/>
              <w:spacing w:val="-4"/>
              <w:sz w:val="22"/>
              <w:szCs w:val="22"/>
            </w:rPr>
            <w:t>8</w:t>
          </w:r>
        </w:p>
        <w:p>
          <w:pPr>
            <w:tabs>
              <w:tab w:val="right" w:leader="dot" w:pos="10618"/>
            </w:tabs>
            <w:spacing w:before="113" w:line="216" w:lineRule="auto"/>
            <w:ind w:left="2437"/>
            <w:rPr>
              <w:rFonts w:ascii="Times New Roman" w:hAnsi="Times New Roman" w:eastAsia="Times New Roman" w:cs="Times New Roman"/>
              <w:sz w:val="22"/>
              <w:szCs w:val="22"/>
            </w:rPr>
          </w:pPr>
          <w:r>
            <w:rPr>
              <w:rFonts w:ascii="KaiTi" w:hAnsi="KaiTi" w:eastAsia="KaiTi" w:cs="KaiTi"/>
              <w:color w:val="231F20"/>
              <w:spacing w:val="-12"/>
              <w:sz w:val="22"/>
              <w:szCs w:val="22"/>
            </w:rPr>
            <w:t>(</w:t>
          </w:r>
          <w:r>
            <w:rPr>
              <w:rFonts w:ascii="KaiTi" w:hAnsi="KaiTi" w:eastAsia="KaiTi" w:cs="KaiTi"/>
              <w:color w:val="231F20"/>
              <w:spacing w:val="-8"/>
              <w:sz w:val="22"/>
              <w:szCs w:val="22"/>
            </w:rPr>
            <w:t xml:space="preserve"> 一 ) 强化外商投资服务功能，进一步提高投资舒适性 </w:t>
          </w:r>
          <w:r>
            <w:rPr>
              <w:rFonts w:ascii="KaiTi" w:hAnsi="KaiTi" w:eastAsia="KaiTi" w:cs="KaiTi"/>
              <w:sz w:val="22"/>
              <w:szCs w:val="22"/>
            </w:rPr>
            <w:tab/>
          </w:r>
          <w:r>
            <w:rPr>
              <w:rFonts w:ascii="KaiTi" w:hAnsi="KaiTi" w:eastAsia="KaiTi" w:cs="KaiTi"/>
              <w:color w:val="231F20"/>
              <w:spacing w:val="-8"/>
              <w:sz w:val="22"/>
              <w:szCs w:val="22"/>
            </w:rPr>
            <w:t xml:space="preserve"> </w:t>
          </w:r>
          <w:r>
            <w:fldChar w:fldCharType="begin"/>
          </w:r>
          <w:r>
            <w:instrText xml:space="preserve"> HYPERLINK \l "_bookmark40" </w:instrText>
          </w:r>
          <w:r>
            <w:fldChar w:fldCharType="separate"/>
          </w:r>
          <w:r>
            <w:rPr>
              <w:rFonts w:ascii="Times New Roman" w:hAnsi="Times New Roman" w:eastAsia="Times New Roman" w:cs="Times New Roman"/>
              <w:color w:val="231F20"/>
              <w:spacing w:val="-8"/>
              <w:sz w:val="22"/>
              <w:szCs w:val="22"/>
            </w:rPr>
            <w:t>6</w:t>
          </w:r>
          <w:r>
            <w:rPr>
              <w:rFonts w:ascii="Times New Roman" w:hAnsi="Times New Roman" w:eastAsia="Times New Roman" w:cs="Times New Roman"/>
              <w:color w:val="231F20"/>
              <w:spacing w:val="-8"/>
              <w:sz w:val="22"/>
              <w:szCs w:val="22"/>
            </w:rPr>
            <w:fldChar w:fldCharType="end"/>
          </w:r>
          <w:r>
            <w:rPr>
              <w:rFonts w:ascii="Times New Roman" w:hAnsi="Times New Roman" w:eastAsia="Times New Roman" w:cs="Times New Roman"/>
              <w:color w:val="231F20"/>
              <w:spacing w:val="-8"/>
              <w:sz w:val="22"/>
              <w:szCs w:val="22"/>
            </w:rPr>
            <w:t>8</w:t>
          </w:r>
        </w:p>
        <w:p>
          <w:pPr>
            <w:tabs>
              <w:tab w:val="right" w:leader="dot" w:pos="10618"/>
            </w:tabs>
            <w:spacing w:before="136" w:line="216" w:lineRule="auto"/>
            <w:ind w:left="2437"/>
            <w:rPr>
              <w:rFonts w:ascii="Times New Roman" w:hAnsi="Times New Roman" w:eastAsia="Times New Roman" w:cs="Times New Roman"/>
              <w:sz w:val="22"/>
              <w:szCs w:val="22"/>
            </w:rPr>
          </w:pPr>
          <w:r>
            <w:rPr>
              <w:rFonts w:ascii="KaiTi" w:hAnsi="KaiTi" w:eastAsia="KaiTi" w:cs="KaiTi"/>
              <w:color w:val="231F20"/>
              <w:spacing w:val="-2"/>
              <w:sz w:val="22"/>
              <w:szCs w:val="22"/>
            </w:rPr>
            <w:t>(二) 健全外商投资保护机制，进一</w:t>
          </w:r>
          <w:r>
            <w:rPr>
              <w:rFonts w:ascii="KaiTi" w:hAnsi="KaiTi" w:eastAsia="KaiTi" w:cs="KaiTi"/>
              <w:color w:val="231F20"/>
              <w:spacing w:val="-1"/>
              <w:sz w:val="22"/>
              <w:szCs w:val="22"/>
            </w:rPr>
            <w:t xml:space="preserve">步提升投资安全性 </w:t>
          </w:r>
          <w:r>
            <w:rPr>
              <w:rFonts w:ascii="KaiTi" w:hAnsi="KaiTi" w:eastAsia="KaiTi" w:cs="KaiTi"/>
              <w:sz w:val="22"/>
              <w:szCs w:val="22"/>
            </w:rPr>
            <w:tab/>
          </w:r>
          <w:r>
            <w:rPr>
              <w:rFonts w:ascii="KaiTi" w:hAnsi="KaiTi" w:eastAsia="KaiTi" w:cs="KaiTi"/>
              <w:color w:val="231F20"/>
              <w:spacing w:val="-1"/>
              <w:sz w:val="22"/>
              <w:szCs w:val="22"/>
            </w:rPr>
            <w:t xml:space="preserve"> </w:t>
          </w:r>
          <w:r>
            <w:fldChar w:fldCharType="begin"/>
          </w:r>
          <w:r>
            <w:instrText xml:space="preserve"> HYPERLINK \l "_bookmark41" </w:instrText>
          </w:r>
          <w:r>
            <w:fldChar w:fldCharType="separate"/>
          </w:r>
          <w:r>
            <w:rPr>
              <w:rFonts w:ascii="Times New Roman" w:hAnsi="Times New Roman" w:eastAsia="Times New Roman" w:cs="Times New Roman"/>
              <w:color w:val="231F20"/>
              <w:spacing w:val="-1"/>
              <w:sz w:val="22"/>
              <w:szCs w:val="22"/>
            </w:rPr>
            <w:t>6</w:t>
          </w:r>
          <w:r>
            <w:rPr>
              <w:rFonts w:ascii="Times New Roman" w:hAnsi="Times New Roman" w:eastAsia="Times New Roman" w:cs="Times New Roman"/>
              <w:color w:val="231F20"/>
              <w:spacing w:val="-1"/>
              <w:sz w:val="22"/>
              <w:szCs w:val="22"/>
            </w:rPr>
            <w:fldChar w:fldCharType="end"/>
          </w:r>
          <w:r>
            <w:rPr>
              <w:rFonts w:ascii="Times New Roman" w:hAnsi="Times New Roman" w:eastAsia="Times New Roman" w:cs="Times New Roman"/>
              <w:color w:val="231F20"/>
              <w:spacing w:val="-1"/>
              <w:sz w:val="22"/>
              <w:szCs w:val="22"/>
            </w:rPr>
            <w:t>9</w:t>
          </w:r>
        </w:p>
        <w:p>
          <w:pPr>
            <w:tabs>
              <w:tab w:val="right" w:leader="dot" w:pos="10618"/>
            </w:tabs>
            <w:spacing w:before="135" w:line="217" w:lineRule="auto"/>
            <w:ind w:left="2437"/>
            <w:rPr>
              <w:rFonts w:ascii="Times New Roman" w:hAnsi="Times New Roman" w:eastAsia="Times New Roman" w:cs="Times New Roman"/>
              <w:sz w:val="22"/>
              <w:szCs w:val="22"/>
            </w:rPr>
          </w:pPr>
          <w:r>
            <w:rPr>
              <w:rFonts w:ascii="KaiTi" w:hAnsi="KaiTi" w:eastAsia="KaiTi" w:cs="KaiTi"/>
              <w:color w:val="231F20"/>
              <w:spacing w:val="-16"/>
              <w:sz w:val="22"/>
              <w:szCs w:val="22"/>
            </w:rPr>
            <w:t xml:space="preserve">( </w:t>
          </w:r>
          <w:r>
            <w:rPr>
              <w:rFonts w:ascii="KaiTi" w:hAnsi="KaiTi" w:eastAsia="KaiTi" w:cs="KaiTi"/>
              <w:color w:val="231F20"/>
              <w:spacing w:val="-10"/>
              <w:sz w:val="22"/>
              <w:szCs w:val="22"/>
            </w:rPr>
            <w:t>三</w:t>
          </w:r>
          <w:r>
            <w:rPr>
              <w:rFonts w:ascii="KaiTi" w:hAnsi="KaiTi" w:eastAsia="KaiTi" w:cs="KaiTi"/>
              <w:color w:val="231F20"/>
              <w:spacing w:val="-8"/>
              <w:sz w:val="22"/>
              <w:szCs w:val="22"/>
            </w:rPr>
            <w:t xml:space="preserve"> ) 创新引资新模式新方法，进一步提升发展集聚性 </w:t>
          </w:r>
          <w:r>
            <w:rPr>
              <w:rFonts w:ascii="KaiTi" w:hAnsi="KaiTi" w:eastAsia="KaiTi" w:cs="KaiTi"/>
              <w:sz w:val="22"/>
              <w:szCs w:val="22"/>
            </w:rPr>
            <w:tab/>
          </w:r>
          <w:r>
            <w:rPr>
              <w:rFonts w:ascii="KaiTi" w:hAnsi="KaiTi" w:eastAsia="KaiTi" w:cs="KaiTi"/>
              <w:color w:val="231F20"/>
              <w:spacing w:val="-8"/>
              <w:sz w:val="22"/>
              <w:szCs w:val="22"/>
            </w:rPr>
            <w:t xml:space="preserve"> </w:t>
          </w:r>
          <w:r>
            <w:fldChar w:fldCharType="begin"/>
          </w:r>
          <w:r>
            <w:instrText xml:space="preserve"> HYPERLINK \l "_bookmark42" </w:instrText>
          </w:r>
          <w:r>
            <w:fldChar w:fldCharType="separate"/>
          </w:r>
          <w:r>
            <w:rPr>
              <w:rFonts w:ascii="Times New Roman" w:hAnsi="Times New Roman" w:eastAsia="Times New Roman" w:cs="Times New Roman"/>
              <w:color w:val="231F20"/>
              <w:spacing w:val="-8"/>
              <w:sz w:val="22"/>
              <w:szCs w:val="22"/>
            </w:rPr>
            <w:t>6</w:t>
          </w:r>
          <w:r>
            <w:rPr>
              <w:rFonts w:ascii="Times New Roman" w:hAnsi="Times New Roman" w:eastAsia="Times New Roman" w:cs="Times New Roman"/>
              <w:color w:val="231F20"/>
              <w:spacing w:val="-8"/>
              <w:sz w:val="22"/>
              <w:szCs w:val="22"/>
            </w:rPr>
            <w:fldChar w:fldCharType="end"/>
          </w:r>
          <w:r>
            <w:rPr>
              <w:rFonts w:ascii="Times New Roman" w:hAnsi="Times New Roman" w:eastAsia="Times New Roman" w:cs="Times New Roman"/>
              <w:color w:val="231F20"/>
              <w:spacing w:val="-8"/>
              <w:sz w:val="22"/>
              <w:szCs w:val="22"/>
            </w:rPr>
            <w:t>9</w:t>
          </w:r>
        </w:p>
      </w:sdtContent>
    </w:sdt>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67974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635"/>
        <w:rPr>
          <w:rFonts w:ascii="Arial" w:hAnsi="Arial" w:eastAsia="Arial" w:cs="Arial"/>
          <w:sz w:val="20"/>
          <w:szCs w:val="20"/>
        </w:rPr>
      </w:pPr>
      <w:r>
        <w:rPr>
          <w:rFonts w:ascii="SimHei" w:hAnsi="SimHei" w:eastAsia="SimHei" w:cs="SimHei"/>
          <w:color w:val="1A67B3"/>
          <w:spacing w:val="24"/>
          <w:position w:val="1"/>
          <w:sz w:val="21"/>
          <w:szCs w:val="21"/>
          <w14:textOutline w14:w="3175" w14:cap="flat" w14:cmpd="sng">
            <w14:solidFill>
              <w14:srgbClr w14:val="1A67B3"/>
            </w14:solidFill>
            <w14:prstDash w14:val="solid"/>
            <w14:miter w14:val="0"/>
          </w14:textOutline>
        </w:rPr>
        <w:t>目录</w:t>
      </w:r>
      <w:r>
        <w:rPr>
          <w:rFonts w:ascii="SimHei" w:hAnsi="SimHei" w:eastAsia="SimHei" w:cs="SimHei"/>
          <w:color w:val="1A67B3"/>
          <w:spacing w:val="24"/>
          <w:position w:val="1"/>
          <w:sz w:val="21"/>
          <w:szCs w:val="21"/>
        </w:rPr>
        <w:t xml:space="preserve"> </w:t>
      </w:r>
      <w:r>
        <w:rPr>
          <w:position w:val="-3"/>
          <w:sz w:val="21"/>
          <w:szCs w:val="21"/>
        </w:rPr>
        <w:drawing>
          <wp:inline distT="0" distB="0" distL="0" distR="0">
            <wp:extent cx="3175" cy="14732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4"/>
          <w:position w:val="1"/>
          <w:sz w:val="21"/>
          <w:szCs w:val="21"/>
        </w:rPr>
        <w:t xml:space="preserve">  </w:t>
      </w:r>
      <w:r>
        <w:rPr>
          <w:rFonts w:ascii="宋体" w:hAnsi="宋体" w:eastAsia="宋体" w:cs="宋体"/>
          <w:color w:val="537DBF"/>
          <w:spacing w:val="24"/>
          <w:position w:val="1"/>
          <w:sz w:val="21"/>
          <w:szCs w:val="21"/>
        </w:rPr>
        <w:t xml:space="preserve">中国外商投资报告 2022  </w:t>
      </w:r>
      <w:r>
        <w:rPr>
          <w:position w:val="-3"/>
          <w:sz w:val="21"/>
          <w:szCs w:val="21"/>
        </w:rPr>
        <w:drawing>
          <wp:inline distT="0" distB="0" distL="0" distR="0">
            <wp:extent cx="3175" cy="14732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4"/>
          <w:position w:val="1"/>
          <w:sz w:val="21"/>
          <w:szCs w:val="21"/>
        </w:rPr>
        <w:t xml:space="preserve">  </w:t>
      </w:r>
      <w:r>
        <w:rPr>
          <w:rFonts w:ascii="Arial" w:hAnsi="Arial" w:eastAsia="Arial" w:cs="Arial"/>
          <w:color w:val="231F20"/>
          <w:spacing w:val="21"/>
          <w:position w:val="1"/>
          <w:sz w:val="20"/>
          <w:szCs w:val="20"/>
        </w:rPr>
        <w:t>3</w:t>
      </w:r>
    </w:p>
    <w:p>
      <w:pPr>
        <w:spacing w:line="246" w:lineRule="auto"/>
        <w:rPr>
          <w:rFonts w:ascii="Arial"/>
          <w:sz w:val="21"/>
        </w:rPr>
      </w:pPr>
    </w:p>
    <w:p>
      <w:pPr>
        <w:spacing w:line="246" w:lineRule="auto"/>
        <w:rPr>
          <w:rFonts w:ascii="Arial"/>
          <w:sz w:val="21"/>
        </w:rPr>
      </w:pPr>
    </w:p>
    <w:p>
      <w:pPr>
        <w:spacing w:line="246" w:lineRule="auto"/>
        <w:rPr>
          <w:rFonts w:ascii="Arial"/>
          <w:sz w:val="21"/>
        </w:rPr>
      </w:pPr>
    </w:p>
    <w:sdt>
      <w:sdtPr>
        <w:rPr>
          <w:rFonts w:ascii="微软雅黑" w:hAnsi="微软雅黑" w:eastAsia="微软雅黑" w:cs="微软雅黑"/>
          <w:sz w:val="22"/>
          <w:szCs w:val="22"/>
        </w:rPr>
        <w:id w:val="11"/>
        <w:docPartObj>
          <w:docPartGallery w:val="Table of Contents"/>
          <w:docPartUnique/>
        </w:docPartObj>
      </w:sdtPr>
      <w:sdtEndPr>
        <w:rPr>
          <w:rFonts w:ascii="Times New Roman" w:hAnsi="Times New Roman" w:eastAsia="Times New Roman" w:cs="Times New Roman"/>
          <w:sz w:val="22"/>
          <w:szCs w:val="22"/>
        </w:rPr>
      </w:sdtEndPr>
      <w:sdtContent>
        <w:p>
          <w:pPr>
            <w:tabs>
              <w:tab w:val="right" w:leader="dot" w:pos="10285"/>
            </w:tabs>
            <w:spacing w:before="95" w:line="214" w:lineRule="auto"/>
            <w:ind w:left="1899"/>
            <w:rPr>
              <w:rFonts w:ascii="Times New Roman" w:hAnsi="Times New Roman" w:eastAsia="Times New Roman" w:cs="Times New Roman"/>
              <w:sz w:val="22"/>
              <w:szCs w:val="22"/>
            </w:rPr>
          </w:pPr>
          <w:r>
            <w:rPr>
              <w:rFonts w:ascii="微软雅黑" w:hAnsi="微软雅黑" w:eastAsia="微软雅黑" w:cs="微软雅黑"/>
              <w:color w:val="015DAC"/>
              <w:spacing w:val="-6"/>
              <w:sz w:val="22"/>
              <w:szCs w:val="22"/>
            </w:rPr>
            <w:t xml:space="preserve">三、江苏省 </w:t>
          </w:r>
          <w:r>
            <w:rPr>
              <w:rFonts w:ascii="微软雅黑" w:hAnsi="微软雅黑" w:eastAsia="微软雅黑" w:cs="微软雅黑"/>
              <w:sz w:val="22"/>
              <w:szCs w:val="22"/>
            </w:rPr>
            <w:tab/>
          </w:r>
          <w:r>
            <w:fldChar w:fldCharType="begin"/>
          </w:r>
          <w:r>
            <w:instrText xml:space="preserve"> HYPERLINK \l "_bookmark43" </w:instrText>
          </w:r>
          <w:r>
            <w:fldChar w:fldCharType="separate"/>
          </w:r>
          <w:r>
            <w:rPr>
              <w:rFonts w:ascii="Times New Roman" w:hAnsi="Times New Roman" w:eastAsia="Times New Roman" w:cs="Times New Roman"/>
              <w:color w:val="015DAC"/>
              <w:spacing w:val="-6"/>
              <w:sz w:val="22"/>
              <w:szCs w:val="22"/>
            </w:rPr>
            <w:t>7</w:t>
          </w:r>
          <w:r>
            <w:rPr>
              <w:rFonts w:ascii="Times New Roman" w:hAnsi="Times New Roman" w:eastAsia="Times New Roman" w:cs="Times New Roman"/>
              <w:color w:val="015DAC"/>
              <w:spacing w:val="-6"/>
              <w:sz w:val="22"/>
              <w:szCs w:val="22"/>
            </w:rPr>
            <w:fldChar w:fldCharType="end"/>
          </w:r>
          <w:r>
            <w:rPr>
              <w:rFonts w:ascii="Times New Roman" w:hAnsi="Times New Roman" w:eastAsia="Times New Roman" w:cs="Times New Roman"/>
              <w:color w:val="015DAC"/>
              <w:spacing w:val="-5"/>
              <w:sz w:val="22"/>
              <w:szCs w:val="22"/>
            </w:rPr>
            <w:t>0</w:t>
          </w:r>
        </w:p>
        <w:p>
          <w:pPr>
            <w:tabs>
              <w:tab w:val="right" w:leader="dot" w:pos="10291"/>
            </w:tabs>
            <w:spacing w:before="121" w:line="214" w:lineRule="auto"/>
            <w:ind w:left="2111"/>
            <w:rPr>
              <w:rFonts w:ascii="Times New Roman" w:hAnsi="Times New Roman" w:eastAsia="Times New Roman" w:cs="Times New Roman"/>
              <w:sz w:val="22"/>
              <w:szCs w:val="22"/>
            </w:rPr>
          </w:pPr>
          <w:r>
            <w:rPr>
              <w:rFonts w:ascii="KaiTi" w:hAnsi="KaiTi" w:eastAsia="KaiTi" w:cs="KaiTi"/>
              <w:color w:val="231F20"/>
              <w:spacing w:val="-10"/>
              <w:sz w:val="22"/>
              <w:szCs w:val="22"/>
            </w:rPr>
            <w:t>(</w:t>
          </w:r>
          <w:r>
            <w:rPr>
              <w:rFonts w:ascii="KaiTi" w:hAnsi="KaiTi" w:eastAsia="KaiTi" w:cs="KaiTi"/>
              <w:color w:val="231F20"/>
              <w:spacing w:val="-5"/>
              <w:sz w:val="22"/>
              <w:szCs w:val="22"/>
            </w:rPr>
            <w:t xml:space="preserve"> 一 ) 聚焦集聚跨国公司总部，系统优化引资政策设计 </w:t>
          </w:r>
          <w:r>
            <w:rPr>
              <w:rFonts w:ascii="KaiTi" w:hAnsi="KaiTi" w:eastAsia="KaiTi" w:cs="KaiTi"/>
              <w:sz w:val="22"/>
              <w:szCs w:val="22"/>
            </w:rPr>
            <w:tab/>
          </w:r>
          <w:r>
            <w:fldChar w:fldCharType="begin"/>
          </w:r>
          <w:r>
            <w:instrText xml:space="preserve"> HYPERLINK \l "_bookmark44" </w:instrText>
          </w:r>
          <w:r>
            <w:fldChar w:fldCharType="separate"/>
          </w:r>
          <w:r>
            <w:rPr>
              <w:rFonts w:ascii="Times New Roman" w:hAnsi="Times New Roman" w:eastAsia="Times New Roman" w:cs="Times New Roman"/>
              <w:color w:val="231F20"/>
              <w:spacing w:val="-5"/>
              <w:sz w:val="22"/>
              <w:szCs w:val="22"/>
            </w:rPr>
            <w:t>7</w:t>
          </w:r>
          <w:r>
            <w:rPr>
              <w:rFonts w:ascii="Times New Roman" w:hAnsi="Times New Roman" w:eastAsia="Times New Roman" w:cs="Times New Roman"/>
              <w:color w:val="231F20"/>
              <w:spacing w:val="-5"/>
              <w:sz w:val="22"/>
              <w:szCs w:val="22"/>
            </w:rPr>
            <w:fldChar w:fldCharType="end"/>
          </w:r>
          <w:r>
            <w:rPr>
              <w:rFonts w:ascii="Times New Roman" w:hAnsi="Times New Roman" w:eastAsia="Times New Roman" w:cs="Times New Roman"/>
              <w:color w:val="231F20"/>
              <w:spacing w:val="-5"/>
              <w:sz w:val="22"/>
              <w:szCs w:val="22"/>
            </w:rPr>
            <w:t>0</w:t>
          </w:r>
        </w:p>
        <w:p>
          <w:pPr>
            <w:tabs>
              <w:tab w:val="right" w:leader="dot" w:pos="10291"/>
            </w:tabs>
            <w:spacing w:before="139" w:line="214" w:lineRule="auto"/>
            <w:ind w:left="2111"/>
            <w:rPr>
              <w:rFonts w:ascii="Times New Roman" w:hAnsi="Times New Roman" w:eastAsia="Times New Roman" w:cs="Times New Roman"/>
              <w:sz w:val="22"/>
              <w:szCs w:val="22"/>
            </w:rPr>
          </w:pPr>
          <w:r>
            <w:rPr>
              <w:rFonts w:ascii="KaiTi" w:hAnsi="KaiTi" w:eastAsia="KaiTi" w:cs="KaiTi"/>
              <w:color w:val="231F20"/>
              <w:spacing w:val="2"/>
              <w:sz w:val="22"/>
              <w:szCs w:val="22"/>
            </w:rPr>
            <w:t>(二) 发挥</w:t>
          </w:r>
          <w:r>
            <w:rPr>
              <w:rFonts w:ascii="KaiTi" w:hAnsi="KaiTi" w:eastAsia="KaiTi" w:cs="KaiTi"/>
              <w:color w:val="231F20"/>
              <w:spacing w:val="1"/>
              <w:sz w:val="22"/>
              <w:szCs w:val="22"/>
            </w:rPr>
            <w:t xml:space="preserve">重大展会平台作用，拓展外商投资促进渠道 </w:t>
          </w:r>
          <w:r>
            <w:rPr>
              <w:rFonts w:ascii="KaiTi" w:hAnsi="KaiTi" w:eastAsia="KaiTi" w:cs="KaiTi"/>
              <w:sz w:val="22"/>
              <w:szCs w:val="22"/>
            </w:rPr>
            <w:tab/>
          </w:r>
          <w:r>
            <w:fldChar w:fldCharType="begin"/>
          </w:r>
          <w:r>
            <w:instrText xml:space="preserve"> HYPERLINK \l "_bookmark45" </w:instrText>
          </w:r>
          <w:r>
            <w:fldChar w:fldCharType="separate"/>
          </w:r>
          <w:r>
            <w:rPr>
              <w:rFonts w:ascii="Times New Roman" w:hAnsi="Times New Roman" w:eastAsia="Times New Roman" w:cs="Times New Roman"/>
              <w:color w:val="231F20"/>
              <w:spacing w:val="1"/>
              <w:sz w:val="22"/>
              <w:szCs w:val="22"/>
            </w:rPr>
            <w:t>7</w:t>
          </w:r>
          <w:r>
            <w:rPr>
              <w:rFonts w:ascii="Times New Roman" w:hAnsi="Times New Roman" w:eastAsia="Times New Roman" w:cs="Times New Roman"/>
              <w:color w:val="231F20"/>
              <w:spacing w:val="1"/>
              <w:sz w:val="22"/>
              <w:szCs w:val="22"/>
            </w:rPr>
            <w:fldChar w:fldCharType="end"/>
          </w:r>
          <w:r>
            <w:rPr>
              <w:rFonts w:ascii="Times New Roman" w:hAnsi="Times New Roman" w:eastAsia="Times New Roman" w:cs="Times New Roman"/>
              <w:color w:val="231F20"/>
              <w:spacing w:val="1"/>
              <w:sz w:val="22"/>
              <w:szCs w:val="22"/>
            </w:rPr>
            <w:t xml:space="preserve"> 1</w:t>
          </w:r>
        </w:p>
        <w:p>
          <w:pPr>
            <w:tabs>
              <w:tab w:val="right" w:leader="dot" w:pos="10280"/>
            </w:tabs>
            <w:spacing w:before="97" w:line="296" w:lineRule="exact"/>
            <w:ind w:left="2111"/>
            <w:rPr>
              <w:rFonts w:ascii="Times New Roman" w:hAnsi="Times New Roman" w:eastAsia="Times New Roman" w:cs="Times New Roman"/>
              <w:sz w:val="22"/>
              <w:szCs w:val="22"/>
            </w:rPr>
          </w:pPr>
          <w:r>
            <w:rPr>
              <w:rFonts w:ascii="KaiTi" w:hAnsi="KaiTi" w:eastAsia="KaiTi" w:cs="KaiTi"/>
              <w:color w:val="231F20"/>
              <w:spacing w:val="-12"/>
              <w:position w:val="1"/>
              <w:sz w:val="22"/>
              <w:szCs w:val="22"/>
            </w:rPr>
            <w:t>(</w:t>
          </w:r>
          <w:r>
            <w:rPr>
              <w:rFonts w:ascii="KaiTi" w:hAnsi="KaiTi" w:eastAsia="KaiTi" w:cs="KaiTi"/>
              <w:color w:val="231F20"/>
              <w:spacing w:val="-8"/>
              <w:position w:val="1"/>
              <w:sz w:val="22"/>
              <w:szCs w:val="22"/>
            </w:rPr>
            <w:t xml:space="preserve"> </w:t>
          </w:r>
          <w:r>
            <w:rPr>
              <w:rFonts w:ascii="KaiTi" w:hAnsi="KaiTi" w:eastAsia="KaiTi" w:cs="KaiTi"/>
              <w:color w:val="231F20"/>
              <w:spacing w:val="-6"/>
              <w:position w:val="1"/>
              <w:sz w:val="22"/>
              <w:szCs w:val="22"/>
            </w:rPr>
            <w:t>三 ) 强化投资合作平台建设，开展对口国别</w:t>
          </w:r>
          <w:r>
            <w:rPr>
              <w:rFonts w:ascii="Times New Roman" w:hAnsi="Times New Roman" w:eastAsia="Times New Roman" w:cs="Times New Roman"/>
              <w:color w:val="231F20"/>
              <w:spacing w:val="-6"/>
              <w:position w:val="1"/>
              <w:sz w:val="22"/>
              <w:szCs w:val="22"/>
            </w:rPr>
            <w:t xml:space="preserve">/ </w:t>
          </w:r>
          <w:r>
            <w:rPr>
              <w:rFonts w:ascii="KaiTi" w:hAnsi="KaiTi" w:eastAsia="KaiTi" w:cs="KaiTi"/>
              <w:color w:val="231F20"/>
              <w:spacing w:val="-6"/>
              <w:position w:val="1"/>
              <w:sz w:val="22"/>
              <w:szCs w:val="22"/>
            </w:rPr>
            <w:t xml:space="preserve">地区招商 </w:t>
          </w:r>
          <w:r>
            <w:rPr>
              <w:rFonts w:ascii="KaiTi" w:hAnsi="KaiTi" w:eastAsia="KaiTi" w:cs="KaiTi"/>
              <w:position w:val="1"/>
              <w:sz w:val="22"/>
              <w:szCs w:val="22"/>
            </w:rPr>
            <w:tab/>
          </w:r>
          <w:r>
            <w:rPr>
              <w:rFonts w:ascii="KaiTi" w:hAnsi="KaiTi" w:eastAsia="KaiTi" w:cs="KaiTi"/>
              <w:color w:val="231F20"/>
              <w:spacing w:val="-6"/>
              <w:position w:val="1"/>
              <w:sz w:val="22"/>
              <w:szCs w:val="22"/>
            </w:rPr>
            <w:t xml:space="preserve"> </w:t>
          </w:r>
          <w:r>
            <w:fldChar w:fldCharType="begin"/>
          </w:r>
          <w:r>
            <w:instrText xml:space="preserve"> HYPERLINK \l "_bookmark46" </w:instrText>
          </w:r>
          <w:r>
            <w:fldChar w:fldCharType="separate"/>
          </w:r>
          <w:r>
            <w:rPr>
              <w:rFonts w:ascii="Times New Roman" w:hAnsi="Times New Roman" w:eastAsia="Times New Roman" w:cs="Times New Roman"/>
              <w:color w:val="231F20"/>
              <w:spacing w:val="-6"/>
              <w:position w:val="1"/>
              <w:sz w:val="22"/>
              <w:szCs w:val="22"/>
            </w:rPr>
            <w:t>7</w:t>
          </w:r>
          <w:r>
            <w:rPr>
              <w:rFonts w:ascii="Times New Roman" w:hAnsi="Times New Roman" w:eastAsia="Times New Roman" w:cs="Times New Roman"/>
              <w:color w:val="231F20"/>
              <w:spacing w:val="-6"/>
              <w:position w:val="1"/>
              <w:sz w:val="22"/>
              <w:szCs w:val="22"/>
            </w:rPr>
            <w:fldChar w:fldCharType="end"/>
          </w:r>
          <w:r>
            <w:rPr>
              <w:rFonts w:ascii="Times New Roman" w:hAnsi="Times New Roman" w:eastAsia="Times New Roman" w:cs="Times New Roman"/>
              <w:color w:val="231F20"/>
              <w:spacing w:val="-6"/>
              <w:position w:val="1"/>
              <w:sz w:val="22"/>
              <w:szCs w:val="22"/>
            </w:rPr>
            <w:t>2</w:t>
          </w:r>
        </w:p>
        <w:p>
          <w:pPr>
            <w:tabs>
              <w:tab w:val="right" w:leader="dot" w:pos="10291"/>
            </w:tabs>
            <w:spacing w:before="138" w:line="214" w:lineRule="auto"/>
            <w:ind w:left="2111"/>
            <w:rPr>
              <w:rFonts w:ascii="Times New Roman" w:hAnsi="Times New Roman" w:eastAsia="Times New Roman" w:cs="Times New Roman"/>
              <w:sz w:val="22"/>
              <w:szCs w:val="22"/>
            </w:rPr>
          </w:pPr>
          <w:r>
            <w:rPr>
              <w:rFonts w:ascii="KaiTi" w:hAnsi="KaiTi" w:eastAsia="KaiTi" w:cs="KaiTi"/>
              <w:color w:val="231F20"/>
              <w:spacing w:val="-10"/>
              <w:sz w:val="22"/>
              <w:szCs w:val="22"/>
            </w:rPr>
            <w:t>(</w:t>
          </w:r>
          <w:r>
            <w:rPr>
              <w:rFonts w:ascii="KaiTi" w:hAnsi="KaiTi" w:eastAsia="KaiTi" w:cs="KaiTi"/>
              <w:color w:val="231F20"/>
              <w:spacing w:val="-9"/>
              <w:sz w:val="22"/>
              <w:szCs w:val="22"/>
            </w:rPr>
            <w:t xml:space="preserve"> </w:t>
          </w:r>
          <w:r>
            <w:rPr>
              <w:rFonts w:ascii="KaiTi" w:hAnsi="KaiTi" w:eastAsia="KaiTi" w:cs="KaiTi"/>
              <w:color w:val="231F20"/>
              <w:spacing w:val="-5"/>
              <w:sz w:val="22"/>
              <w:szCs w:val="22"/>
            </w:rPr>
            <w:t xml:space="preserve">四 ) 优化投资促进合作机制，精准服务招商引资 </w:t>
          </w:r>
          <w:r>
            <w:rPr>
              <w:rFonts w:ascii="KaiTi" w:hAnsi="KaiTi" w:eastAsia="KaiTi" w:cs="KaiTi"/>
              <w:sz w:val="22"/>
              <w:szCs w:val="22"/>
            </w:rPr>
            <w:tab/>
          </w:r>
          <w:r>
            <w:fldChar w:fldCharType="begin"/>
          </w:r>
          <w:r>
            <w:instrText xml:space="preserve"> HYPERLINK \l "_bookmark47" </w:instrText>
          </w:r>
          <w:r>
            <w:fldChar w:fldCharType="separate"/>
          </w:r>
          <w:r>
            <w:rPr>
              <w:rFonts w:ascii="Times New Roman" w:hAnsi="Times New Roman" w:eastAsia="Times New Roman" w:cs="Times New Roman"/>
              <w:color w:val="231F20"/>
              <w:spacing w:val="-5"/>
              <w:sz w:val="22"/>
              <w:szCs w:val="22"/>
            </w:rPr>
            <w:t>7</w:t>
          </w:r>
          <w:r>
            <w:rPr>
              <w:rFonts w:ascii="Times New Roman" w:hAnsi="Times New Roman" w:eastAsia="Times New Roman" w:cs="Times New Roman"/>
              <w:color w:val="231F20"/>
              <w:spacing w:val="-5"/>
              <w:sz w:val="22"/>
              <w:szCs w:val="22"/>
            </w:rPr>
            <w:fldChar w:fldCharType="end"/>
          </w:r>
          <w:r>
            <w:rPr>
              <w:rFonts w:ascii="Times New Roman" w:hAnsi="Times New Roman" w:eastAsia="Times New Roman" w:cs="Times New Roman"/>
              <w:color w:val="231F20"/>
              <w:spacing w:val="-5"/>
              <w:sz w:val="22"/>
              <w:szCs w:val="22"/>
            </w:rPr>
            <w:t>3</w:t>
          </w:r>
        </w:p>
        <w:p>
          <w:pPr>
            <w:tabs>
              <w:tab w:val="right" w:leader="dot" w:pos="10285"/>
            </w:tabs>
            <w:spacing w:before="307" w:line="204" w:lineRule="auto"/>
            <w:ind w:left="1913"/>
            <w:rPr>
              <w:rFonts w:ascii="Times New Roman" w:hAnsi="Times New Roman" w:eastAsia="Times New Roman" w:cs="Times New Roman"/>
              <w:sz w:val="22"/>
              <w:szCs w:val="22"/>
            </w:rPr>
          </w:pPr>
          <w:r>
            <w:rPr>
              <w:rFonts w:ascii="微软雅黑" w:hAnsi="微软雅黑" w:eastAsia="微软雅黑" w:cs="微软雅黑"/>
              <w:color w:val="015DAC"/>
              <w:spacing w:val="-12"/>
              <w:sz w:val="22"/>
              <w:szCs w:val="22"/>
            </w:rPr>
            <w:t>四</w:t>
          </w:r>
          <w:r>
            <w:rPr>
              <w:rFonts w:ascii="微软雅黑" w:hAnsi="微软雅黑" w:eastAsia="微软雅黑" w:cs="微软雅黑"/>
              <w:color w:val="015DAC"/>
              <w:spacing w:val="-7"/>
              <w:sz w:val="22"/>
              <w:szCs w:val="22"/>
            </w:rPr>
            <w:t xml:space="preserve">、浙江省 </w:t>
          </w:r>
          <w:r>
            <w:rPr>
              <w:rFonts w:ascii="微软雅黑" w:hAnsi="微软雅黑" w:eastAsia="微软雅黑" w:cs="微软雅黑"/>
              <w:sz w:val="22"/>
              <w:szCs w:val="22"/>
            </w:rPr>
            <w:tab/>
          </w:r>
          <w:r>
            <w:fldChar w:fldCharType="begin"/>
          </w:r>
          <w:r>
            <w:instrText xml:space="preserve"> HYPERLINK \l "_bookmark48" </w:instrText>
          </w:r>
          <w:r>
            <w:fldChar w:fldCharType="separate"/>
          </w:r>
          <w:r>
            <w:rPr>
              <w:rFonts w:ascii="Times New Roman" w:hAnsi="Times New Roman" w:eastAsia="Times New Roman" w:cs="Times New Roman"/>
              <w:color w:val="015DAC"/>
              <w:spacing w:val="-7"/>
              <w:sz w:val="22"/>
              <w:szCs w:val="22"/>
            </w:rPr>
            <w:t>7</w:t>
          </w:r>
          <w:r>
            <w:rPr>
              <w:rFonts w:ascii="Times New Roman" w:hAnsi="Times New Roman" w:eastAsia="Times New Roman" w:cs="Times New Roman"/>
              <w:color w:val="015DAC"/>
              <w:spacing w:val="-7"/>
              <w:sz w:val="22"/>
              <w:szCs w:val="22"/>
            </w:rPr>
            <w:fldChar w:fldCharType="end"/>
          </w:r>
          <w:r>
            <w:rPr>
              <w:rFonts w:ascii="Times New Roman" w:hAnsi="Times New Roman" w:eastAsia="Times New Roman" w:cs="Times New Roman"/>
              <w:color w:val="015DAC"/>
              <w:spacing w:val="-7"/>
              <w:sz w:val="22"/>
              <w:szCs w:val="22"/>
            </w:rPr>
            <w:t>4</w:t>
          </w:r>
        </w:p>
        <w:p>
          <w:pPr>
            <w:tabs>
              <w:tab w:val="right" w:leader="dot" w:pos="10291"/>
            </w:tabs>
            <w:spacing w:before="137" w:line="215" w:lineRule="auto"/>
            <w:ind w:left="2111"/>
            <w:rPr>
              <w:rFonts w:ascii="Times New Roman" w:hAnsi="Times New Roman" w:eastAsia="Times New Roman" w:cs="Times New Roman"/>
              <w:sz w:val="22"/>
              <w:szCs w:val="22"/>
            </w:rPr>
          </w:pPr>
          <w:r>
            <w:rPr>
              <w:rFonts w:ascii="KaiTi" w:hAnsi="KaiTi" w:eastAsia="KaiTi" w:cs="KaiTi"/>
              <w:color w:val="231F20"/>
              <w:spacing w:val="-8"/>
              <w:sz w:val="22"/>
              <w:szCs w:val="22"/>
            </w:rPr>
            <w:t xml:space="preserve">( 一 ) 开展金融服务拓展融资渠道 </w:t>
          </w:r>
          <w:r>
            <w:rPr>
              <w:rFonts w:ascii="KaiTi" w:hAnsi="KaiTi" w:eastAsia="KaiTi" w:cs="KaiTi"/>
              <w:sz w:val="22"/>
              <w:szCs w:val="22"/>
            </w:rPr>
            <w:tab/>
          </w:r>
          <w:r>
            <w:fldChar w:fldCharType="begin"/>
          </w:r>
          <w:r>
            <w:instrText xml:space="preserve"> HYPERLINK \l "_bookmark49" </w:instrText>
          </w:r>
          <w:r>
            <w:fldChar w:fldCharType="separate"/>
          </w:r>
          <w:r>
            <w:rPr>
              <w:rFonts w:ascii="Times New Roman" w:hAnsi="Times New Roman" w:eastAsia="Times New Roman" w:cs="Times New Roman"/>
              <w:color w:val="231F20"/>
              <w:spacing w:val="-8"/>
              <w:sz w:val="22"/>
              <w:szCs w:val="22"/>
            </w:rPr>
            <w:t>7</w:t>
          </w:r>
          <w:r>
            <w:rPr>
              <w:rFonts w:ascii="Times New Roman" w:hAnsi="Times New Roman" w:eastAsia="Times New Roman" w:cs="Times New Roman"/>
              <w:color w:val="231F20"/>
              <w:spacing w:val="-8"/>
              <w:sz w:val="22"/>
              <w:szCs w:val="22"/>
            </w:rPr>
            <w:fldChar w:fldCharType="end"/>
          </w:r>
          <w:r>
            <w:rPr>
              <w:rFonts w:ascii="Times New Roman" w:hAnsi="Times New Roman" w:eastAsia="Times New Roman" w:cs="Times New Roman"/>
              <w:color w:val="231F20"/>
              <w:spacing w:val="-5"/>
              <w:sz w:val="22"/>
              <w:szCs w:val="22"/>
            </w:rPr>
            <w:t>4</w:t>
          </w:r>
        </w:p>
        <w:p>
          <w:pPr>
            <w:tabs>
              <w:tab w:val="right" w:leader="dot" w:pos="10291"/>
            </w:tabs>
            <w:spacing w:before="137" w:line="214" w:lineRule="auto"/>
            <w:ind w:left="2111"/>
            <w:rPr>
              <w:rFonts w:ascii="Times New Roman" w:hAnsi="Times New Roman" w:eastAsia="Times New Roman" w:cs="Times New Roman"/>
              <w:sz w:val="22"/>
              <w:szCs w:val="22"/>
            </w:rPr>
          </w:pPr>
          <w:r>
            <w:rPr>
              <w:rFonts w:ascii="KaiTi" w:hAnsi="KaiTi" w:eastAsia="KaiTi" w:cs="KaiTi"/>
              <w:color w:val="231F20"/>
              <w:spacing w:val="3"/>
              <w:sz w:val="22"/>
              <w:szCs w:val="22"/>
            </w:rPr>
            <w:t xml:space="preserve">(二) 支持外资研发中心集聚发展 </w:t>
          </w:r>
          <w:r>
            <w:rPr>
              <w:rFonts w:ascii="KaiTi" w:hAnsi="KaiTi" w:eastAsia="KaiTi" w:cs="KaiTi"/>
              <w:sz w:val="22"/>
              <w:szCs w:val="22"/>
            </w:rPr>
            <w:tab/>
          </w:r>
          <w:r>
            <w:fldChar w:fldCharType="begin"/>
          </w:r>
          <w:r>
            <w:instrText xml:space="preserve"> HYPERLINK \l "_bookmark50" </w:instrText>
          </w:r>
          <w:r>
            <w:fldChar w:fldCharType="separate"/>
          </w:r>
          <w:r>
            <w:rPr>
              <w:rFonts w:ascii="Times New Roman" w:hAnsi="Times New Roman" w:eastAsia="Times New Roman" w:cs="Times New Roman"/>
              <w:color w:val="231F20"/>
              <w:spacing w:val="3"/>
              <w:sz w:val="22"/>
              <w:szCs w:val="22"/>
            </w:rPr>
            <w:t>7</w:t>
          </w:r>
          <w:r>
            <w:rPr>
              <w:rFonts w:ascii="Times New Roman" w:hAnsi="Times New Roman" w:eastAsia="Times New Roman" w:cs="Times New Roman"/>
              <w:color w:val="231F20"/>
              <w:spacing w:val="3"/>
              <w:sz w:val="22"/>
              <w:szCs w:val="22"/>
            </w:rPr>
            <w:fldChar w:fldCharType="end"/>
          </w:r>
          <w:r>
            <w:rPr>
              <w:rFonts w:ascii="Times New Roman" w:hAnsi="Times New Roman" w:eastAsia="Times New Roman" w:cs="Times New Roman"/>
              <w:color w:val="231F20"/>
              <w:spacing w:val="1"/>
              <w:sz w:val="22"/>
              <w:szCs w:val="22"/>
            </w:rPr>
            <w:t>4</w:t>
          </w:r>
        </w:p>
        <w:p>
          <w:pPr>
            <w:tabs>
              <w:tab w:val="right" w:leader="dot" w:pos="10291"/>
            </w:tabs>
            <w:spacing w:before="138" w:line="215" w:lineRule="auto"/>
            <w:ind w:left="2111"/>
            <w:rPr>
              <w:rFonts w:ascii="Times New Roman" w:hAnsi="Times New Roman" w:eastAsia="Times New Roman" w:cs="Times New Roman"/>
              <w:sz w:val="22"/>
              <w:szCs w:val="22"/>
            </w:rPr>
          </w:pPr>
          <w:r>
            <w:rPr>
              <w:rFonts w:ascii="KaiTi" w:hAnsi="KaiTi" w:eastAsia="KaiTi" w:cs="KaiTi"/>
              <w:color w:val="231F20"/>
              <w:spacing w:val="-14"/>
              <w:sz w:val="22"/>
              <w:szCs w:val="22"/>
            </w:rPr>
            <w:t>(</w:t>
          </w:r>
          <w:r>
            <w:rPr>
              <w:rFonts w:ascii="KaiTi" w:hAnsi="KaiTi" w:eastAsia="KaiTi" w:cs="KaiTi"/>
              <w:color w:val="231F20"/>
              <w:spacing w:val="-8"/>
              <w:sz w:val="22"/>
              <w:szCs w:val="22"/>
            </w:rPr>
            <w:t xml:space="preserve"> </w:t>
          </w:r>
          <w:r>
            <w:rPr>
              <w:rFonts w:ascii="KaiTi" w:hAnsi="KaiTi" w:eastAsia="KaiTi" w:cs="KaiTi"/>
              <w:color w:val="231F20"/>
              <w:spacing w:val="-7"/>
              <w:sz w:val="22"/>
              <w:szCs w:val="22"/>
            </w:rPr>
            <w:t xml:space="preserve">三 ) 提升对外开放平台引资水平 </w:t>
          </w:r>
          <w:r>
            <w:rPr>
              <w:rFonts w:ascii="KaiTi" w:hAnsi="KaiTi" w:eastAsia="KaiTi" w:cs="KaiTi"/>
              <w:sz w:val="22"/>
              <w:szCs w:val="22"/>
            </w:rPr>
            <w:tab/>
          </w:r>
          <w:r>
            <w:fldChar w:fldCharType="begin"/>
          </w:r>
          <w:r>
            <w:instrText xml:space="preserve"> HYPERLINK \l "_bookmark51" </w:instrText>
          </w:r>
          <w:r>
            <w:fldChar w:fldCharType="separate"/>
          </w:r>
          <w:r>
            <w:rPr>
              <w:rFonts w:ascii="Times New Roman" w:hAnsi="Times New Roman" w:eastAsia="Times New Roman" w:cs="Times New Roman"/>
              <w:color w:val="231F20"/>
              <w:spacing w:val="-7"/>
              <w:sz w:val="22"/>
              <w:szCs w:val="22"/>
            </w:rPr>
            <w:t>7</w:t>
          </w:r>
          <w:r>
            <w:rPr>
              <w:rFonts w:ascii="Times New Roman" w:hAnsi="Times New Roman" w:eastAsia="Times New Roman" w:cs="Times New Roman"/>
              <w:color w:val="231F20"/>
              <w:spacing w:val="-7"/>
              <w:sz w:val="22"/>
              <w:szCs w:val="22"/>
            </w:rPr>
            <w:fldChar w:fldCharType="end"/>
          </w:r>
          <w:r>
            <w:rPr>
              <w:rFonts w:ascii="Times New Roman" w:hAnsi="Times New Roman" w:eastAsia="Times New Roman" w:cs="Times New Roman"/>
              <w:color w:val="231F20"/>
              <w:spacing w:val="-7"/>
              <w:sz w:val="22"/>
              <w:szCs w:val="22"/>
            </w:rPr>
            <w:t>5</w:t>
          </w:r>
        </w:p>
        <w:p>
          <w:pPr>
            <w:tabs>
              <w:tab w:val="right" w:leader="dot" w:pos="10291"/>
            </w:tabs>
            <w:spacing w:before="137" w:line="217" w:lineRule="auto"/>
            <w:ind w:left="2111"/>
            <w:rPr>
              <w:rFonts w:ascii="Times New Roman" w:hAnsi="Times New Roman" w:eastAsia="Times New Roman" w:cs="Times New Roman"/>
              <w:sz w:val="22"/>
              <w:szCs w:val="22"/>
            </w:rPr>
          </w:pPr>
          <w:r>
            <w:rPr>
              <w:rFonts w:ascii="KaiTi" w:hAnsi="KaiTi" w:eastAsia="KaiTi" w:cs="KaiTi"/>
              <w:color w:val="231F20"/>
              <w:spacing w:val="-14"/>
              <w:sz w:val="22"/>
              <w:szCs w:val="22"/>
            </w:rPr>
            <w:t>(</w:t>
          </w:r>
          <w:r>
            <w:rPr>
              <w:rFonts w:ascii="KaiTi" w:hAnsi="KaiTi" w:eastAsia="KaiTi" w:cs="KaiTi"/>
              <w:color w:val="231F20"/>
              <w:spacing w:val="-8"/>
              <w:sz w:val="22"/>
              <w:szCs w:val="22"/>
            </w:rPr>
            <w:t xml:space="preserve"> </w:t>
          </w:r>
          <w:r>
            <w:rPr>
              <w:rFonts w:ascii="KaiTi" w:hAnsi="KaiTi" w:eastAsia="KaiTi" w:cs="KaiTi"/>
              <w:color w:val="231F20"/>
              <w:spacing w:val="-7"/>
              <w:sz w:val="22"/>
              <w:szCs w:val="22"/>
            </w:rPr>
            <w:t xml:space="preserve">四 ) 强化外资企业服务机制创新 </w:t>
          </w:r>
          <w:r>
            <w:rPr>
              <w:rFonts w:ascii="KaiTi" w:hAnsi="KaiTi" w:eastAsia="KaiTi" w:cs="KaiTi"/>
              <w:sz w:val="22"/>
              <w:szCs w:val="22"/>
            </w:rPr>
            <w:tab/>
          </w:r>
          <w:r>
            <w:fldChar w:fldCharType="begin"/>
          </w:r>
          <w:r>
            <w:instrText xml:space="preserve"> HYPERLINK \l "_bookmark52" </w:instrText>
          </w:r>
          <w:r>
            <w:fldChar w:fldCharType="separate"/>
          </w:r>
          <w:r>
            <w:rPr>
              <w:rFonts w:ascii="Times New Roman" w:hAnsi="Times New Roman" w:eastAsia="Times New Roman" w:cs="Times New Roman"/>
              <w:color w:val="231F20"/>
              <w:spacing w:val="-7"/>
              <w:sz w:val="22"/>
              <w:szCs w:val="22"/>
            </w:rPr>
            <w:t>7</w:t>
          </w:r>
          <w:r>
            <w:rPr>
              <w:rFonts w:ascii="Times New Roman" w:hAnsi="Times New Roman" w:eastAsia="Times New Roman" w:cs="Times New Roman"/>
              <w:color w:val="231F20"/>
              <w:spacing w:val="-7"/>
              <w:sz w:val="22"/>
              <w:szCs w:val="22"/>
            </w:rPr>
            <w:fldChar w:fldCharType="end"/>
          </w:r>
          <w:r>
            <w:rPr>
              <w:rFonts w:ascii="Times New Roman" w:hAnsi="Times New Roman" w:eastAsia="Times New Roman" w:cs="Times New Roman"/>
              <w:color w:val="231F20"/>
              <w:spacing w:val="-7"/>
              <w:sz w:val="22"/>
              <w:szCs w:val="22"/>
            </w:rPr>
            <w:t>5</w:t>
          </w:r>
        </w:p>
        <w:p>
          <w:pPr>
            <w:tabs>
              <w:tab w:val="right" w:leader="dot" w:pos="10291"/>
            </w:tabs>
            <w:spacing w:before="135" w:line="215" w:lineRule="auto"/>
            <w:ind w:left="2111"/>
            <w:rPr>
              <w:rFonts w:ascii="Times New Roman" w:hAnsi="Times New Roman" w:eastAsia="Times New Roman" w:cs="Times New Roman"/>
              <w:sz w:val="22"/>
              <w:szCs w:val="22"/>
            </w:rPr>
          </w:pPr>
          <w:r>
            <w:rPr>
              <w:rFonts w:ascii="KaiTi" w:hAnsi="KaiTi" w:eastAsia="KaiTi" w:cs="KaiTi"/>
              <w:color w:val="231F20"/>
              <w:spacing w:val="-14"/>
              <w:sz w:val="22"/>
              <w:szCs w:val="22"/>
            </w:rPr>
            <w:t>(</w:t>
          </w:r>
          <w:r>
            <w:rPr>
              <w:rFonts w:ascii="KaiTi" w:hAnsi="KaiTi" w:eastAsia="KaiTi" w:cs="KaiTi"/>
              <w:color w:val="231F20"/>
              <w:spacing w:val="-8"/>
              <w:sz w:val="22"/>
              <w:szCs w:val="22"/>
            </w:rPr>
            <w:t xml:space="preserve"> </w:t>
          </w:r>
          <w:r>
            <w:rPr>
              <w:rFonts w:ascii="KaiTi" w:hAnsi="KaiTi" w:eastAsia="KaiTi" w:cs="KaiTi"/>
              <w:color w:val="231F20"/>
              <w:spacing w:val="-7"/>
              <w:sz w:val="22"/>
              <w:szCs w:val="22"/>
            </w:rPr>
            <w:t xml:space="preserve">五 ) 完善外资企业投诉处理机制 </w:t>
          </w:r>
          <w:r>
            <w:rPr>
              <w:rFonts w:ascii="KaiTi" w:hAnsi="KaiTi" w:eastAsia="KaiTi" w:cs="KaiTi"/>
              <w:sz w:val="22"/>
              <w:szCs w:val="22"/>
            </w:rPr>
            <w:tab/>
          </w:r>
          <w:r>
            <w:fldChar w:fldCharType="begin"/>
          </w:r>
          <w:r>
            <w:instrText xml:space="preserve"> HYPERLINK \l "_bookmark53" </w:instrText>
          </w:r>
          <w:r>
            <w:fldChar w:fldCharType="separate"/>
          </w:r>
          <w:r>
            <w:rPr>
              <w:rFonts w:ascii="Times New Roman" w:hAnsi="Times New Roman" w:eastAsia="Times New Roman" w:cs="Times New Roman"/>
              <w:color w:val="231F20"/>
              <w:spacing w:val="-7"/>
              <w:sz w:val="22"/>
              <w:szCs w:val="22"/>
            </w:rPr>
            <w:t>7</w:t>
          </w:r>
          <w:r>
            <w:rPr>
              <w:rFonts w:ascii="Times New Roman" w:hAnsi="Times New Roman" w:eastAsia="Times New Roman" w:cs="Times New Roman"/>
              <w:color w:val="231F20"/>
              <w:spacing w:val="-7"/>
              <w:sz w:val="22"/>
              <w:szCs w:val="22"/>
            </w:rPr>
            <w:fldChar w:fldCharType="end"/>
          </w:r>
          <w:r>
            <w:rPr>
              <w:rFonts w:ascii="Times New Roman" w:hAnsi="Times New Roman" w:eastAsia="Times New Roman" w:cs="Times New Roman"/>
              <w:color w:val="231F20"/>
              <w:spacing w:val="-7"/>
              <w:sz w:val="22"/>
              <w:szCs w:val="22"/>
            </w:rPr>
            <w:t>5</w:t>
          </w:r>
        </w:p>
        <w:p>
          <w:pPr>
            <w:tabs>
              <w:tab w:val="right" w:leader="dot" w:pos="10285"/>
            </w:tabs>
            <w:spacing w:before="306" w:line="211" w:lineRule="auto"/>
            <w:ind w:left="1898"/>
            <w:rPr>
              <w:rFonts w:ascii="Times New Roman" w:hAnsi="Times New Roman" w:eastAsia="Times New Roman" w:cs="Times New Roman"/>
              <w:sz w:val="22"/>
              <w:szCs w:val="22"/>
            </w:rPr>
          </w:pPr>
          <w:r>
            <w:rPr>
              <w:rFonts w:ascii="微软雅黑" w:hAnsi="微软雅黑" w:eastAsia="微软雅黑" w:cs="微软雅黑"/>
              <w:color w:val="015DAC"/>
              <w:spacing w:val="-8"/>
              <w:sz w:val="22"/>
              <w:szCs w:val="22"/>
            </w:rPr>
            <w:t>五</w:t>
          </w:r>
          <w:r>
            <w:rPr>
              <w:rFonts w:ascii="微软雅黑" w:hAnsi="微软雅黑" w:eastAsia="微软雅黑" w:cs="微软雅黑"/>
              <w:color w:val="015DAC"/>
              <w:spacing w:val="-5"/>
              <w:sz w:val="22"/>
              <w:szCs w:val="22"/>
            </w:rPr>
            <w:t>、</w:t>
          </w:r>
          <w:r>
            <w:rPr>
              <w:rFonts w:ascii="微软雅黑" w:hAnsi="微软雅黑" w:eastAsia="微软雅黑" w:cs="微软雅黑"/>
              <w:color w:val="015DAC"/>
              <w:spacing w:val="-4"/>
              <w:sz w:val="22"/>
              <w:szCs w:val="22"/>
            </w:rPr>
            <w:t xml:space="preserve">山东省 </w:t>
          </w:r>
          <w:r>
            <w:rPr>
              <w:rFonts w:ascii="微软雅黑" w:hAnsi="微软雅黑" w:eastAsia="微软雅黑" w:cs="微软雅黑"/>
              <w:sz w:val="22"/>
              <w:szCs w:val="22"/>
            </w:rPr>
            <w:tab/>
          </w:r>
          <w:r>
            <w:fldChar w:fldCharType="begin"/>
          </w:r>
          <w:r>
            <w:instrText xml:space="preserve"> HYPERLINK \l "_bookmark54" </w:instrText>
          </w:r>
          <w:r>
            <w:fldChar w:fldCharType="separate"/>
          </w:r>
          <w:r>
            <w:rPr>
              <w:rFonts w:ascii="Times New Roman" w:hAnsi="Times New Roman" w:eastAsia="Times New Roman" w:cs="Times New Roman"/>
              <w:color w:val="015DAC"/>
              <w:spacing w:val="-4"/>
              <w:sz w:val="22"/>
              <w:szCs w:val="22"/>
            </w:rPr>
            <w:t>7</w:t>
          </w:r>
          <w:r>
            <w:rPr>
              <w:rFonts w:ascii="Times New Roman" w:hAnsi="Times New Roman" w:eastAsia="Times New Roman" w:cs="Times New Roman"/>
              <w:color w:val="015DAC"/>
              <w:spacing w:val="-4"/>
              <w:sz w:val="22"/>
              <w:szCs w:val="22"/>
            </w:rPr>
            <w:fldChar w:fldCharType="end"/>
          </w:r>
          <w:r>
            <w:rPr>
              <w:rFonts w:ascii="Times New Roman" w:hAnsi="Times New Roman" w:eastAsia="Times New Roman" w:cs="Times New Roman"/>
              <w:color w:val="015DAC"/>
              <w:spacing w:val="-4"/>
              <w:sz w:val="22"/>
              <w:szCs w:val="22"/>
            </w:rPr>
            <w:t>6</w:t>
          </w:r>
        </w:p>
        <w:p>
          <w:pPr>
            <w:tabs>
              <w:tab w:val="right" w:leader="dot" w:pos="10291"/>
            </w:tabs>
            <w:spacing w:before="127" w:line="215" w:lineRule="auto"/>
            <w:ind w:left="2111"/>
            <w:rPr>
              <w:rFonts w:ascii="Times New Roman" w:hAnsi="Times New Roman" w:eastAsia="Times New Roman" w:cs="Times New Roman"/>
              <w:sz w:val="22"/>
              <w:szCs w:val="22"/>
            </w:rPr>
          </w:pPr>
          <w:r>
            <w:rPr>
              <w:rFonts w:ascii="KaiTi" w:hAnsi="KaiTi" w:eastAsia="KaiTi" w:cs="KaiTi"/>
              <w:color w:val="231F20"/>
              <w:spacing w:val="-10"/>
              <w:sz w:val="22"/>
              <w:szCs w:val="22"/>
            </w:rPr>
            <w:t xml:space="preserve">( 一 </w:t>
          </w:r>
          <w:r>
            <w:rPr>
              <w:rFonts w:ascii="KaiTi" w:hAnsi="KaiTi" w:eastAsia="KaiTi" w:cs="KaiTi"/>
              <w:color w:val="231F20"/>
              <w:spacing w:val="-5"/>
              <w:sz w:val="22"/>
              <w:szCs w:val="22"/>
            </w:rPr>
            <w:t xml:space="preserve">) 加强政策供给，助力外资企业纾困复苏 </w:t>
          </w:r>
          <w:r>
            <w:rPr>
              <w:rFonts w:ascii="KaiTi" w:hAnsi="KaiTi" w:eastAsia="KaiTi" w:cs="KaiTi"/>
              <w:sz w:val="22"/>
              <w:szCs w:val="22"/>
            </w:rPr>
            <w:tab/>
          </w:r>
          <w:r>
            <w:fldChar w:fldCharType="begin"/>
          </w:r>
          <w:r>
            <w:instrText xml:space="preserve"> HYPERLINK \l "_bookmark55" </w:instrText>
          </w:r>
          <w:r>
            <w:fldChar w:fldCharType="separate"/>
          </w:r>
          <w:r>
            <w:rPr>
              <w:rFonts w:ascii="Times New Roman" w:hAnsi="Times New Roman" w:eastAsia="Times New Roman" w:cs="Times New Roman"/>
              <w:color w:val="231F20"/>
              <w:spacing w:val="-5"/>
              <w:sz w:val="22"/>
              <w:szCs w:val="22"/>
            </w:rPr>
            <w:t>7</w:t>
          </w:r>
          <w:r>
            <w:rPr>
              <w:rFonts w:ascii="Times New Roman" w:hAnsi="Times New Roman" w:eastAsia="Times New Roman" w:cs="Times New Roman"/>
              <w:color w:val="231F20"/>
              <w:spacing w:val="-5"/>
              <w:sz w:val="22"/>
              <w:szCs w:val="22"/>
            </w:rPr>
            <w:fldChar w:fldCharType="end"/>
          </w:r>
          <w:r>
            <w:rPr>
              <w:rFonts w:ascii="Times New Roman" w:hAnsi="Times New Roman" w:eastAsia="Times New Roman" w:cs="Times New Roman"/>
              <w:color w:val="231F20"/>
              <w:spacing w:val="-5"/>
              <w:sz w:val="22"/>
              <w:szCs w:val="22"/>
            </w:rPr>
            <w:t>6</w:t>
          </w:r>
        </w:p>
        <w:p>
          <w:pPr>
            <w:tabs>
              <w:tab w:val="right" w:leader="dot" w:pos="10291"/>
            </w:tabs>
            <w:spacing w:before="136" w:line="217" w:lineRule="auto"/>
            <w:ind w:left="2111"/>
            <w:rPr>
              <w:rFonts w:ascii="Times New Roman" w:hAnsi="Times New Roman" w:eastAsia="Times New Roman" w:cs="Times New Roman"/>
              <w:sz w:val="22"/>
              <w:szCs w:val="22"/>
            </w:rPr>
          </w:pPr>
          <w:r>
            <w:rPr>
              <w:rFonts w:ascii="KaiTi" w:hAnsi="KaiTi" w:eastAsia="KaiTi" w:cs="KaiTi"/>
              <w:color w:val="231F20"/>
              <w:spacing w:val="3"/>
              <w:sz w:val="22"/>
              <w:szCs w:val="22"/>
            </w:rPr>
            <w:t xml:space="preserve">(二) 加强服务保障，推动外资企业稳定发展 </w:t>
          </w:r>
          <w:r>
            <w:rPr>
              <w:rFonts w:ascii="KaiTi" w:hAnsi="KaiTi" w:eastAsia="KaiTi" w:cs="KaiTi"/>
              <w:sz w:val="22"/>
              <w:szCs w:val="22"/>
            </w:rPr>
            <w:tab/>
          </w:r>
          <w:r>
            <w:fldChar w:fldCharType="begin"/>
          </w:r>
          <w:r>
            <w:instrText xml:space="preserve"> HYPERLINK \l "_bookmark56" </w:instrText>
          </w:r>
          <w:r>
            <w:fldChar w:fldCharType="separate"/>
          </w:r>
          <w:r>
            <w:rPr>
              <w:rFonts w:ascii="Times New Roman" w:hAnsi="Times New Roman" w:eastAsia="Times New Roman" w:cs="Times New Roman"/>
              <w:color w:val="231F20"/>
              <w:spacing w:val="3"/>
              <w:sz w:val="22"/>
              <w:szCs w:val="22"/>
            </w:rPr>
            <w:t>7</w:t>
          </w:r>
          <w:r>
            <w:rPr>
              <w:rFonts w:ascii="Times New Roman" w:hAnsi="Times New Roman" w:eastAsia="Times New Roman" w:cs="Times New Roman"/>
              <w:color w:val="231F20"/>
              <w:spacing w:val="3"/>
              <w:sz w:val="22"/>
              <w:szCs w:val="22"/>
            </w:rPr>
            <w:fldChar w:fldCharType="end"/>
          </w:r>
          <w:r>
            <w:rPr>
              <w:rFonts w:ascii="Times New Roman" w:hAnsi="Times New Roman" w:eastAsia="Times New Roman" w:cs="Times New Roman"/>
              <w:color w:val="231F20"/>
              <w:spacing w:val="1"/>
              <w:sz w:val="22"/>
              <w:szCs w:val="22"/>
            </w:rPr>
            <w:t>6</w:t>
          </w:r>
        </w:p>
        <w:p>
          <w:pPr>
            <w:tabs>
              <w:tab w:val="right" w:leader="dot" w:pos="10291"/>
            </w:tabs>
            <w:spacing w:before="135" w:line="215" w:lineRule="auto"/>
            <w:ind w:left="2111"/>
            <w:rPr>
              <w:rFonts w:ascii="Times New Roman" w:hAnsi="Times New Roman" w:eastAsia="Times New Roman" w:cs="Times New Roman"/>
              <w:sz w:val="22"/>
              <w:szCs w:val="22"/>
            </w:rPr>
          </w:pPr>
          <w:r>
            <w:rPr>
              <w:rFonts w:ascii="KaiTi" w:hAnsi="KaiTi" w:eastAsia="KaiTi" w:cs="KaiTi"/>
              <w:color w:val="231F20"/>
              <w:spacing w:val="-10"/>
              <w:sz w:val="22"/>
              <w:szCs w:val="22"/>
            </w:rPr>
            <w:t>(</w:t>
          </w:r>
          <w:r>
            <w:rPr>
              <w:rFonts w:ascii="KaiTi" w:hAnsi="KaiTi" w:eastAsia="KaiTi" w:cs="KaiTi"/>
              <w:color w:val="231F20"/>
              <w:spacing w:val="-6"/>
              <w:sz w:val="22"/>
              <w:szCs w:val="22"/>
            </w:rPr>
            <w:t xml:space="preserve"> 三 ) 加强平台对接，便利外资项目落地发展 </w:t>
          </w:r>
          <w:r>
            <w:rPr>
              <w:rFonts w:ascii="KaiTi" w:hAnsi="KaiTi" w:eastAsia="KaiTi" w:cs="KaiTi"/>
              <w:sz w:val="22"/>
              <w:szCs w:val="22"/>
            </w:rPr>
            <w:tab/>
          </w:r>
          <w:r>
            <w:fldChar w:fldCharType="begin"/>
          </w:r>
          <w:r>
            <w:instrText xml:space="preserve"> HYPERLINK \l "_bookmark57" </w:instrText>
          </w:r>
          <w:r>
            <w:fldChar w:fldCharType="separate"/>
          </w:r>
          <w:r>
            <w:rPr>
              <w:rFonts w:ascii="Times New Roman" w:hAnsi="Times New Roman" w:eastAsia="Times New Roman" w:cs="Times New Roman"/>
              <w:color w:val="231F20"/>
              <w:spacing w:val="-6"/>
              <w:sz w:val="22"/>
              <w:szCs w:val="22"/>
            </w:rPr>
            <w:t>7</w:t>
          </w:r>
          <w:r>
            <w:rPr>
              <w:rFonts w:ascii="Times New Roman" w:hAnsi="Times New Roman" w:eastAsia="Times New Roman" w:cs="Times New Roman"/>
              <w:color w:val="231F20"/>
              <w:spacing w:val="-6"/>
              <w:sz w:val="22"/>
              <w:szCs w:val="22"/>
            </w:rPr>
            <w:fldChar w:fldCharType="end"/>
          </w:r>
          <w:r>
            <w:rPr>
              <w:rFonts w:ascii="Times New Roman" w:hAnsi="Times New Roman" w:eastAsia="Times New Roman" w:cs="Times New Roman"/>
              <w:color w:val="231F20"/>
              <w:spacing w:val="-6"/>
              <w:sz w:val="22"/>
              <w:szCs w:val="22"/>
            </w:rPr>
            <w:t>7</w:t>
          </w:r>
        </w:p>
        <w:p>
          <w:pPr>
            <w:tabs>
              <w:tab w:val="right" w:leader="dot" w:pos="10291"/>
            </w:tabs>
            <w:spacing w:before="138" w:line="214" w:lineRule="auto"/>
            <w:ind w:left="2111"/>
            <w:rPr>
              <w:rFonts w:ascii="Times New Roman" w:hAnsi="Times New Roman" w:eastAsia="Times New Roman" w:cs="Times New Roman"/>
              <w:sz w:val="22"/>
              <w:szCs w:val="22"/>
            </w:rPr>
          </w:pPr>
          <w:r>
            <w:rPr>
              <w:rFonts w:ascii="KaiTi" w:hAnsi="KaiTi" w:eastAsia="KaiTi" w:cs="KaiTi"/>
              <w:color w:val="231F20"/>
              <w:spacing w:val="-10"/>
              <w:sz w:val="22"/>
              <w:szCs w:val="22"/>
            </w:rPr>
            <w:t>( 四</w:t>
          </w:r>
          <w:r>
            <w:rPr>
              <w:rFonts w:ascii="KaiTi" w:hAnsi="KaiTi" w:eastAsia="KaiTi" w:cs="KaiTi"/>
              <w:color w:val="231F20"/>
              <w:spacing w:val="-6"/>
              <w:sz w:val="22"/>
              <w:szCs w:val="22"/>
            </w:rPr>
            <w:t xml:space="preserve"> </w:t>
          </w:r>
          <w:r>
            <w:rPr>
              <w:rFonts w:ascii="KaiTi" w:hAnsi="KaiTi" w:eastAsia="KaiTi" w:cs="KaiTi"/>
              <w:color w:val="231F20"/>
              <w:spacing w:val="-5"/>
              <w:sz w:val="22"/>
              <w:szCs w:val="22"/>
            </w:rPr>
            <w:t xml:space="preserve">) 加强项目培育，发掘重点外资引入潜力 </w:t>
          </w:r>
          <w:r>
            <w:rPr>
              <w:rFonts w:ascii="KaiTi" w:hAnsi="KaiTi" w:eastAsia="KaiTi" w:cs="KaiTi"/>
              <w:sz w:val="22"/>
              <w:szCs w:val="22"/>
            </w:rPr>
            <w:tab/>
          </w:r>
          <w:r>
            <w:fldChar w:fldCharType="begin"/>
          </w:r>
          <w:r>
            <w:instrText xml:space="preserve"> HYPERLINK \l "_bookmark58" </w:instrText>
          </w:r>
          <w:r>
            <w:fldChar w:fldCharType="separate"/>
          </w:r>
          <w:r>
            <w:rPr>
              <w:rFonts w:ascii="Times New Roman" w:hAnsi="Times New Roman" w:eastAsia="Times New Roman" w:cs="Times New Roman"/>
              <w:color w:val="231F20"/>
              <w:spacing w:val="-5"/>
              <w:sz w:val="22"/>
              <w:szCs w:val="22"/>
            </w:rPr>
            <w:t>7</w:t>
          </w:r>
          <w:r>
            <w:rPr>
              <w:rFonts w:ascii="Times New Roman" w:hAnsi="Times New Roman" w:eastAsia="Times New Roman" w:cs="Times New Roman"/>
              <w:color w:val="231F20"/>
              <w:spacing w:val="-5"/>
              <w:sz w:val="22"/>
              <w:szCs w:val="22"/>
            </w:rPr>
            <w:fldChar w:fldCharType="end"/>
          </w:r>
          <w:r>
            <w:rPr>
              <w:rFonts w:ascii="Times New Roman" w:hAnsi="Times New Roman" w:eastAsia="Times New Roman" w:cs="Times New Roman"/>
              <w:color w:val="231F20"/>
              <w:spacing w:val="-5"/>
              <w:sz w:val="22"/>
              <w:szCs w:val="22"/>
            </w:rPr>
            <w:t>8</w:t>
          </w:r>
        </w:p>
        <w:p>
          <w:pPr>
            <w:tabs>
              <w:tab w:val="right" w:leader="dot" w:pos="10285"/>
            </w:tabs>
            <w:spacing w:before="307" w:line="206" w:lineRule="auto"/>
            <w:ind w:left="1898"/>
            <w:rPr>
              <w:rFonts w:ascii="Times New Roman" w:hAnsi="Times New Roman" w:eastAsia="Times New Roman" w:cs="Times New Roman"/>
              <w:sz w:val="22"/>
              <w:szCs w:val="22"/>
            </w:rPr>
          </w:pPr>
          <w:r>
            <w:rPr>
              <w:rFonts w:ascii="微软雅黑" w:hAnsi="微软雅黑" w:eastAsia="微软雅黑" w:cs="微软雅黑"/>
              <w:color w:val="015DAC"/>
              <w:spacing w:val="-10"/>
              <w:sz w:val="22"/>
              <w:szCs w:val="22"/>
            </w:rPr>
            <w:t>六</w:t>
          </w:r>
          <w:r>
            <w:rPr>
              <w:rFonts w:ascii="微软雅黑" w:hAnsi="微软雅黑" w:eastAsia="微软雅黑" w:cs="微软雅黑"/>
              <w:color w:val="015DAC"/>
              <w:spacing w:val="-6"/>
              <w:sz w:val="22"/>
              <w:szCs w:val="22"/>
            </w:rPr>
            <w:t>、</w:t>
          </w:r>
          <w:r>
            <w:rPr>
              <w:rFonts w:ascii="微软雅黑" w:hAnsi="微软雅黑" w:eastAsia="微软雅黑" w:cs="微软雅黑"/>
              <w:color w:val="015DAC"/>
              <w:spacing w:val="-5"/>
              <w:sz w:val="22"/>
              <w:szCs w:val="22"/>
            </w:rPr>
            <w:t xml:space="preserve">河南省 </w:t>
          </w:r>
          <w:r>
            <w:rPr>
              <w:rFonts w:ascii="微软雅黑" w:hAnsi="微软雅黑" w:eastAsia="微软雅黑" w:cs="微软雅黑"/>
              <w:sz w:val="22"/>
              <w:szCs w:val="22"/>
            </w:rPr>
            <w:tab/>
          </w:r>
          <w:r>
            <w:fldChar w:fldCharType="begin"/>
          </w:r>
          <w:r>
            <w:instrText xml:space="preserve"> HYPERLINK \l "_bookmark59" </w:instrText>
          </w:r>
          <w:r>
            <w:fldChar w:fldCharType="separate"/>
          </w:r>
          <w:r>
            <w:rPr>
              <w:rFonts w:ascii="Times New Roman" w:hAnsi="Times New Roman" w:eastAsia="Times New Roman" w:cs="Times New Roman"/>
              <w:color w:val="015DAC"/>
              <w:spacing w:val="-5"/>
              <w:sz w:val="22"/>
              <w:szCs w:val="22"/>
            </w:rPr>
            <w:t>7</w:t>
          </w:r>
          <w:r>
            <w:rPr>
              <w:rFonts w:ascii="Times New Roman" w:hAnsi="Times New Roman" w:eastAsia="Times New Roman" w:cs="Times New Roman"/>
              <w:color w:val="015DAC"/>
              <w:spacing w:val="-5"/>
              <w:sz w:val="22"/>
              <w:szCs w:val="22"/>
            </w:rPr>
            <w:fldChar w:fldCharType="end"/>
          </w:r>
          <w:r>
            <w:rPr>
              <w:rFonts w:ascii="Times New Roman" w:hAnsi="Times New Roman" w:eastAsia="Times New Roman" w:cs="Times New Roman"/>
              <w:color w:val="015DAC"/>
              <w:spacing w:val="-5"/>
              <w:sz w:val="22"/>
              <w:szCs w:val="22"/>
            </w:rPr>
            <w:t>9</w:t>
          </w:r>
        </w:p>
        <w:p>
          <w:pPr>
            <w:tabs>
              <w:tab w:val="right" w:leader="dot" w:pos="10291"/>
            </w:tabs>
            <w:spacing w:before="133" w:line="217" w:lineRule="auto"/>
            <w:ind w:left="2111"/>
            <w:rPr>
              <w:rFonts w:ascii="Times New Roman" w:hAnsi="Times New Roman" w:eastAsia="Times New Roman" w:cs="Times New Roman"/>
              <w:sz w:val="22"/>
              <w:szCs w:val="22"/>
            </w:rPr>
          </w:pPr>
          <w:r>
            <w:rPr>
              <w:rFonts w:ascii="KaiTi" w:hAnsi="KaiTi" w:eastAsia="KaiTi" w:cs="KaiTi"/>
              <w:color w:val="231F20"/>
              <w:spacing w:val="-8"/>
              <w:sz w:val="22"/>
              <w:szCs w:val="22"/>
            </w:rPr>
            <w:t xml:space="preserve">( 一 ) 实施重点外资项目推进计划 </w:t>
          </w:r>
          <w:r>
            <w:rPr>
              <w:rFonts w:ascii="KaiTi" w:hAnsi="KaiTi" w:eastAsia="KaiTi" w:cs="KaiTi"/>
              <w:sz w:val="22"/>
              <w:szCs w:val="22"/>
            </w:rPr>
            <w:tab/>
          </w:r>
          <w:r>
            <w:fldChar w:fldCharType="begin"/>
          </w:r>
          <w:r>
            <w:instrText xml:space="preserve"> HYPERLINK \l "_bookmark60" </w:instrText>
          </w:r>
          <w:r>
            <w:fldChar w:fldCharType="separate"/>
          </w:r>
          <w:r>
            <w:rPr>
              <w:rFonts w:ascii="Times New Roman" w:hAnsi="Times New Roman" w:eastAsia="Times New Roman" w:cs="Times New Roman"/>
              <w:color w:val="231F20"/>
              <w:spacing w:val="-8"/>
              <w:sz w:val="22"/>
              <w:szCs w:val="22"/>
            </w:rPr>
            <w:t>7</w:t>
          </w:r>
          <w:r>
            <w:rPr>
              <w:rFonts w:ascii="Times New Roman" w:hAnsi="Times New Roman" w:eastAsia="Times New Roman" w:cs="Times New Roman"/>
              <w:color w:val="231F20"/>
              <w:spacing w:val="-8"/>
              <w:sz w:val="22"/>
              <w:szCs w:val="22"/>
            </w:rPr>
            <w:fldChar w:fldCharType="end"/>
          </w:r>
          <w:r>
            <w:rPr>
              <w:rFonts w:ascii="Times New Roman" w:hAnsi="Times New Roman" w:eastAsia="Times New Roman" w:cs="Times New Roman"/>
              <w:color w:val="231F20"/>
              <w:spacing w:val="-5"/>
              <w:sz w:val="22"/>
              <w:szCs w:val="22"/>
            </w:rPr>
            <w:t>9</w:t>
          </w:r>
        </w:p>
        <w:p>
          <w:pPr>
            <w:tabs>
              <w:tab w:val="right" w:leader="dot" w:pos="10291"/>
            </w:tabs>
            <w:spacing w:before="136" w:line="215" w:lineRule="auto"/>
            <w:ind w:left="2111"/>
            <w:rPr>
              <w:rFonts w:ascii="Times New Roman" w:hAnsi="Times New Roman" w:eastAsia="Times New Roman" w:cs="Times New Roman"/>
              <w:sz w:val="22"/>
              <w:szCs w:val="22"/>
            </w:rPr>
          </w:pPr>
          <w:r>
            <w:rPr>
              <w:rFonts w:ascii="KaiTi" w:hAnsi="KaiTi" w:eastAsia="KaiTi" w:cs="KaiTi"/>
              <w:color w:val="231F20"/>
              <w:spacing w:val="3"/>
              <w:sz w:val="22"/>
              <w:szCs w:val="22"/>
            </w:rPr>
            <w:t xml:space="preserve">(二) 健全外资企业投诉处理机制 </w:t>
          </w:r>
          <w:r>
            <w:rPr>
              <w:rFonts w:ascii="KaiTi" w:hAnsi="KaiTi" w:eastAsia="KaiTi" w:cs="KaiTi"/>
              <w:sz w:val="22"/>
              <w:szCs w:val="22"/>
            </w:rPr>
            <w:tab/>
          </w:r>
          <w:r>
            <w:fldChar w:fldCharType="begin"/>
          </w:r>
          <w:r>
            <w:instrText xml:space="preserve"> HYPERLINK \l "_bookmark61" </w:instrText>
          </w:r>
          <w:r>
            <w:fldChar w:fldCharType="separate"/>
          </w:r>
          <w:r>
            <w:rPr>
              <w:rFonts w:ascii="Times New Roman" w:hAnsi="Times New Roman" w:eastAsia="Times New Roman" w:cs="Times New Roman"/>
              <w:color w:val="231F20"/>
              <w:spacing w:val="3"/>
              <w:sz w:val="22"/>
              <w:szCs w:val="22"/>
            </w:rPr>
            <w:t>7</w:t>
          </w:r>
          <w:r>
            <w:rPr>
              <w:rFonts w:ascii="Times New Roman" w:hAnsi="Times New Roman" w:eastAsia="Times New Roman" w:cs="Times New Roman"/>
              <w:color w:val="231F20"/>
              <w:spacing w:val="3"/>
              <w:sz w:val="22"/>
              <w:szCs w:val="22"/>
            </w:rPr>
            <w:fldChar w:fldCharType="end"/>
          </w:r>
          <w:r>
            <w:rPr>
              <w:rFonts w:ascii="Times New Roman" w:hAnsi="Times New Roman" w:eastAsia="Times New Roman" w:cs="Times New Roman"/>
              <w:color w:val="231F20"/>
              <w:spacing w:val="1"/>
              <w:sz w:val="22"/>
              <w:szCs w:val="22"/>
            </w:rPr>
            <w:t>9</w:t>
          </w:r>
        </w:p>
        <w:p>
          <w:pPr>
            <w:tabs>
              <w:tab w:val="right" w:leader="dot" w:pos="10291"/>
            </w:tabs>
            <w:spacing w:before="136" w:line="213" w:lineRule="auto"/>
            <w:ind w:left="2111"/>
            <w:rPr>
              <w:rFonts w:ascii="Times New Roman" w:hAnsi="Times New Roman" w:eastAsia="Times New Roman" w:cs="Times New Roman"/>
              <w:sz w:val="22"/>
              <w:szCs w:val="22"/>
            </w:rPr>
          </w:pPr>
          <w:r>
            <w:rPr>
              <w:rFonts w:ascii="KaiTi" w:hAnsi="KaiTi" w:eastAsia="KaiTi" w:cs="KaiTi"/>
              <w:color w:val="231F20"/>
              <w:spacing w:val="-16"/>
              <w:sz w:val="22"/>
              <w:szCs w:val="22"/>
            </w:rPr>
            <w:t xml:space="preserve">( 三 ) 实施 “千家外企大走访活动” </w:t>
          </w:r>
          <w:r>
            <w:rPr>
              <w:rFonts w:ascii="KaiTi" w:hAnsi="KaiTi" w:eastAsia="KaiTi" w:cs="KaiTi"/>
              <w:sz w:val="22"/>
              <w:szCs w:val="22"/>
            </w:rPr>
            <w:tab/>
          </w:r>
          <w:r>
            <w:rPr>
              <w:rFonts w:ascii="KaiTi" w:hAnsi="KaiTi" w:eastAsia="KaiTi" w:cs="KaiTi"/>
              <w:color w:val="231F20"/>
              <w:spacing w:val="-16"/>
              <w:sz w:val="22"/>
              <w:szCs w:val="22"/>
            </w:rPr>
            <w:t xml:space="preserve"> </w:t>
          </w:r>
          <w:r>
            <w:fldChar w:fldCharType="begin"/>
          </w:r>
          <w:r>
            <w:instrText xml:space="preserve"> HYPERLINK \l "_bookmark62" </w:instrText>
          </w:r>
          <w:r>
            <w:fldChar w:fldCharType="separate"/>
          </w:r>
          <w:r>
            <w:rPr>
              <w:rFonts w:ascii="Times New Roman" w:hAnsi="Times New Roman" w:eastAsia="Times New Roman" w:cs="Times New Roman"/>
              <w:color w:val="231F20"/>
              <w:spacing w:val="-16"/>
              <w:sz w:val="22"/>
              <w:szCs w:val="22"/>
            </w:rPr>
            <w:t>8</w:t>
          </w:r>
          <w:r>
            <w:rPr>
              <w:rFonts w:ascii="Times New Roman" w:hAnsi="Times New Roman" w:eastAsia="Times New Roman" w:cs="Times New Roman"/>
              <w:color w:val="231F20"/>
              <w:spacing w:val="-16"/>
              <w:sz w:val="22"/>
              <w:szCs w:val="22"/>
            </w:rPr>
            <w:fldChar w:fldCharType="end"/>
          </w:r>
          <w:r>
            <w:rPr>
              <w:rFonts w:ascii="Times New Roman" w:hAnsi="Times New Roman" w:eastAsia="Times New Roman" w:cs="Times New Roman"/>
              <w:color w:val="231F20"/>
              <w:spacing w:val="-16"/>
              <w:sz w:val="22"/>
              <w:szCs w:val="22"/>
            </w:rPr>
            <w:t>0</w:t>
          </w:r>
        </w:p>
        <w:p>
          <w:pPr>
            <w:tabs>
              <w:tab w:val="right" w:leader="dot" w:pos="10285"/>
            </w:tabs>
            <w:spacing w:before="308" w:line="208" w:lineRule="auto"/>
            <w:ind w:left="1899"/>
            <w:rPr>
              <w:rFonts w:ascii="Times New Roman" w:hAnsi="Times New Roman" w:eastAsia="Times New Roman" w:cs="Times New Roman"/>
              <w:sz w:val="22"/>
              <w:szCs w:val="22"/>
            </w:rPr>
          </w:pPr>
          <w:r>
            <w:rPr>
              <w:rFonts w:ascii="微软雅黑" w:hAnsi="微软雅黑" w:eastAsia="微软雅黑" w:cs="微软雅黑"/>
              <w:color w:val="015DAC"/>
              <w:spacing w:val="-6"/>
              <w:sz w:val="22"/>
              <w:szCs w:val="22"/>
            </w:rPr>
            <w:t xml:space="preserve">七、湖北省 </w:t>
          </w:r>
          <w:r>
            <w:rPr>
              <w:rFonts w:ascii="微软雅黑" w:hAnsi="微软雅黑" w:eastAsia="微软雅黑" w:cs="微软雅黑"/>
              <w:sz w:val="22"/>
              <w:szCs w:val="22"/>
            </w:rPr>
            <w:tab/>
          </w:r>
          <w:r>
            <w:fldChar w:fldCharType="begin"/>
          </w:r>
          <w:r>
            <w:instrText xml:space="preserve"> HYPERLINK \l "_bookmark63" </w:instrText>
          </w:r>
          <w:r>
            <w:fldChar w:fldCharType="separate"/>
          </w:r>
          <w:r>
            <w:rPr>
              <w:rFonts w:ascii="Times New Roman" w:hAnsi="Times New Roman" w:eastAsia="Times New Roman" w:cs="Times New Roman"/>
              <w:color w:val="015DAC"/>
              <w:spacing w:val="-6"/>
              <w:sz w:val="22"/>
              <w:szCs w:val="22"/>
            </w:rPr>
            <w:t>8</w:t>
          </w:r>
          <w:r>
            <w:rPr>
              <w:rFonts w:ascii="Times New Roman" w:hAnsi="Times New Roman" w:eastAsia="Times New Roman" w:cs="Times New Roman"/>
              <w:color w:val="015DAC"/>
              <w:spacing w:val="-6"/>
              <w:sz w:val="22"/>
              <w:szCs w:val="22"/>
            </w:rPr>
            <w:fldChar w:fldCharType="end"/>
          </w:r>
          <w:r>
            <w:rPr>
              <w:rFonts w:ascii="Times New Roman" w:hAnsi="Times New Roman" w:eastAsia="Times New Roman" w:cs="Times New Roman"/>
              <w:color w:val="015DAC"/>
              <w:spacing w:val="-5"/>
              <w:sz w:val="22"/>
              <w:szCs w:val="22"/>
            </w:rPr>
            <w:t>0</w:t>
          </w:r>
        </w:p>
        <w:p>
          <w:pPr>
            <w:tabs>
              <w:tab w:val="right" w:leader="dot" w:pos="10291"/>
            </w:tabs>
            <w:spacing w:before="132" w:line="219" w:lineRule="auto"/>
            <w:ind w:left="2111"/>
            <w:rPr>
              <w:rFonts w:ascii="Times New Roman" w:hAnsi="Times New Roman" w:eastAsia="Times New Roman" w:cs="Times New Roman"/>
              <w:sz w:val="22"/>
              <w:szCs w:val="22"/>
            </w:rPr>
          </w:pPr>
          <w:r>
            <w:rPr>
              <w:rFonts w:ascii="KaiTi" w:hAnsi="KaiTi" w:eastAsia="KaiTi" w:cs="KaiTi"/>
              <w:color w:val="231F20"/>
              <w:spacing w:val="-10"/>
              <w:sz w:val="22"/>
              <w:szCs w:val="22"/>
            </w:rPr>
            <w:t xml:space="preserve">( 一 ) 加强财税金融支持，促进外资加快发展 </w:t>
          </w:r>
          <w:r>
            <w:rPr>
              <w:rFonts w:ascii="KaiTi" w:hAnsi="KaiTi" w:eastAsia="KaiTi" w:cs="KaiTi"/>
              <w:sz w:val="22"/>
              <w:szCs w:val="22"/>
            </w:rPr>
            <w:tab/>
          </w:r>
          <w:r>
            <w:rPr>
              <w:rFonts w:ascii="KaiTi" w:hAnsi="KaiTi" w:eastAsia="KaiTi" w:cs="KaiTi"/>
              <w:color w:val="231F20"/>
              <w:spacing w:val="-10"/>
              <w:sz w:val="22"/>
              <w:szCs w:val="22"/>
            </w:rPr>
            <w:t xml:space="preserve"> </w:t>
          </w:r>
          <w:r>
            <w:fldChar w:fldCharType="begin"/>
          </w:r>
          <w:r>
            <w:instrText xml:space="preserve"> HYPERLINK \l "_bookmark64" </w:instrText>
          </w:r>
          <w:r>
            <w:fldChar w:fldCharType="separate"/>
          </w:r>
          <w:r>
            <w:rPr>
              <w:rFonts w:ascii="Times New Roman" w:hAnsi="Times New Roman" w:eastAsia="Times New Roman" w:cs="Times New Roman"/>
              <w:color w:val="231F20"/>
              <w:spacing w:val="-10"/>
              <w:sz w:val="22"/>
              <w:szCs w:val="22"/>
            </w:rPr>
            <w:t>8</w:t>
          </w:r>
          <w:r>
            <w:rPr>
              <w:rFonts w:ascii="Times New Roman" w:hAnsi="Times New Roman" w:eastAsia="Times New Roman" w:cs="Times New Roman"/>
              <w:color w:val="231F20"/>
              <w:spacing w:val="-10"/>
              <w:sz w:val="22"/>
              <w:szCs w:val="22"/>
            </w:rPr>
            <w:fldChar w:fldCharType="end"/>
          </w:r>
          <w:r>
            <w:rPr>
              <w:rFonts w:ascii="Times New Roman" w:hAnsi="Times New Roman" w:eastAsia="Times New Roman" w:cs="Times New Roman"/>
              <w:color w:val="231F20"/>
              <w:spacing w:val="-10"/>
              <w:sz w:val="22"/>
              <w:szCs w:val="22"/>
            </w:rPr>
            <w:t>0</w:t>
          </w:r>
        </w:p>
        <w:p>
          <w:pPr>
            <w:tabs>
              <w:tab w:val="right" w:leader="dot" w:pos="10291"/>
            </w:tabs>
            <w:spacing w:before="132" w:line="217" w:lineRule="auto"/>
            <w:ind w:left="2111"/>
            <w:rPr>
              <w:rFonts w:ascii="Times New Roman" w:hAnsi="Times New Roman" w:eastAsia="Times New Roman" w:cs="Times New Roman"/>
              <w:sz w:val="22"/>
              <w:szCs w:val="22"/>
            </w:rPr>
          </w:pPr>
          <w:r>
            <w:rPr>
              <w:rFonts w:ascii="KaiTi" w:hAnsi="KaiTi" w:eastAsia="KaiTi" w:cs="KaiTi"/>
              <w:color w:val="231F20"/>
              <w:spacing w:val="-4"/>
              <w:sz w:val="22"/>
              <w:szCs w:val="22"/>
            </w:rPr>
            <w:t>(</w:t>
          </w:r>
          <w:r>
            <w:rPr>
              <w:rFonts w:ascii="KaiTi" w:hAnsi="KaiTi" w:eastAsia="KaiTi" w:cs="KaiTi"/>
              <w:color w:val="231F20"/>
              <w:spacing w:val="-3"/>
              <w:sz w:val="22"/>
              <w:szCs w:val="22"/>
            </w:rPr>
            <w:t xml:space="preserve">二) 加强重点企业服务，助力企业稳定经营 </w:t>
          </w:r>
          <w:r>
            <w:rPr>
              <w:rFonts w:ascii="KaiTi" w:hAnsi="KaiTi" w:eastAsia="KaiTi" w:cs="KaiTi"/>
              <w:sz w:val="22"/>
              <w:szCs w:val="22"/>
            </w:rPr>
            <w:tab/>
          </w:r>
          <w:r>
            <w:rPr>
              <w:rFonts w:ascii="KaiTi" w:hAnsi="KaiTi" w:eastAsia="KaiTi" w:cs="KaiTi"/>
              <w:color w:val="231F20"/>
              <w:spacing w:val="-3"/>
              <w:sz w:val="22"/>
              <w:szCs w:val="22"/>
            </w:rPr>
            <w:t xml:space="preserve"> </w:t>
          </w:r>
          <w:r>
            <w:fldChar w:fldCharType="begin"/>
          </w:r>
          <w:r>
            <w:instrText xml:space="preserve"> HYPERLINK \l "_bookmark65" </w:instrText>
          </w:r>
          <w:r>
            <w:fldChar w:fldCharType="separate"/>
          </w:r>
          <w:r>
            <w:rPr>
              <w:rFonts w:ascii="Times New Roman" w:hAnsi="Times New Roman" w:eastAsia="Times New Roman" w:cs="Times New Roman"/>
              <w:color w:val="231F20"/>
              <w:spacing w:val="-3"/>
              <w:sz w:val="22"/>
              <w:szCs w:val="22"/>
            </w:rPr>
            <w:t>8</w:t>
          </w:r>
          <w:r>
            <w:rPr>
              <w:rFonts w:ascii="Times New Roman" w:hAnsi="Times New Roman" w:eastAsia="Times New Roman" w:cs="Times New Roman"/>
              <w:color w:val="231F20"/>
              <w:spacing w:val="-3"/>
              <w:sz w:val="22"/>
              <w:szCs w:val="22"/>
            </w:rPr>
            <w:fldChar w:fldCharType="end"/>
          </w:r>
          <w:r>
            <w:rPr>
              <w:rFonts w:ascii="Times New Roman" w:hAnsi="Times New Roman" w:eastAsia="Times New Roman" w:cs="Times New Roman"/>
              <w:color w:val="231F20"/>
              <w:spacing w:val="-3"/>
              <w:sz w:val="22"/>
              <w:szCs w:val="22"/>
            </w:rPr>
            <w:t xml:space="preserve"> 1</w:t>
          </w:r>
        </w:p>
        <w:p>
          <w:pPr>
            <w:tabs>
              <w:tab w:val="right" w:leader="dot" w:pos="10291"/>
            </w:tabs>
            <w:spacing w:before="135" w:line="215" w:lineRule="auto"/>
            <w:ind w:left="2111"/>
            <w:rPr>
              <w:rFonts w:ascii="Times New Roman" w:hAnsi="Times New Roman" w:eastAsia="Times New Roman" w:cs="Times New Roman"/>
              <w:sz w:val="22"/>
              <w:szCs w:val="22"/>
            </w:rPr>
          </w:pPr>
          <w:r>
            <w:rPr>
              <w:rFonts w:ascii="KaiTi" w:hAnsi="KaiTi" w:eastAsia="KaiTi" w:cs="KaiTi"/>
              <w:color w:val="231F20"/>
              <w:spacing w:val="-10"/>
              <w:sz w:val="22"/>
              <w:szCs w:val="22"/>
            </w:rPr>
            <w:t xml:space="preserve">( 三 ) 积极搭建交流平台，提高外资引进质量 </w:t>
          </w:r>
          <w:r>
            <w:rPr>
              <w:rFonts w:ascii="KaiTi" w:hAnsi="KaiTi" w:eastAsia="KaiTi" w:cs="KaiTi"/>
              <w:sz w:val="22"/>
              <w:szCs w:val="22"/>
            </w:rPr>
            <w:tab/>
          </w:r>
          <w:r>
            <w:rPr>
              <w:rFonts w:ascii="KaiTi" w:hAnsi="KaiTi" w:eastAsia="KaiTi" w:cs="KaiTi"/>
              <w:color w:val="231F20"/>
              <w:spacing w:val="-10"/>
              <w:sz w:val="22"/>
              <w:szCs w:val="22"/>
            </w:rPr>
            <w:t xml:space="preserve"> </w:t>
          </w:r>
          <w:r>
            <w:fldChar w:fldCharType="begin"/>
          </w:r>
          <w:r>
            <w:instrText xml:space="preserve"> HYPERLINK \l "_bookmark66" </w:instrText>
          </w:r>
          <w:r>
            <w:fldChar w:fldCharType="separate"/>
          </w:r>
          <w:r>
            <w:rPr>
              <w:rFonts w:ascii="Times New Roman" w:hAnsi="Times New Roman" w:eastAsia="Times New Roman" w:cs="Times New Roman"/>
              <w:color w:val="231F20"/>
              <w:spacing w:val="-10"/>
              <w:sz w:val="22"/>
              <w:szCs w:val="22"/>
            </w:rPr>
            <w:t>8</w:t>
          </w:r>
          <w:r>
            <w:rPr>
              <w:rFonts w:ascii="Times New Roman" w:hAnsi="Times New Roman" w:eastAsia="Times New Roman" w:cs="Times New Roman"/>
              <w:color w:val="231F20"/>
              <w:spacing w:val="-10"/>
              <w:sz w:val="22"/>
              <w:szCs w:val="22"/>
            </w:rPr>
            <w:fldChar w:fldCharType="end"/>
          </w:r>
          <w:r>
            <w:rPr>
              <w:rFonts w:ascii="Times New Roman" w:hAnsi="Times New Roman" w:eastAsia="Times New Roman" w:cs="Times New Roman"/>
              <w:color w:val="231F20"/>
              <w:spacing w:val="-10"/>
              <w:sz w:val="22"/>
              <w:szCs w:val="22"/>
            </w:rPr>
            <w:t>2</w:t>
          </w:r>
        </w:p>
        <w:p>
          <w:pPr>
            <w:tabs>
              <w:tab w:val="right" w:leader="dot" w:pos="10291"/>
            </w:tabs>
            <w:spacing w:before="137" w:line="218" w:lineRule="auto"/>
            <w:ind w:left="2111"/>
            <w:rPr>
              <w:rFonts w:ascii="Times New Roman" w:hAnsi="Times New Roman" w:eastAsia="Times New Roman" w:cs="Times New Roman"/>
              <w:sz w:val="22"/>
              <w:szCs w:val="22"/>
            </w:rPr>
          </w:pPr>
          <w:r>
            <w:rPr>
              <w:rFonts w:ascii="KaiTi" w:hAnsi="KaiTi" w:eastAsia="KaiTi" w:cs="KaiTi"/>
              <w:color w:val="231F20"/>
              <w:spacing w:val="-12"/>
              <w:sz w:val="22"/>
              <w:szCs w:val="22"/>
            </w:rPr>
            <w:t>(</w:t>
          </w:r>
          <w:r>
            <w:rPr>
              <w:rFonts w:ascii="KaiTi" w:hAnsi="KaiTi" w:eastAsia="KaiTi" w:cs="KaiTi"/>
              <w:color w:val="231F20"/>
              <w:spacing w:val="-10"/>
              <w:sz w:val="22"/>
              <w:szCs w:val="22"/>
            </w:rPr>
            <w:t xml:space="preserve"> 四 ) 实施观察员制度，持续优化营商环境 </w:t>
          </w:r>
          <w:r>
            <w:rPr>
              <w:rFonts w:ascii="KaiTi" w:hAnsi="KaiTi" w:eastAsia="KaiTi" w:cs="KaiTi"/>
              <w:sz w:val="22"/>
              <w:szCs w:val="22"/>
            </w:rPr>
            <w:tab/>
          </w:r>
          <w:r>
            <w:rPr>
              <w:rFonts w:ascii="KaiTi" w:hAnsi="KaiTi" w:eastAsia="KaiTi" w:cs="KaiTi"/>
              <w:color w:val="231F20"/>
              <w:spacing w:val="-10"/>
              <w:sz w:val="22"/>
              <w:szCs w:val="22"/>
            </w:rPr>
            <w:t xml:space="preserve"> </w:t>
          </w:r>
          <w:r>
            <w:fldChar w:fldCharType="begin"/>
          </w:r>
          <w:r>
            <w:instrText xml:space="preserve"> HYPERLINK \l "_bookmark67" </w:instrText>
          </w:r>
          <w:r>
            <w:fldChar w:fldCharType="separate"/>
          </w:r>
          <w:r>
            <w:rPr>
              <w:rFonts w:ascii="Times New Roman" w:hAnsi="Times New Roman" w:eastAsia="Times New Roman" w:cs="Times New Roman"/>
              <w:color w:val="231F20"/>
              <w:spacing w:val="-10"/>
              <w:sz w:val="22"/>
              <w:szCs w:val="22"/>
            </w:rPr>
            <w:t>8</w:t>
          </w:r>
          <w:r>
            <w:rPr>
              <w:rFonts w:ascii="Times New Roman" w:hAnsi="Times New Roman" w:eastAsia="Times New Roman" w:cs="Times New Roman"/>
              <w:color w:val="231F20"/>
              <w:spacing w:val="-10"/>
              <w:sz w:val="22"/>
              <w:szCs w:val="22"/>
            </w:rPr>
            <w:fldChar w:fldCharType="end"/>
          </w:r>
          <w:r>
            <w:rPr>
              <w:rFonts w:ascii="Times New Roman" w:hAnsi="Times New Roman" w:eastAsia="Times New Roman" w:cs="Times New Roman"/>
              <w:color w:val="231F20"/>
              <w:spacing w:val="-10"/>
              <w:sz w:val="22"/>
              <w:szCs w:val="22"/>
            </w:rPr>
            <w:t>3</w:t>
          </w:r>
        </w:p>
        <w:p>
          <w:pPr>
            <w:tabs>
              <w:tab w:val="right" w:leader="dot" w:pos="10285"/>
            </w:tabs>
            <w:spacing w:before="303" w:line="205" w:lineRule="auto"/>
            <w:ind w:left="1890"/>
            <w:rPr>
              <w:rFonts w:ascii="Times New Roman" w:hAnsi="Times New Roman" w:eastAsia="Times New Roman" w:cs="Times New Roman"/>
              <w:sz w:val="22"/>
              <w:szCs w:val="22"/>
            </w:rPr>
          </w:pPr>
          <w:r>
            <w:rPr>
              <w:rFonts w:ascii="微软雅黑" w:hAnsi="微软雅黑" w:eastAsia="微软雅黑" w:cs="微软雅黑"/>
              <w:color w:val="015DAC"/>
              <w:spacing w:val="-8"/>
              <w:sz w:val="22"/>
              <w:szCs w:val="22"/>
            </w:rPr>
            <w:t>八</w:t>
          </w:r>
          <w:r>
            <w:rPr>
              <w:rFonts w:ascii="微软雅黑" w:hAnsi="微软雅黑" w:eastAsia="微软雅黑" w:cs="微软雅黑"/>
              <w:color w:val="015DAC"/>
              <w:spacing w:val="-5"/>
              <w:sz w:val="22"/>
              <w:szCs w:val="22"/>
            </w:rPr>
            <w:t>、</w:t>
          </w:r>
          <w:r>
            <w:rPr>
              <w:rFonts w:ascii="微软雅黑" w:hAnsi="微软雅黑" w:eastAsia="微软雅黑" w:cs="微软雅黑"/>
              <w:color w:val="015DAC"/>
              <w:spacing w:val="-4"/>
              <w:sz w:val="22"/>
              <w:szCs w:val="22"/>
            </w:rPr>
            <w:t xml:space="preserve">广东省 </w:t>
          </w:r>
          <w:r>
            <w:rPr>
              <w:rFonts w:ascii="微软雅黑" w:hAnsi="微软雅黑" w:eastAsia="微软雅黑" w:cs="微软雅黑"/>
              <w:sz w:val="22"/>
              <w:szCs w:val="22"/>
            </w:rPr>
            <w:tab/>
          </w:r>
          <w:r>
            <w:fldChar w:fldCharType="begin"/>
          </w:r>
          <w:r>
            <w:instrText xml:space="preserve"> HYPERLINK \l "_bookmark68" </w:instrText>
          </w:r>
          <w:r>
            <w:fldChar w:fldCharType="separate"/>
          </w:r>
          <w:r>
            <w:rPr>
              <w:rFonts w:ascii="Times New Roman" w:hAnsi="Times New Roman" w:eastAsia="Times New Roman" w:cs="Times New Roman"/>
              <w:color w:val="015DAC"/>
              <w:spacing w:val="-4"/>
              <w:sz w:val="22"/>
              <w:szCs w:val="22"/>
            </w:rPr>
            <w:t>8</w:t>
          </w:r>
          <w:r>
            <w:rPr>
              <w:rFonts w:ascii="Times New Roman" w:hAnsi="Times New Roman" w:eastAsia="Times New Roman" w:cs="Times New Roman"/>
              <w:color w:val="015DAC"/>
              <w:spacing w:val="-4"/>
              <w:sz w:val="22"/>
              <w:szCs w:val="22"/>
            </w:rPr>
            <w:fldChar w:fldCharType="end"/>
          </w:r>
          <w:r>
            <w:rPr>
              <w:rFonts w:ascii="Times New Roman" w:hAnsi="Times New Roman" w:eastAsia="Times New Roman" w:cs="Times New Roman"/>
              <w:color w:val="015DAC"/>
              <w:spacing w:val="-4"/>
              <w:sz w:val="22"/>
              <w:szCs w:val="22"/>
            </w:rPr>
            <w:t>4</w:t>
          </w:r>
        </w:p>
        <w:p>
          <w:pPr>
            <w:tabs>
              <w:tab w:val="right" w:leader="dot" w:pos="10291"/>
            </w:tabs>
            <w:spacing w:before="136" w:line="214" w:lineRule="auto"/>
            <w:ind w:left="2111"/>
            <w:rPr>
              <w:rFonts w:ascii="Times New Roman" w:hAnsi="Times New Roman" w:eastAsia="Times New Roman" w:cs="Times New Roman"/>
              <w:sz w:val="22"/>
              <w:szCs w:val="22"/>
            </w:rPr>
          </w:pPr>
          <w:r>
            <w:rPr>
              <w:rFonts w:ascii="KaiTi" w:hAnsi="KaiTi" w:eastAsia="KaiTi" w:cs="KaiTi"/>
              <w:color w:val="231F20"/>
              <w:spacing w:val="-23"/>
              <w:sz w:val="22"/>
              <w:szCs w:val="22"/>
            </w:rPr>
            <w:t>(</w:t>
          </w:r>
          <w:r>
            <w:rPr>
              <w:rFonts w:ascii="KaiTi" w:hAnsi="KaiTi" w:eastAsia="KaiTi" w:cs="KaiTi"/>
              <w:color w:val="231F20"/>
              <w:spacing w:val="-12"/>
              <w:sz w:val="22"/>
              <w:szCs w:val="22"/>
            </w:rPr>
            <w:t xml:space="preserve"> 一 ) 强化重点产业全产业链招商 </w:t>
          </w:r>
          <w:r>
            <w:rPr>
              <w:rFonts w:ascii="KaiTi" w:hAnsi="KaiTi" w:eastAsia="KaiTi" w:cs="KaiTi"/>
              <w:sz w:val="22"/>
              <w:szCs w:val="22"/>
            </w:rPr>
            <w:tab/>
          </w:r>
          <w:r>
            <w:rPr>
              <w:rFonts w:ascii="KaiTi" w:hAnsi="KaiTi" w:eastAsia="KaiTi" w:cs="KaiTi"/>
              <w:color w:val="231F20"/>
              <w:spacing w:val="-12"/>
              <w:sz w:val="22"/>
              <w:szCs w:val="22"/>
            </w:rPr>
            <w:t xml:space="preserve"> </w:t>
          </w:r>
          <w:r>
            <w:fldChar w:fldCharType="begin"/>
          </w:r>
          <w:r>
            <w:instrText xml:space="preserve"> HYPERLINK \l "_bookmark69" </w:instrText>
          </w:r>
          <w:r>
            <w:fldChar w:fldCharType="separate"/>
          </w:r>
          <w:r>
            <w:rPr>
              <w:rFonts w:ascii="Times New Roman" w:hAnsi="Times New Roman" w:eastAsia="Times New Roman" w:cs="Times New Roman"/>
              <w:color w:val="231F20"/>
              <w:spacing w:val="-12"/>
              <w:sz w:val="22"/>
              <w:szCs w:val="22"/>
            </w:rPr>
            <w:t>8</w:t>
          </w:r>
          <w:r>
            <w:rPr>
              <w:rFonts w:ascii="Times New Roman" w:hAnsi="Times New Roman" w:eastAsia="Times New Roman" w:cs="Times New Roman"/>
              <w:color w:val="231F20"/>
              <w:spacing w:val="-12"/>
              <w:sz w:val="22"/>
              <w:szCs w:val="22"/>
            </w:rPr>
            <w:fldChar w:fldCharType="end"/>
          </w:r>
          <w:r>
            <w:rPr>
              <w:rFonts w:ascii="Times New Roman" w:hAnsi="Times New Roman" w:eastAsia="Times New Roman" w:cs="Times New Roman"/>
              <w:color w:val="231F20"/>
              <w:spacing w:val="-12"/>
              <w:sz w:val="22"/>
              <w:szCs w:val="22"/>
            </w:rPr>
            <w:t>4</w:t>
          </w:r>
        </w:p>
      </w:sdtContent>
    </w:sdt>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68076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0"/>
        <w:rPr>
          <w:rFonts w:ascii="SimHei" w:hAnsi="SimHei" w:eastAsia="SimHei" w:cs="SimHei"/>
          <w:sz w:val="21"/>
          <w:szCs w:val="21"/>
        </w:rPr>
      </w:pPr>
      <w:r>
        <w:rPr>
          <w:rFonts w:ascii="Arial" w:hAnsi="Arial" w:eastAsia="Arial" w:cs="Arial"/>
          <w:color w:val="231F20"/>
          <w:spacing w:val="40"/>
          <w:sz w:val="20"/>
          <w:szCs w:val="20"/>
        </w:rPr>
        <w:t>4</w:t>
      </w:r>
      <w:r>
        <w:rPr>
          <w:rFonts w:ascii="Arial" w:hAnsi="Arial" w:eastAsia="Arial" w:cs="Arial"/>
          <w:color w:val="231F20"/>
          <w:spacing w:val="20"/>
          <w:sz w:val="20"/>
          <w:szCs w:val="20"/>
        </w:rPr>
        <w:t xml:space="preserve">    </w:t>
      </w:r>
      <w:r>
        <w:rPr>
          <w:position w:val="-5"/>
          <w:sz w:val="20"/>
          <w:szCs w:val="20"/>
        </w:rPr>
        <w:drawing>
          <wp:inline distT="0" distB="0" distL="0" distR="0">
            <wp:extent cx="3175" cy="1473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0"/>
          <w:sz w:val="20"/>
          <w:szCs w:val="20"/>
        </w:rPr>
        <w:t xml:space="preserve">   </w:t>
      </w:r>
      <w:r>
        <w:rPr>
          <w:rFonts w:ascii="宋体" w:hAnsi="宋体" w:eastAsia="宋体" w:cs="宋体"/>
          <w:color w:val="537DBF"/>
          <w:spacing w:val="20"/>
          <w:sz w:val="21"/>
          <w:szCs w:val="21"/>
        </w:rPr>
        <w:t xml:space="preserve">中国外商投资报告 2022 </w:t>
      </w:r>
      <w:r>
        <w:rPr>
          <w:position w:val="-5"/>
          <w:sz w:val="21"/>
          <w:szCs w:val="21"/>
        </w:rPr>
        <w:drawing>
          <wp:inline distT="0" distB="0" distL="0" distR="0">
            <wp:extent cx="3175" cy="147320"/>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0"/>
          <w:sz w:val="21"/>
          <w:szCs w:val="21"/>
        </w:rPr>
        <w:t xml:space="preserve">  </w:t>
      </w:r>
      <w:r>
        <w:rPr>
          <w:rFonts w:ascii="SimHei" w:hAnsi="SimHei" w:eastAsia="SimHei" w:cs="SimHei"/>
          <w:color w:val="1A67B3"/>
          <w:spacing w:val="20"/>
          <w:sz w:val="21"/>
          <w:szCs w:val="21"/>
          <w14:textOutline w14:w="3175" w14:cap="flat" w14:cmpd="sng">
            <w14:solidFill>
              <w14:srgbClr w14:val="1A67B3"/>
            </w14:solidFill>
            <w14:prstDash w14:val="solid"/>
            <w14:miter w14:val="0"/>
          </w14:textOutline>
        </w:rPr>
        <w:t>目录</w:t>
      </w:r>
    </w:p>
    <w:p>
      <w:pPr>
        <w:spacing w:line="263" w:lineRule="auto"/>
        <w:rPr>
          <w:rFonts w:ascii="Arial"/>
          <w:sz w:val="21"/>
        </w:rPr>
      </w:pPr>
    </w:p>
    <w:p>
      <w:pPr>
        <w:spacing w:line="263" w:lineRule="auto"/>
        <w:rPr>
          <w:rFonts w:ascii="Arial"/>
          <w:sz w:val="21"/>
        </w:rPr>
      </w:pPr>
    </w:p>
    <w:p>
      <w:pPr>
        <w:spacing w:line="263" w:lineRule="auto"/>
        <w:rPr>
          <w:rFonts w:ascii="Arial"/>
          <w:sz w:val="21"/>
        </w:rPr>
      </w:pPr>
    </w:p>
    <w:sdt>
      <w:sdtPr>
        <w:rPr>
          <w:rFonts w:ascii="KaiTi" w:hAnsi="KaiTi" w:eastAsia="KaiTi" w:cs="KaiTi"/>
          <w:sz w:val="22"/>
          <w:szCs w:val="22"/>
        </w:rPr>
        <w:id w:val="12"/>
        <w:docPartObj>
          <w:docPartGallery w:val="Table of Contents"/>
          <w:docPartUnique/>
        </w:docPartObj>
      </w:sdtPr>
      <w:sdtEndPr>
        <w:rPr>
          <w:rFonts w:ascii="Times New Roman" w:hAnsi="Times New Roman" w:eastAsia="Times New Roman" w:cs="Times New Roman"/>
          <w:sz w:val="22"/>
          <w:szCs w:val="22"/>
        </w:rPr>
      </w:sdtEndPr>
      <w:sdtContent>
        <w:p>
          <w:pPr>
            <w:tabs>
              <w:tab w:val="right" w:leader="dot" w:pos="10220"/>
            </w:tabs>
            <w:spacing w:before="71" w:line="215" w:lineRule="auto"/>
            <w:ind w:left="2040"/>
            <w:rPr>
              <w:rFonts w:ascii="Times New Roman" w:hAnsi="Times New Roman" w:eastAsia="Times New Roman" w:cs="Times New Roman"/>
              <w:sz w:val="22"/>
              <w:szCs w:val="22"/>
            </w:rPr>
          </w:pPr>
          <w:r>
            <w:rPr>
              <w:rFonts w:ascii="KaiTi" w:hAnsi="KaiTi" w:eastAsia="KaiTi" w:cs="KaiTi"/>
              <w:color w:val="231F20"/>
              <w:spacing w:val="-4"/>
              <w:sz w:val="22"/>
              <w:szCs w:val="22"/>
            </w:rPr>
            <w:t>(二</w:t>
          </w:r>
          <w:r>
            <w:rPr>
              <w:rFonts w:ascii="KaiTi" w:hAnsi="KaiTi" w:eastAsia="KaiTi" w:cs="KaiTi"/>
              <w:color w:val="231F20"/>
              <w:spacing w:val="-3"/>
              <w:sz w:val="22"/>
              <w:szCs w:val="22"/>
            </w:rPr>
            <w:t>)</w:t>
          </w:r>
          <w:r>
            <w:rPr>
              <w:rFonts w:ascii="KaiTi" w:hAnsi="KaiTi" w:eastAsia="KaiTi" w:cs="KaiTi"/>
              <w:color w:val="231F20"/>
              <w:spacing w:val="-2"/>
              <w:sz w:val="22"/>
              <w:szCs w:val="22"/>
            </w:rPr>
            <w:t xml:space="preserve"> 优化跨国公司总部投资政策 </w:t>
          </w:r>
          <w:r>
            <w:rPr>
              <w:rFonts w:ascii="KaiTi" w:hAnsi="KaiTi" w:eastAsia="KaiTi" w:cs="KaiTi"/>
              <w:sz w:val="22"/>
              <w:szCs w:val="22"/>
            </w:rPr>
            <w:tab/>
          </w:r>
          <w:r>
            <w:rPr>
              <w:rFonts w:ascii="KaiTi" w:hAnsi="KaiTi" w:eastAsia="KaiTi" w:cs="KaiTi"/>
              <w:color w:val="231F20"/>
              <w:spacing w:val="-2"/>
              <w:sz w:val="22"/>
              <w:szCs w:val="22"/>
            </w:rPr>
            <w:t xml:space="preserve"> </w:t>
          </w:r>
          <w:r>
            <w:fldChar w:fldCharType="begin"/>
          </w:r>
          <w:r>
            <w:instrText xml:space="preserve"> HYPERLINK \l "_bookmark70" </w:instrText>
          </w:r>
          <w:r>
            <w:fldChar w:fldCharType="separate"/>
          </w:r>
          <w:r>
            <w:rPr>
              <w:rFonts w:ascii="Times New Roman" w:hAnsi="Times New Roman" w:eastAsia="Times New Roman" w:cs="Times New Roman"/>
              <w:color w:val="231F20"/>
              <w:spacing w:val="-2"/>
              <w:sz w:val="22"/>
              <w:szCs w:val="22"/>
            </w:rPr>
            <w:t>8</w:t>
          </w:r>
          <w:r>
            <w:rPr>
              <w:rFonts w:ascii="Times New Roman" w:hAnsi="Times New Roman" w:eastAsia="Times New Roman" w:cs="Times New Roman"/>
              <w:color w:val="231F20"/>
              <w:spacing w:val="-2"/>
              <w:sz w:val="22"/>
              <w:szCs w:val="22"/>
            </w:rPr>
            <w:fldChar w:fldCharType="end"/>
          </w:r>
          <w:r>
            <w:rPr>
              <w:rFonts w:ascii="Times New Roman" w:hAnsi="Times New Roman" w:eastAsia="Times New Roman" w:cs="Times New Roman"/>
              <w:color w:val="231F20"/>
              <w:spacing w:val="-2"/>
              <w:sz w:val="22"/>
              <w:szCs w:val="22"/>
            </w:rPr>
            <w:t>5</w:t>
          </w:r>
        </w:p>
        <w:p>
          <w:pPr>
            <w:tabs>
              <w:tab w:val="right" w:leader="dot" w:pos="10220"/>
            </w:tabs>
            <w:spacing w:before="136" w:line="217" w:lineRule="auto"/>
            <w:ind w:left="2040"/>
            <w:rPr>
              <w:rFonts w:ascii="Times New Roman" w:hAnsi="Times New Roman" w:eastAsia="Times New Roman" w:cs="Times New Roman"/>
              <w:sz w:val="22"/>
              <w:szCs w:val="22"/>
            </w:rPr>
          </w:pPr>
          <w:r>
            <w:rPr>
              <w:rFonts w:ascii="KaiTi" w:hAnsi="KaiTi" w:eastAsia="KaiTi" w:cs="KaiTi"/>
              <w:color w:val="231F20"/>
              <w:spacing w:val="-19"/>
              <w:sz w:val="22"/>
              <w:szCs w:val="22"/>
            </w:rPr>
            <w:t>(</w:t>
          </w:r>
          <w:r>
            <w:rPr>
              <w:rFonts w:ascii="KaiTi" w:hAnsi="KaiTi" w:eastAsia="KaiTi" w:cs="KaiTi"/>
              <w:color w:val="231F20"/>
              <w:spacing w:val="-17"/>
              <w:sz w:val="22"/>
              <w:szCs w:val="22"/>
            </w:rPr>
            <w:t xml:space="preserve"> 三 ) 健全 “稳外资”服务机制 </w:t>
          </w:r>
          <w:r>
            <w:rPr>
              <w:rFonts w:ascii="KaiTi" w:hAnsi="KaiTi" w:eastAsia="KaiTi" w:cs="KaiTi"/>
              <w:sz w:val="22"/>
              <w:szCs w:val="22"/>
            </w:rPr>
            <w:tab/>
          </w:r>
          <w:r>
            <w:rPr>
              <w:rFonts w:ascii="KaiTi" w:hAnsi="KaiTi" w:eastAsia="KaiTi" w:cs="KaiTi"/>
              <w:color w:val="231F20"/>
              <w:spacing w:val="-17"/>
              <w:sz w:val="22"/>
              <w:szCs w:val="22"/>
            </w:rPr>
            <w:t xml:space="preserve"> </w:t>
          </w:r>
          <w:r>
            <w:fldChar w:fldCharType="begin"/>
          </w:r>
          <w:r>
            <w:instrText xml:space="preserve"> HYPERLINK \l "_bookmark71" </w:instrText>
          </w:r>
          <w:r>
            <w:fldChar w:fldCharType="separate"/>
          </w:r>
          <w:r>
            <w:rPr>
              <w:rFonts w:ascii="Times New Roman" w:hAnsi="Times New Roman" w:eastAsia="Times New Roman" w:cs="Times New Roman"/>
              <w:color w:val="231F20"/>
              <w:spacing w:val="-17"/>
              <w:sz w:val="22"/>
              <w:szCs w:val="22"/>
            </w:rPr>
            <w:t>8</w:t>
          </w:r>
          <w:r>
            <w:rPr>
              <w:rFonts w:ascii="Times New Roman" w:hAnsi="Times New Roman" w:eastAsia="Times New Roman" w:cs="Times New Roman"/>
              <w:color w:val="231F20"/>
              <w:spacing w:val="-17"/>
              <w:sz w:val="22"/>
              <w:szCs w:val="22"/>
            </w:rPr>
            <w:fldChar w:fldCharType="end"/>
          </w:r>
          <w:r>
            <w:rPr>
              <w:rFonts w:ascii="Times New Roman" w:hAnsi="Times New Roman" w:eastAsia="Times New Roman" w:cs="Times New Roman"/>
              <w:color w:val="231F20"/>
              <w:spacing w:val="-17"/>
              <w:sz w:val="22"/>
              <w:szCs w:val="22"/>
            </w:rPr>
            <w:t>5</w:t>
          </w:r>
        </w:p>
        <w:p>
          <w:pPr>
            <w:tabs>
              <w:tab w:val="right" w:leader="dot" w:pos="10220"/>
            </w:tabs>
            <w:spacing w:before="135" w:line="214" w:lineRule="auto"/>
            <w:ind w:left="2040"/>
            <w:rPr>
              <w:rFonts w:ascii="Times New Roman" w:hAnsi="Times New Roman" w:eastAsia="Times New Roman" w:cs="Times New Roman"/>
              <w:sz w:val="22"/>
              <w:szCs w:val="22"/>
            </w:rPr>
          </w:pPr>
          <w:r>
            <w:rPr>
              <w:rFonts w:ascii="KaiTi" w:hAnsi="KaiTi" w:eastAsia="KaiTi" w:cs="KaiTi"/>
              <w:color w:val="231F20"/>
              <w:spacing w:val="-13"/>
              <w:sz w:val="22"/>
              <w:szCs w:val="22"/>
            </w:rPr>
            <w:t>(</w:t>
          </w:r>
          <w:r>
            <w:rPr>
              <w:rFonts w:ascii="KaiTi" w:hAnsi="KaiTi" w:eastAsia="KaiTi" w:cs="KaiTi"/>
              <w:color w:val="231F20"/>
              <w:spacing w:val="-12"/>
              <w:sz w:val="22"/>
              <w:szCs w:val="22"/>
            </w:rPr>
            <w:t xml:space="preserve"> 四 ) 推进粤港澳大湾区投资合作 </w:t>
          </w:r>
          <w:r>
            <w:rPr>
              <w:rFonts w:ascii="KaiTi" w:hAnsi="KaiTi" w:eastAsia="KaiTi" w:cs="KaiTi"/>
              <w:sz w:val="22"/>
              <w:szCs w:val="22"/>
            </w:rPr>
            <w:tab/>
          </w:r>
          <w:r>
            <w:rPr>
              <w:rFonts w:ascii="KaiTi" w:hAnsi="KaiTi" w:eastAsia="KaiTi" w:cs="KaiTi"/>
              <w:color w:val="231F20"/>
              <w:spacing w:val="-12"/>
              <w:sz w:val="22"/>
              <w:szCs w:val="22"/>
            </w:rPr>
            <w:t xml:space="preserve"> </w:t>
          </w:r>
          <w:r>
            <w:fldChar w:fldCharType="begin"/>
          </w:r>
          <w:r>
            <w:instrText xml:space="preserve"> HYPERLINK \l "_bookmark72" </w:instrText>
          </w:r>
          <w:r>
            <w:fldChar w:fldCharType="separate"/>
          </w:r>
          <w:r>
            <w:rPr>
              <w:rFonts w:ascii="Times New Roman" w:hAnsi="Times New Roman" w:eastAsia="Times New Roman" w:cs="Times New Roman"/>
              <w:color w:val="231F20"/>
              <w:spacing w:val="-12"/>
              <w:sz w:val="22"/>
              <w:szCs w:val="22"/>
            </w:rPr>
            <w:t>8</w:t>
          </w:r>
          <w:r>
            <w:rPr>
              <w:rFonts w:ascii="Times New Roman" w:hAnsi="Times New Roman" w:eastAsia="Times New Roman" w:cs="Times New Roman"/>
              <w:color w:val="231F20"/>
              <w:spacing w:val="-12"/>
              <w:sz w:val="22"/>
              <w:szCs w:val="22"/>
            </w:rPr>
            <w:fldChar w:fldCharType="end"/>
          </w:r>
          <w:r>
            <w:rPr>
              <w:rFonts w:ascii="Times New Roman" w:hAnsi="Times New Roman" w:eastAsia="Times New Roman" w:cs="Times New Roman"/>
              <w:color w:val="231F20"/>
              <w:spacing w:val="-12"/>
              <w:sz w:val="22"/>
              <w:szCs w:val="22"/>
            </w:rPr>
            <w:t>5</w:t>
          </w:r>
        </w:p>
        <w:p>
          <w:pPr>
            <w:tabs>
              <w:tab w:val="right" w:leader="dot" w:pos="10220"/>
            </w:tabs>
            <w:spacing w:before="138" w:line="216" w:lineRule="auto"/>
            <w:ind w:left="2040"/>
            <w:rPr>
              <w:rFonts w:ascii="Times New Roman" w:hAnsi="Times New Roman" w:eastAsia="Times New Roman" w:cs="Times New Roman"/>
              <w:sz w:val="22"/>
              <w:szCs w:val="22"/>
            </w:rPr>
          </w:pPr>
          <w:r>
            <w:rPr>
              <w:rFonts w:ascii="KaiTi" w:hAnsi="KaiTi" w:eastAsia="KaiTi" w:cs="KaiTi"/>
              <w:color w:val="231F20"/>
              <w:spacing w:val="-14"/>
              <w:sz w:val="22"/>
              <w:szCs w:val="22"/>
            </w:rPr>
            <w:t>(</w:t>
          </w:r>
          <w:r>
            <w:rPr>
              <w:rFonts w:ascii="KaiTi" w:hAnsi="KaiTi" w:eastAsia="KaiTi" w:cs="KaiTi"/>
              <w:color w:val="231F20"/>
              <w:spacing w:val="-12"/>
              <w:sz w:val="22"/>
              <w:szCs w:val="22"/>
            </w:rPr>
            <w:t xml:space="preserve"> 五 ) 加强外商投资合法权益保护 </w:t>
          </w:r>
          <w:r>
            <w:rPr>
              <w:rFonts w:ascii="KaiTi" w:hAnsi="KaiTi" w:eastAsia="KaiTi" w:cs="KaiTi"/>
              <w:sz w:val="22"/>
              <w:szCs w:val="22"/>
            </w:rPr>
            <w:tab/>
          </w:r>
          <w:r>
            <w:rPr>
              <w:rFonts w:ascii="KaiTi" w:hAnsi="KaiTi" w:eastAsia="KaiTi" w:cs="KaiTi"/>
              <w:color w:val="231F20"/>
              <w:spacing w:val="-12"/>
              <w:sz w:val="22"/>
              <w:szCs w:val="22"/>
            </w:rPr>
            <w:t xml:space="preserve"> </w:t>
          </w:r>
          <w:r>
            <w:fldChar w:fldCharType="begin"/>
          </w:r>
          <w:r>
            <w:instrText xml:space="preserve"> HYPERLINK \l "_bookmark73" </w:instrText>
          </w:r>
          <w:r>
            <w:fldChar w:fldCharType="separate"/>
          </w:r>
          <w:r>
            <w:rPr>
              <w:rFonts w:ascii="Times New Roman" w:hAnsi="Times New Roman" w:eastAsia="Times New Roman" w:cs="Times New Roman"/>
              <w:color w:val="231F20"/>
              <w:spacing w:val="-12"/>
              <w:sz w:val="22"/>
              <w:szCs w:val="22"/>
            </w:rPr>
            <w:t>8</w:t>
          </w:r>
          <w:r>
            <w:rPr>
              <w:rFonts w:ascii="Times New Roman" w:hAnsi="Times New Roman" w:eastAsia="Times New Roman" w:cs="Times New Roman"/>
              <w:color w:val="231F20"/>
              <w:spacing w:val="-12"/>
              <w:sz w:val="22"/>
              <w:szCs w:val="22"/>
            </w:rPr>
            <w:fldChar w:fldCharType="end"/>
          </w:r>
          <w:r>
            <w:rPr>
              <w:rFonts w:ascii="Times New Roman" w:hAnsi="Times New Roman" w:eastAsia="Times New Roman" w:cs="Times New Roman"/>
              <w:color w:val="231F20"/>
              <w:spacing w:val="-12"/>
              <w:sz w:val="22"/>
              <w:szCs w:val="22"/>
            </w:rPr>
            <w:t>6</w:t>
          </w:r>
        </w:p>
        <w:p>
          <w:pPr>
            <w:tabs>
              <w:tab w:val="right" w:leader="dot" w:pos="10220"/>
            </w:tabs>
            <w:spacing w:before="137" w:line="214" w:lineRule="auto"/>
            <w:ind w:left="2040"/>
            <w:rPr>
              <w:rFonts w:ascii="Times New Roman" w:hAnsi="Times New Roman" w:eastAsia="Times New Roman" w:cs="Times New Roman"/>
              <w:sz w:val="22"/>
              <w:szCs w:val="22"/>
            </w:rPr>
          </w:pPr>
          <w:r>
            <w:rPr>
              <w:rFonts w:ascii="KaiTi" w:hAnsi="KaiTi" w:eastAsia="KaiTi" w:cs="KaiTi"/>
              <w:color w:val="231F20"/>
              <w:spacing w:val="-14"/>
              <w:sz w:val="22"/>
              <w:szCs w:val="22"/>
            </w:rPr>
            <w:t>(</w:t>
          </w:r>
          <w:r>
            <w:rPr>
              <w:rFonts w:ascii="KaiTi" w:hAnsi="KaiTi" w:eastAsia="KaiTi" w:cs="KaiTi"/>
              <w:color w:val="231F20"/>
              <w:spacing w:val="-12"/>
              <w:sz w:val="22"/>
              <w:szCs w:val="22"/>
            </w:rPr>
            <w:t xml:space="preserve"> 六 ) 完善外商投资促进合作机制 </w:t>
          </w:r>
          <w:r>
            <w:rPr>
              <w:rFonts w:ascii="KaiTi" w:hAnsi="KaiTi" w:eastAsia="KaiTi" w:cs="KaiTi"/>
              <w:sz w:val="22"/>
              <w:szCs w:val="22"/>
            </w:rPr>
            <w:tab/>
          </w:r>
          <w:r>
            <w:rPr>
              <w:rFonts w:ascii="KaiTi" w:hAnsi="KaiTi" w:eastAsia="KaiTi" w:cs="KaiTi"/>
              <w:color w:val="231F20"/>
              <w:spacing w:val="-12"/>
              <w:sz w:val="22"/>
              <w:szCs w:val="22"/>
            </w:rPr>
            <w:t xml:space="preserve"> </w:t>
          </w:r>
          <w:r>
            <w:fldChar w:fldCharType="begin"/>
          </w:r>
          <w:r>
            <w:instrText xml:space="preserve"> HYPERLINK \l "_bookmark74" </w:instrText>
          </w:r>
          <w:r>
            <w:fldChar w:fldCharType="separate"/>
          </w:r>
          <w:r>
            <w:rPr>
              <w:rFonts w:ascii="Times New Roman" w:hAnsi="Times New Roman" w:eastAsia="Times New Roman" w:cs="Times New Roman"/>
              <w:color w:val="231F20"/>
              <w:spacing w:val="-12"/>
              <w:sz w:val="22"/>
              <w:szCs w:val="22"/>
            </w:rPr>
            <w:t>8</w:t>
          </w:r>
          <w:r>
            <w:rPr>
              <w:rFonts w:ascii="Times New Roman" w:hAnsi="Times New Roman" w:eastAsia="Times New Roman" w:cs="Times New Roman"/>
              <w:color w:val="231F20"/>
              <w:spacing w:val="-12"/>
              <w:sz w:val="22"/>
              <w:szCs w:val="22"/>
            </w:rPr>
            <w:fldChar w:fldCharType="end"/>
          </w:r>
          <w:r>
            <w:rPr>
              <w:rFonts w:ascii="Times New Roman" w:hAnsi="Times New Roman" w:eastAsia="Times New Roman" w:cs="Times New Roman"/>
              <w:color w:val="231F20"/>
              <w:spacing w:val="-12"/>
              <w:sz w:val="22"/>
              <w:szCs w:val="22"/>
            </w:rPr>
            <w:t>6</w:t>
          </w:r>
        </w:p>
      </w:sdtContent>
    </w:sdt>
    <w:sdt>
      <w:sdtPr>
        <w:rPr>
          <w:rFonts w:ascii="Arial" w:hAnsi="Arial" w:eastAsia="Arial" w:cs="Arial"/>
          <w:sz w:val="21"/>
          <w:szCs w:val="21"/>
        </w:rPr>
        <w:id w:val="13"/>
        <w:docPartObj>
          <w:docPartGallery w:val="Table of Contents"/>
          <w:docPartUnique/>
        </w:docPartObj>
      </w:sdtPr>
      <w:sdtEndPr>
        <w:rPr>
          <w:rFonts w:ascii="Times New Roman" w:hAnsi="Times New Roman" w:eastAsia="Times New Roman" w:cs="Times New Roman"/>
          <w:sz w:val="22"/>
          <w:szCs w:val="22"/>
        </w:rPr>
      </w:sdtEndPr>
      <w:sdtContent>
        <w:p>
          <w:pPr>
            <w:tabs>
              <w:tab w:val="right" w:leader="dot" w:pos="10215"/>
            </w:tabs>
            <w:spacing w:before="306" w:line="204" w:lineRule="auto"/>
            <w:ind w:left="1820"/>
            <w:rPr>
              <w:rFonts w:ascii="Times New Roman" w:hAnsi="Times New Roman" w:eastAsia="Times New Roman" w:cs="Times New Roman"/>
              <w:sz w:val="22"/>
              <w:szCs w:val="22"/>
            </w:rPr>
          </w:pPr>
          <w:r>
            <w:rPr>
              <w:rFonts w:ascii="微软雅黑" w:hAnsi="微软雅黑" w:eastAsia="微软雅黑" w:cs="微软雅黑"/>
              <w:color w:val="015DAC"/>
              <w:spacing w:val="-5"/>
              <w:sz w:val="22"/>
              <w:szCs w:val="22"/>
            </w:rPr>
            <w:t>九</w:t>
          </w:r>
          <w:r>
            <w:rPr>
              <w:rFonts w:ascii="微软雅黑" w:hAnsi="微软雅黑" w:eastAsia="微软雅黑" w:cs="微软雅黑"/>
              <w:color w:val="015DAC"/>
              <w:spacing w:val="-3"/>
              <w:sz w:val="22"/>
              <w:szCs w:val="22"/>
            </w:rPr>
            <w:t xml:space="preserve">、重庆市 </w:t>
          </w:r>
          <w:r>
            <w:rPr>
              <w:rFonts w:ascii="微软雅黑" w:hAnsi="微软雅黑" w:eastAsia="微软雅黑" w:cs="微软雅黑"/>
              <w:sz w:val="22"/>
              <w:szCs w:val="22"/>
            </w:rPr>
            <w:tab/>
          </w:r>
          <w:r>
            <w:fldChar w:fldCharType="begin"/>
          </w:r>
          <w:r>
            <w:instrText xml:space="preserve"> HYPERLINK \l "_bookmark75" </w:instrText>
          </w:r>
          <w:r>
            <w:fldChar w:fldCharType="separate"/>
          </w:r>
          <w:r>
            <w:rPr>
              <w:rFonts w:ascii="Times New Roman" w:hAnsi="Times New Roman" w:eastAsia="Times New Roman" w:cs="Times New Roman"/>
              <w:color w:val="015DAC"/>
              <w:spacing w:val="-3"/>
              <w:sz w:val="22"/>
              <w:szCs w:val="22"/>
            </w:rPr>
            <w:t>8</w:t>
          </w:r>
          <w:r>
            <w:rPr>
              <w:rFonts w:ascii="Times New Roman" w:hAnsi="Times New Roman" w:eastAsia="Times New Roman" w:cs="Times New Roman"/>
              <w:color w:val="015DAC"/>
              <w:spacing w:val="-3"/>
              <w:sz w:val="22"/>
              <w:szCs w:val="22"/>
            </w:rPr>
            <w:fldChar w:fldCharType="end"/>
          </w:r>
          <w:r>
            <w:rPr>
              <w:rFonts w:ascii="Times New Roman" w:hAnsi="Times New Roman" w:eastAsia="Times New Roman" w:cs="Times New Roman"/>
              <w:color w:val="015DAC"/>
              <w:spacing w:val="-3"/>
              <w:sz w:val="22"/>
              <w:szCs w:val="22"/>
            </w:rPr>
            <w:t>8</w:t>
          </w:r>
        </w:p>
        <w:p>
          <w:pPr>
            <w:tabs>
              <w:tab w:val="right" w:leader="dot" w:pos="10220"/>
            </w:tabs>
            <w:spacing w:before="137" w:line="217" w:lineRule="auto"/>
            <w:ind w:left="2040"/>
            <w:rPr>
              <w:rFonts w:ascii="Times New Roman" w:hAnsi="Times New Roman" w:eastAsia="Times New Roman" w:cs="Times New Roman"/>
              <w:sz w:val="22"/>
              <w:szCs w:val="22"/>
            </w:rPr>
          </w:pPr>
          <w:r>
            <w:rPr>
              <w:rFonts w:ascii="KaiTi" w:hAnsi="KaiTi" w:eastAsia="KaiTi" w:cs="KaiTi"/>
              <w:color w:val="231F20"/>
              <w:spacing w:val="-12"/>
              <w:sz w:val="22"/>
              <w:szCs w:val="22"/>
            </w:rPr>
            <w:t xml:space="preserve">( 一 ) 健全外资服务四级调度机制 </w:t>
          </w:r>
          <w:r>
            <w:rPr>
              <w:rFonts w:ascii="KaiTi" w:hAnsi="KaiTi" w:eastAsia="KaiTi" w:cs="KaiTi"/>
              <w:sz w:val="22"/>
              <w:szCs w:val="22"/>
            </w:rPr>
            <w:tab/>
          </w:r>
          <w:r>
            <w:rPr>
              <w:rFonts w:ascii="KaiTi" w:hAnsi="KaiTi" w:eastAsia="KaiTi" w:cs="KaiTi"/>
              <w:color w:val="231F20"/>
              <w:spacing w:val="-12"/>
              <w:sz w:val="22"/>
              <w:szCs w:val="22"/>
            </w:rPr>
            <w:t xml:space="preserve"> </w:t>
          </w:r>
          <w:r>
            <w:fldChar w:fldCharType="begin"/>
          </w:r>
          <w:r>
            <w:instrText xml:space="preserve"> HYPERLINK \l "_bookmark76" </w:instrText>
          </w:r>
          <w:r>
            <w:fldChar w:fldCharType="separate"/>
          </w:r>
          <w:r>
            <w:rPr>
              <w:rFonts w:ascii="Times New Roman" w:hAnsi="Times New Roman" w:eastAsia="Times New Roman" w:cs="Times New Roman"/>
              <w:color w:val="231F20"/>
              <w:spacing w:val="-12"/>
              <w:sz w:val="22"/>
              <w:szCs w:val="22"/>
            </w:rPr>
            <w:t>8</w:t>
          </w:r>
          <w:r>
            <w:rPr>
              <w:rFonts w:ascii="Times New Roman" w:hAnsi="Times New Roman" w:eastAsia="Times New Roman" w:cs="Times New Roman"/>
              <w:color w:val="231F20"/>
              <w:spacing w:val="-12"/>
              <w:sz w:val="22"/>
              <w:szCs w:val="22"/>
            </w:rPr>
            <w:fldChar w:fldCharType="end"/>
          </w:r>
          <w:r>
            <w:rPr>
              <w:rFonts w:ascii="Times New Roman" w:hAnsi="Times New Roman" w:eastAsia="Times New Roman" w:cs="Times New Roman"/>
              <w:color w:val="231F20"/>
              <w:spacing w:val="-10"/>
              <w:sz w:val="22"/>
              <w:szCs w:val="22"/>
            </w:rPr>
            <w:t>8</w:t>
          </w:r>
        </w:p>
        <w:p>
          <w:pPr>
            <w:tabs>
              <w:tab w:val="right" w:leader="dot" w:pos="10220"/>
            </w:tabs>
            <w:spacing w:before="136" w:line="214" w:lineRule="auto"/>
            <w:ind w:left="2040"/>
            <w:rPr>
              <w:rFonts w:ascii="Times New Roman" w:hAnsi="Times New Roman" w:eastAsia="Times New Roman" w:cs="Times New Roman"/>
              <w:sz w:val="22"/>
              <w:szCs w:val="22"/>
            </w:rPr>
          </w:pPr>
          <w:r>
            <w:rPr>
              <w:rFonts w:ascii="KaiTi" w:hAnsi="KaiTi" w:eastAsia="KaiTi" w:cs="KaiTi"/>
              <w:color w:val="231F20"/>
              <w:spacing w:val="-12"/>
              <w:sz w:val="22"/>
              <w:szCs w:val="22"/>
            </w:rPr>
            <w:t>(</w:t>
          </w:r>
          <w:r>
            <w:rPr>
              <w:rFonts w:ascii="KaiTi" w:hAnsi="KaiTi" w:eastAsia="KaiTi" w:cs="KaiTi"/>
              <w:color w:val="231F20"/>
              <w:spacing w:val="-7"/>
              <w:sz w:val="22"/>
              <w:szCs w:val="22"/>
            </w:rPr>
            <w:t xml:space="preserve">二) 提出 “五带五新”服务理念 </w:t>
          </w:r>
          <w:r>
            <w:rPr>
              <w:rFonts w:ascii="KaiTi" w:hAnsi="KaiTi" w:eastAsia="KaiTi" w:cs="KaiTi"/>
              <w:sz w:val="22"/>
              <w:szCs w:val="22"/>
            </w:rPr>
            <w:tab/>
          </w:r>
          <w:r>
            <w:rPr>
              <w:rFonts w:ascii="KaiTi" w:hAnsi="KaiTi" w:eastAsia="KaiTi" w:cs="KaiTi"/>
              <w:color w:val="231F20"/>
              <w:spacing w:val="-7"/>
              <w:sz w:val="22"/>
              <w:szCs w:val="22"/>
            </w:rPr>
            <w:t xml:space="preserve"> </w:t>
          </w:r>
          <w:r>
            <w:fldChar w:fldCharType="begin"/>
          </w:r>
          <w:r>
            <w:instrText xml:space="preserve"> HYPERLINK \l "_bookmark77" </w:instrText>
          </w:r>
          <w:r>
            <w:fldChar w:fldCharType="separate"/>
          </w:r>
          <w:r>
            <w:rPr>
              <w:rFonts w:ascii="Times New Roman" w:hAnsi="Times New Roman" w:eastAsia="Times New Roman" w:cs="Times New Roman"/>
              <w:color w:val="231F20"/>
              <w:spacing w:val="-7"/>
              <w:sz w:val="22"/>
              <w:szCs w:val="22"/>
            </w:rPr>
            <w:t>8</w:t>
          </w:r>
          <w:r>
            <w:rPr>
              <w:rFonts w:ascii="Times New Roman" w:hAnsi="Times New Roman" w:eastAsia="Times New Roman" w:cs="Times New Roman"/>
              <w:color w:val="231F20"/>
              <w:spacing w:val="-7"/>
              <w:sz w:val="22"/>
              <w:szCs w:val="22"/>
            </w:rPr>
            <w:fldChar w:fldCharType="end"/>
          </w:r>
          <w:r>
            <w:rPr>
              <w:rFonts w:ascii="Times New Roman" w:hAnsi="Times New Roman" w:eastAsia="Times New Roman" w:cs="Times New Roman"/>
              <w:color w:val="231F20"/>
              <w:spacing w:val="-7"/>
              <w:sz w:val="22"/>
              <w:szCs w:val="22"/>
            </w:rPr>
            <w:t>8</w:t>
          </w:r>
        </w:p>
        <w:p>
          <w:pPr>
            <w:tabs>
              <w:tab w:val="right" w:leader="dot" w:pos="10220"/>
            </w:tabs>
            <w:spacing w:before="138" w:line="215" w:lineRule="auto"/>
            <w:ind w:left="2040"/>
            <w:rPr>
              <w:rFonts w:ascii="Times New Roman" w:hAnsi="Times New Roman" w:eastAsia="Times New Roman" w:cs="Times New Roman"/>
              <w:sz w:val="22"/>
              <w:szCs w:val="22"/>
            </w:rPr>
          </w:pPr>
          <w:r>
            <w:rPr>
              <w:rFonts w:ascii="KaiTi" w:hAnsi="KaiTi" w:eastAsia="KaiTi" w:cs="KaiTi"/>
              <w:color w:val="231F20"/>
              <w:spacing w:val="-20"/>
              <w:sz w:val="22"/>
              <w:szCs w:val="22"/>
            </w:rPr>
            <w:t>(</w:t>
          </w:r>
          <w:r>
            <w:rPr>
              <w:rFonts w:ascii="KaiTi" w:hAnsi="KaiTi" w:eastAsia="KaiTi" w:cs="KaiTi"/>
              <w:color w:val="231F20"/>
              <w:spacing w:val="-16"/>
              <w:sz w:val="22"/>
              <w:szCs w:val="22"/>
            </w:rPr>
            <w:t xml:space="preserve"> 三 ) 扎实开展 “三送一访”活动 </w:t>
          </w:r>
          <w:r>
            <w:rPr>
              <w:rFonts w:ascii="KaiTi" w:hAnsi="KaiTi" w:eastAsia="KaiTi" w:cs="KaiTi"/>
              <w:sz w:val="22"/>
              <w:szCs w:val="22"/>
            </w:rPr>
            <w:tab/>
          </w:r>
          <w:r>
            <w:rPr>
              <w:rFonts w:ascii="KaiTi" w:hAnsi="KaiTi" w:eastAsia="KaiTi" w:cs="KaiTi"/>
              <w:color w:val="231F20"/>
              <w:spacing w:val="-16"/>
              <w:sz w:val="22"/>
              <w:szCs w:val="22"/>
            </w:rPr>
            <w:t xml:space="preserve"> </w:t>
          </w:r>
          <w:r>
            <w:fldChar w:fldCharType="begin"/>
          </w:r>
          <w:r>
            <w:instrText xml:space="preserve"> HYPERLINK \l "_bookmark78" </w:instrText>
          </w:r>
          <w:r>
            <w:fldChar w:fldCharType="separate"/>
          </w:r>
          <w:r>
            <w:rPr>
              <w:rFonts w:ascii="Times New Roman" w:hAnsi="Times New Roman" w:eastAsia="Times New Roman" w:cs="Times New Roman"/>
              <w:color w:val="231F20"/>
              <w:spacing w:val="-16"/>
              <w:sz w:val="22"/>
              <w:szCs w:val="22"/>
            </w:rPr>
            <w:t>8</w:t>
          </w:r>
          <w:r>
            <w:rPr>
              <w:rFonts w:ascii="Times New Roman" w:hAnsi="Times New Roman" w:eastAsia="Times New Roman" w:cs="Times New Roman"/>
              <w:color w:val="231F20"/>
              <w:spacing w:val="-16"/>
              <w:sz w:val="22"/>
              <w:szCs w:val="22"/>
            </w:rPr>
            <w:fldChar w:fldCharType="end"/>
          </w:r>
          <w:r>
            <w:rPr>
              <w:rFonts w:ascii="Times New Roman" w:hAnsi="Times New Roman" w:eastAsia="Times New Roman" w:cs="Times New Roman"/>
              <w:color w:val="231F20"/>
              <w:spacing w:val="-16"/>
              <w:sz w:val="22"/>
              <w:szCs w:val="22"/>
            </w:rPr>
            <w:t>8</w:t>
          </w:r>
        </w:p>
        <w:p>
          <w:pPr>
            <w:tabs>
              <w:tab w:val="right" w:leader="dot" w:pos="10220"/>
            </w:tabs>
            <w:spacing w:before="137" w:line="215" w:lineRule="auto"/>
            <w:ind w:left="2040"/>
            <w:rPr>
              <w:rFonts w:ascii="Times New Roman" w:hAnsi="Times New Roman" w:eastAsia="Times New Roman" w:cs="Times New Roman"/>
              <w:sz w:val="22"/>
              <w:szCs w:val="22"/>
            </w:rPr>
          </w:pPr>
          <w:r>
            <w:rPr>
              <w:rFonts w:ascii="KaiTi" w:hAnsi="KaiTi" w:eastAsia="KaiTi" w:cs="KaiTi"/>
              <w:color w:val="231F20"/>
              <w:spacing w:val="-23"/>
              <w:sz w:val="22"/>
              <w:szCs w:val="22"/>
            </w:rPr>
            <w:t>(</w:t>
          </w:r>
          <w:r>
            <w:rPr>
              <w:rFonts w:ascii="KaiTi" w:hAnsi="KaiTi" w:eastAsia="KaiTi" w:cs="KaiTi"/>
              <w:color w:val="231F20"/>
              <w:spacing w:val="-12"/>
              <w:sz w:val="22"/>
              <w:szCs w:val="22"/>
            </w:rPr>
            <w:t xml:space="preserve"> 四 ) 加大外商投资政策支持力度 </w:t>
          </w:r>
          <w:r>
            <w:rPr>
              <w:rFonts w:ascii="KaiTi" w:hAnsi="KaiTi" w:eastAsia="KaiTi" w:cs="KaiTi"/>
              <w:sz w:val="22"/>
              <w:szCs w:val="22"/>
            </w:rPr>
            <w:tab/>
          </w:r>
          <w:r>
            <w:rPr>
              <w:rFonts w:ascii="KaiTi" w:hAnsi="KaiTi" w:eastAsia="KaiTi" w:cs="KaiTi"/>
              <w:color w:val="231F20"/>
              <w:spacing w:val="-12"/>
              <w:sz w:val="22"/>
              <w:szCs w:val="22"/>
            </w:rPr>
            <w:t xml:space="preserve"> </w:t>
          </w:r>
          <w:r>
            <w:fldChar w:fldCharType="begin"/>
          </w:r>
          <w:r>
            <w:instrText xml:space="preserve"> HYPERLINK \l "_bookmark79" </w:instrText>
          </w:r>
          <w:r>
            <w:fldChar w:fldCharType="separate"/>
          </w:r>
          <w:r>
            <w:rPr>
              <w:rFonts w:ascii="Times New Roman" w:hAnsi="Times New Roman" w:eastAsia="Times New Roman" w:cs="Times New Roman"/>
              <w:color w:val="231F20"/>
              <w:spacing w:val="-12"/>
              <w:sz w:val="22"/>
              <w:szCs w:val="22"/>
            </w:rPr>
            <w:t>8</w:t>
          </w:r>
          <w:r>
            <w:rPr>
              <w:rFonts w:ascii="Times New Roman" w:hAnsi="Times New Roman" w:eastAsia="Times New Roman" w:cs="Times New Roman"/>
              <w:color w:val="231F20"/>
              <w:spacing w:val="-12"/>
              <w:sz w:val="22"/>
              <w:szCs w:val="22"/>
            </w:rPr>
            <w:fldChar w:fldCharType="end"/>
          </w:r>
          <w:r>
            <w:rPr>
              <w:rFonts w:ascii="Times New Roman" w:hAnsi="Times New Roman" w:eastAsia="Times New Roman" w:cs="Times New Roman"/>
              <w:color w:val="231F20"/>
              <w:spacing w:val="-12"/>
              <w:sz w:val="22"/>
              <w:szCs w:val="22"/>
            </w:rPr>
            <w:t>9</w:t>
          </w:r>
        </w:p>
        <w:p>
          <w:pPr>
            <w:tabs>
              <w:tab w:val="right" w:leader="dot" w:pos="10220"/>
            </w:tabs>
            <w:spacing w:before="137" w:line="215" w:lineRule="auto"/>
            <w:ind w:left="2040"/>
            <w:rPr>
              <w:rFonts w:ascii="Times New Roman" w:hAnsi="Times New Roman" w:eastAsia="Times New Roman" w:cs="Times New Roman"/>
              <w:sz w:val="22"/>
              <w:szCs w:val="22"/>
            </w:rPr>
          </w:pPr>
          <w:r>
            <w:rPr>
              <w:rFonts w:ascii="KaiTi" w:hAnsi="KaiTi" w:eastAsia="KaiTi" w:cs="KaiTi"/>
              <w:color w:val="231F20"/>
              <w:spacing w:val="-23"/>
              <w:sz w:val="22"/>
              <w:szCs w:val="22"/>
            </w:rPr>
            <w:t>(</w:t>
          </w:r>
          <w:r>
            <w:rPr>
              <w:rFonts w:ascii="KaiTi" w:hAnsi="KaiTi" w:eastAsia="KaiTi" w:cs="KaiTi"/>
              <w:color w:val="231F20"/>
              <w:spacing w:val="-12"/>
              <w:sz w:val="22"/>
              <w:szCs w:val="22"/>
            </w:rPr>
            <w:t xml:space="preserve"> 五 ) 积极开展外商投资促进活动 </w:t>
          </w:r>
          <w:r>
            <w:rPr>
              <w:rFonts w:ascii="KaiTi" w:hAnsi="KaiTi" w:eastAsia="KaiTi" w:cs="KaiTi"/>
              <w:sz w:val="22"/>
              <w:szCs w:val="22"/>
            </w:rPr>
            <w:tab/>
          </w:r>
          <w:r>
            <w:rPr>
              <w:rFonts w:ascii="KaiTi" w:hAnsi="KaiTi" w:eastAsia="KaiTi" w:cs="KaiTi"/>
              <w:color w:val="231F20"/>
              <w:spacing w:val="-12"/>
              <w:sz w:val="22"/>
              <w:szCs w:val="22"/>
            </w:rPr>
            <w:t xml:space="preserve"> </w:t>
          </w:r>
          <w:r>
            <w:fldChar w:fldCharType="begin"/>
          </w:r>
          <w:r>
            <w:instrText xml:space="preserve"> HYPERLINK \l "_bookmark80" </w:instrText>
          </w:r>
          <w:r>
            <w:fldChar w:fldCharType="separate"/>
          </w:r>
          <w:r>
            <w:rPr>
              <w:rFonts w:ascii="Times New Roman" w:hAnsi="Times New Roman" w:eastAsia="Times New Roman" w:cs="Times New Roman"/>
              <w:color w:val="231F20"/>
              <w:spacing w:val="-12"/>
              <w:sz w:val="22"/>
              <w:szCs w:val="22"/>
            </w:rPr>
            <w:t>8</w:t>
          </w:r>
          <w:r>
            <w:rPr>
              <w:rFonts w:ascii="Times New Roman" w:hAnsi="Times New Roman" w:eastAsia="Times New Roman" w:cs="Times New Roman"/>
              <w:color w:val="231F20"/>
              <w:spacing w:val="-12"/>
              <w:sz w:val="22"/>
              <w:szCs w:val="22"/>
            </w:rPr>
            <w:fldChar w:fldCharType="end"/>
          </w:r>
          <w:r>
            <w:rPr>
              <w:rFonts w:ascii="Times New Roman" w:hAnsi="Times New Roman" w:eastAsia="Times New Roman" w:cs="Times New Roman"/>
              <w:color w:val="231F20"/>
              <w:spacing w:val="-12"/>
              <w:sz w:val="22"/>
              <w:szCs w:val="22"/>
            </w:rPr>
            <w:t>9</w:t>
          </w:r>
        </w:p>
        <w:p>
          <w:pPr>
            <w:tabs>
              <w:tab w:val="right" w:leader="dot" w:pos="10215"/>
            </w:tabs>
            <w:spacing w:before="305" w:line="204" w:lineRule="auto"/>
            <w:ind w:left="1825"/>
            <w:rPr>
              <w:rFonts w:ascii="Times New Roman" w:hAnsi="Times New Roman" w:eastAsia="Times New Roman" w:cs="Times New Roman"/>
              <w:sz w:val="22"/>
              <w:szCs w:val="22"/>
            </w:rPr>
          </w:pPr>
          <w:r>
            <w:rPr>
              <w:rFonts w:ascii="微软雅黑" w:hAnsi="微软雅黑" w:eastAsia="微软雅黑" w:cs="微软雅黑"/>
              <w:color w:val="015DAC"/>
              <w:spacing w:val="-9"/>
              <w:sz w:val="22"/>
              <w:szCs w:val="22"/>
            </w:rPr>
            <w:t>十</w:t>
          </w:r>
          <w:r>
            <w:rPr>
              <w:rFonts w:ascii="微软雅黑" w:hAnsi="微软雅黑" w:eastAsia="微软雅黑" w:cs="微软雅黑"/>
              <w:color w:val="015DAC"/>
              <w:spacing w:val="-5"/>
              <w:sz w:val="22"/>
              <w:szCs w:val="22"/>
            </w:rPr>
            <w:t xml:space="preserve">、陕西省 </w:t>
          </w:r>
          <w:r>
            <w:rPr>
              <w:rFonts w:ascii="微软雅黑" w:hAnsi="微软雅黑" w:eastAsia="微软雅黑" w:cs="微软雅黑"/>
              <w:sz w:val="22"/>
              <w:szCs w:val="22"/>
            </w:rPr>
            <w:tab/>
          </w:r>
          <w:r>
            <w:fldChar w:fldCharType="begin"/>
          </w:r>
          <w:r>
            <w:instrText xml:space="preserve"> HYPERLINK \l "_bookmark81" </w:instrText>
          </w:r>
          <w:r>
            <w:fldChar w:fldCharType="separate"/>
          </w:r>
          <w:r>
            <w:rPr>
              <w:rFonts w:ascii="Times New Roman" w:hAnsi="Times New Roman" w:eastAsia="Times New Roman" w:cs="Times New Roman"/>
              <w:color w:val="231F20"/>
              <w:spacing w:val="-5"/>
              <w:sz w:val="22"/>
              <w:szCs w:val="22"/>
            </w:rPr>
            <w:t>9</w:t>
          </w:r>
          <w:r>
            <w:rPr>
              <w:rFonts w:ascii="Times New Roman" w:hAnsi="Times New Roman" w:eastAsia="Times New Roman" w:cs="Times New Roman"/>
              <w:color w:val="231F20"/>
              <w:spacing w:val="-5"/>
              <w:sz w:val="22"/>
              <w:szCs w:val="22"/>
            </w:rPr>
            <w:fldChar w:fldCharType="end"/>
          </w:r>
          <w:r>
            <w:rPr>
              <w:rFonts w:ascii="Times New Roman" w:hAnsi="Times New Roman" w:eastAsia="Times New Roman" w:cs="Times New Roman"/>
              <w:color w:val="231F20"/>
              <w:spacing w:val="-5"/>
              <w:sz w:val="22"/>
              <w:szCs w:val="22"/>
            </w:rPr>
            <w:t>0</w:t>
          </w:r>
        </w:p>
        <w:p>
          <w:pPr>
            <w:tabs>
              <w:tab w:val="right" w:leader="dot" w:pos="10220"/>
            </w:tabs>
            <w:spacing w:before="138" w:line="214" w:lineRule="auto"/>
            <w:ind w:left="2040"/>
            <w:rPr>
              <w:rFonts w:ascii="Times New Roman" w:hAnsi="Times New Roman" w:eastAsia="Times New Roman" w:cs="Times New Roman"/>
              <w:sz w:val="22"/>
              <w:szCs w:val="22"/>
            </w:rPr>
          </w:pPr>
          <w:r>
            <w:rPr>
              <w:rFonts w:ascii="KaiTi" w:hAnsi="KaiTi" w:eastAsia="KaiTi" w:cs="KaiTi"/>
              <w:color w:val="231F20"/>
              <w:spacing w:val="-16"/>
              <w:sz w:val="22"/>
              <w:szCs w:val="22"/>
            </w:rPr>
            <w:t>(</w:t>
          </w:r>
          <w:r>
            <w:rPr>
              <w:rFonts w:ascii="KaiTi" w:hAnsi="KaiTi" w:eastAsia="KaiTi" w:cs="KaiTi"/>
              <w:color w:val="231F20"/>
              <w:spacing w:val="-15"/>
              <w:sz w:val="22"/>
              <w:szCs w:val="22"/>
            </w:rPr>
            <w:t xml:space="preserve"> </w:t>
          </w:r>
          <w:r>
            <w:rPr>
              <w:rFonts w:ascii="KaiTi" w:hAnsi="KaiTi" w:eastAsia="KaiTi" w:cs="KaiTi"/>
              <w:color w:val="231F20"/>
              <w:spacing w:val="-8"/>
              <w:sz w:val="22"/>
              <w:szCs w:val="22"/>
            </w:rPr>
            <w:t xml:space="preserve">一 ) 加强产业招商投资引导 </w:t>
          </w:r>
          <w:r>
            <w:rPr>
              <w:rFonts w:ascii="KaiTi" w:hAnsi="KaiTi" w:eastAsia="KaiTi" w:cs="KaiTi"/>
              <w:sz w:val="22"/>
              <w:szCs w:val="22"/>
            </w:rPr>
            <w:tab/>
          </w:r>
          <w:r>
            <w:fldChar w:fldCharType="begin"/>
          </w:r>
          <w:r>
            <w:instrText xml:space="preserve"> HYPERLINK \l "_bookmark82" </w:instrText>
          </w:r>
          <w:r>
            <w:fldChar w:fldCharType="separate"/>
          </w:r>
          <w:r>
            <w:rPr>
              <w:rFonts w:ascii="Times New Roman" w:hAnsi="Times New Roman" w:eastAsia="Times New Roman" w:cs="Times New Roman"/>
              <w:color w:val="231F20"/>
              <w:spacing w:val="-8"/>
              <w:sz w:val="22"/>
              <w:szCs w:val="22"/>
            </w:rPr>
            <w:t>9</w:t>
          </w:r>
          <w:r>
            <w:rPr>
              <w:rFonts w:ascii="Times New Roman" w:hAnsi="Times New Roman" w:eastAsia="Times New Roman" w:cs="Times New Roman"/>
              <w:color w:val="231F20"/>
              <w:spacing w:val="-8"/>
              <w:sz w:val="22"/>
              <w:szCs w:val="22"/>
            </w:rPr>
            <w:fldChar w:fldCharType="end"/>
          </w:r>
          <w:r>
            <w:rPr>
              <w:rFonts w:ascii="Times New Roman" w:hAnsi="Times New Roman" w:eastAsia="Times New Roman" w:cs="Times New Roman"/>
              <w:color w:val="231F20"/>
              <w:spacing w:val="-8"/>
              <w:sz w:val="22"/>
              <w:szCs w:val="22"/>
            </w:rPr>
            <w:t>0</w:t>
          </w:r>
        </w:p>
        <w:p>
          <w:pPr>
            <w:tabs>
              <w:tab w:val="right" w:leader="dot" w:pos="10220"/>
            </w:tabs>
            <w:spacing w:before="139" w:line="214" w:lineRule="auto"/>
            <w:ind w:left="2040"/>
            <w:rPr>
              <w:rFonts w:ascii="Times New Roman" w:hAnsi="Times New Roman" w:eastAsia="Times New Roman" w:cs="Times New Roman"/>
              <w:sz w:val="22"/>
              <w:szCs w:val="22"/>
            </w:rPr>
          </w:pPr>
          <w:r>
            <w:rPr>
              <w:rFonts w:ascii="KaiTi" w:hAnsi="KaiTi" w:eastAsia="KaiTi" w:cs="KaiTi"/>
              <w:color w:val="231F20"/>
              <w:spacing w:val="2"/>
              <w:sz w:val="22"/>
              <w:szCs w:val="22"/>
            </w:rPr>
            <w:t>(二) 建</w:t>
          </w:r>
          <w:r>
            <w:rPr>
              <w:rFonts w:ascii="KaiTi" w:hAnsi="KaiTi" w:eastAsia="KaiTi" w:cs="KaiTi"/>
              <w:color w:val="231F20"/>
              <w:spacing w:val="1"/>
              <w:sz w:val="22"/>
              <w:szCs w:val="22"/>
            </w:rPr>
            <w:t xml:space="preserve">立重点企业联系制度 </w:t>
          </w:r>
          <w:r>
            <w:rPr>
              <w:rFonts w:ascii="KaiTi" w:hAnsi="KaiTi" w:eastAsia="KaiTi" w:cs="KaiTi"/>
              <w:sz w:val="22"/>
              <w:szCs w:val="22"/>
            </w:rPr>
            <w:tab/>
          </w:r>
          <w:r>
            <w:fldChar w:fldCharType="begin"/>
          </w:r>
          <w:r>
            <w:instrText xml:space="preserve"> HYPERLINK \l "_bookmark83" </w:instrText>
          </w:r>
          <w:r>
            <w:fldChar w:fldCharType="separate"/>
          </w:r>
          <w:r>
            <w:rPr>
              <w:rFonts w:ascii="Times New Roman" w:hAnsi="Times New Roman" w:eastAsia="Times New Roman" w:cs="Times New Roman"/>
              <w:color w:val="231F20"/>
              <w:spacing w:val="1"/>
              <w:sz w:val="22"/>
              <w:szCs w:val="22"/>
            </w:rPr>
            <w:t>9</w:t>
          </w:r>
          <w:r>
            <w:rPr>
              <w:rFonts w:ascii="Times New Roman" w:hAnsi="Times New Roman" w:eastAsia="Times New Roman" w:cs="Times New Roman"/>
              <w:color w:val="231F20"/>
              <w:spacing w:val="1"/>
              <w:sz w:val="22"/>
              <w:szCs w:val="22"/>
            </w:rPr>
            <w:fldChar w:fldCharType="end"/>
          </w:r>
          <w:r>
            <w:rPr>
              <w:rFonts w:ascii="Times New Roman" w:hAnsi="Times New Roman" w:eastAsia="Times New Roman" w:cs="Times New Roman"/>
              <w:color w:val="231F20"/>
              <w:spacing w:val="1"/>
              <w:sz w:val="22"/>
              <w:szCs w:val="22"/>
            </w:rPr>
            <w:t xml:space="preserve"> 1</w:t>
          </w:r>
        </w:p>
        <w:p>
          <w:pPr>
            <w:tabs>
              <w:tab w:val="right" w:leader="dot" w:pos="10220"/>
            </w:tabs>
            <w:spacing w:before="138" w:line="215" w:lineRule="auto"/>
            <w:ind w:left="2040"/>
            <w:rPr>
              <w:rFonts w:ascii="Times New Roman" w:hAnsi="Times New Roman" w:eastAsia="Times New Roman" w:cs="Times New Roman"/>
              <w:sz w:val="22"/>
              <w:szCs w:val="22"/>
            </w:rPr>
          </w:pPr>
          <w:r>
            <w:rPr>
              <w:rFonts w:ascii="KaiTi" w:hAnsi="KaiTi" w:eastAsia="KaiTi" w:cs="KaiTi"/>
              <w:color w:val="231F20"/>
              <w:spacing w:val="-16"/>
              <w:sz w:val="22"/>
              <w:szCs w:val="22"/>
            </w:rPr>
            <w:t>(</w:t>
          </w:r>
          <w:r>
            <w:rPr>
              <w:rFonts w:ascii="KaiTi" w:hAnsi="KaiTi" w:eastAsia="KaiTi" w:cs="KaiTi"/>
              <w:color w:val="231F20"/>
              <w:spacing w:val="-9"/>
              <w:sz w:val="22"/>
              <w:szCs w:val="22"/>
            </w:rPr>
            <w:t xml:space="preserve"> 三 ) 完善外商投资便利化政策 </w:t>
          </w:r>
          <w:r>
            <w:rPr>
              <w:rFonts w:ascii="KaiTi" w:hAnsi="KaiTi" w:eastAsia="KaiTi" w:cs="KaiTi"/>
              <w:sz w:val="22"/>
              <w:szCs w:val="22"/>
            </w:rPr>
            <w:tab/>
          </w:r>
          <w:r>
            <w:fldChar w:fldCharType="begin"/>
          </w:r>
          <w:r>
            <w:instrText xml:space="preserve"> HYPERLINK \l "_bookmark84" </w:instrText>
          </w:r>
          <w:r>
            <w:fldChar w:fldCharType="separate"/>
          </w:r>
          <w:r>
            <w:rPr>
              <w:rFonts w:ascii="Times New Roman" w:hAnsi="Times New Roman" w:eastAsia="Times New Roman" w:cs="Times New Roman"/>
              <w:color w:val="231F20"/>
              <w:spacing w:val="-9"/>
              <w:sz w:val="22"/>
              <w:szCs w:val="22"/>
            </w:rPr>
            <w:t>9</w:t>
          </w:r>
          <w:r>
            <w:rPr>
              <w:rFonts w:ascii="Times New Roman" w:hAnsi="Times New Roman" w:eastAsia="Times New Roman" w:cs="Times New Roman"/>
              <w:color w:val="231F20"/>
              <w:spacing w:val="-9"/>
              <w:sz w:val="22"/>
              <w:szCs w:val="22"/>
            </w:rPr>
            <w:fldChar w:fldCharType="end"/>
          </w:r>
          <w:r>
            <w:rPr>
              <w:rFonts w:ascii="Times New Roman" w:hAnsi="Times New Roman" w:eastAsia="Times New Roman" w:cs="Times New Roman"/>
              <w:color w:val="231F20"/>
              <w:spacing w:val="-9"/>
              <w:sz w:val="22"/>
              <w:szCs w:val="22"/>
            </w:rPr>
            <w:t xml:space="preserve"> 1</w:t>
          </w:r>
        </w:p>
        <w:p>
          <w:pPr>
            <w:tabs>
              <w:tab w:val="right" w:leader="dot" w:pos="10220"/>
            </w:tabs>
            <w:spacing w:before="137" w:line="215" w:lineRule="auto"/>
            <w:ind w:left="2040"/>
            <w:rPr>
              <w:rFonts w:ascii="Times New Roman" w:hAnsi="Times New Roman" w:eastAsia="Times New Roman" w:cs="Times New Roman"/>
              <w:sz w:val="22"/>
              <w:szCs w:val="22"/>
            </w:rPr>
          </w:pPr>
          <w:r>
            <w:rPr>
              <w:rFonts w:ascii="KaiTi" w:hAnsi="KaiTi" w:eastAsia="KaiTi" w:cs="KaiTi"/>
              <w:color w:val="231F20"/>
              <w:spacing w:val="-16"/>
              <w:sz w:val="22"/>
              <w:szCs w:val="22"/>
            </w:rPr>
            <w:t>(</w:t>
          </w:r>
          <w:r>
            <w:rPr>
              <w:rFonts w:ascii="KaiTi" w:hAnsi="KaiTi" w:eastAsia="KaiTi" w:cs="KaiTi"/>
              <w:color w:val="231F20"/>
              <w:spacing w:val="-9"/>
              <w:sz w:val="22"/>
              <w:szCs w:val="22"/>
            </w:rPr>
            <w:t xml:space="preserve"> 四 ) 运用多平台开展投资促进 </w:t>
          </w:r>
          <w:r>
            <w:rPr>
              <w:rFonts w:ascii="KaiTi" w:hAnsi="KaiTi" w:eastAsia="KaiTi" w:cs="KaiTi"/>
              <w:sz w:val="22"/>
              <w:szCs w:val="22"/>
            </w:rPr>
            <w:tab/>
          </w:r>
          <w:r>
            <w:fldChar w:fldCharType="begin"/>
          </w:r>
          <w:r>
            <w:instrText xml:space="preserve"> HYPERLINK \l "_bookmark85" </w:instrText>
          </w:r>
          <w:r>
            <w:fldChar w:fldCharType="separate"/>
          </w:r>
          <w:r>
            <w:rPr>
              <w:rFonts w:ascii="Times New Roman" w:hAnsi="Times New Roman" w:eastAsia="Times New Roman" w:cs="Times New Roman"/>
              <w:color w:val="231F20"/>
              <w:spacing w:val="-9"/>
              <w:sz w:val="22"/>
              <w:szCs w:val="22"/>
            </w:rPr>
            <w:t>9</w:t>
          </w:r>
          <w:r>
            <w:rPr>
              <w:rFonts w:ascii="Times New Roman" w:hAnsi="Times New Roman" w:eastAsia="Times New Roman" w:cs="Times New Roman"/>
              <w:color w:val="231F20"/>
              <w:spacing w:val="-9"/>
              <w:sz w:val="22"/>
              <w:szCs w:val="22"/>
            </w:rPr>
            <w:fldChar w:fldCharType="end"/>
          </w:r>
          <w:r>
            <w:rPr>
              <w:rFonts w:ascii="Times New Roman" w:hAnsi="Times New Roman" w:eastAsia="Times New Roman" w:cs="Times New Roman"/>
              <w:color w:val="231F20"/>
              <w:spacing w:val="-9"/>
              <w:sz w:val="22"/>
              <w:szCs w:val="22"/>
            </w:rPr>
            <w:t xml:space="preserve"> 1</w:t>
          </w:r>
        </w:p>
      </w:sdtContent>
    </w:sdt>
    <w:p>
      <w:pPr>
        <w:spacing w:line="312" w:lineRule="auto"/>
        <w:rPr>
          <w:rFonts w:ascii="Arial"/>
          <w:sz w:val="21"/>
        </w:rPr>
      </w:pPr>
    </w:p>
    <w:sdt>
      <w:sdtPr>
        <w:rPr>
          <w:rFonts w:ascii="SimHei" w:hAnsi="SimHei" w:eastAsia="SimHei" w:cs="SimHei"/>
          <w:sz w:val="24"/>
          <w:szCs w:val="24"/>
        </w:rPr>
        <w:id w:val="14"/>
        <w:docPartObj>
          <w:docPartGallery w:val="Table of Contents"/>
          <w:docPartUnique/>
        </w:docPartObj>
      </w:sdtPr>
      <w:sdtEndPr>
        <w:rPr>
          <w:rFonts w:ascii="Times New Roman" w:hAnsi="Times New Roman" w:eastAsia="Times New Roman" w:cs="Times New Roman"/>
          <w:sz w:val="24"/>
          <w:szCs w:val="24"/>
        </w:rPr>
      </w:sdtEndPr>
      <w:sdtContent>
        <w:p>
          <w:pPr>
            <w:tabs>
              <w:tab w:val="right" w:leader="dot" w:pos="9967"/>
            </w:tabs>
            <w:spacing w:before="79" w:line="224" w:lineRule="auto"/>
            <w:ind w:left="1595"/>
            <w:rPr>
              <w:rFonts w:ascii="Times New Roman" w:hAnsi="Times New Roman" w:eastAsia="Times New Roman" w:cs="Times New Roman"/>
              <w:sz w:val="24"/>
              <w:szCs w:val="24"/>
            </w:rPr>
          </w:pPr>
          <w:r>
            <w:rPr>
              <w:rFonts w:ascii="SimHei" w:hAnsi="SimHei" w:eastAsia="SimHei" w:cs="SimHei"/>
              <w:color w:val="015DAC"/>
              <w:spacing w:val="-7"/>
              <w:sz w:val="24"/>
              <w:szCs w:val="24"/>
            </w:rPr>
            <w:t>后</w:t>
          </w:r>
          <w:r>
            <w:rPr>
              <w:rFonts w:ascii="SimHei" w:hAnsi="SimHei" w:eastAsia="SimHei" w:cs="SimHei"/>
              <w:color w:val="015DAC"/>
              <w:spacing w:val="-6"/>
              <w:sz w:val="24"/>
              <w:szCs w:val="24"/>
            </w:rPr>
            <w:t xml:space="preserve"> 记 </w:t>
          </w:r>
          <w:r>
            <w:rPr>
              <w:rFonts w:ascii="SimHei" w:hAnsi="SimHei" w:eastAsia="SimHei" w:cs="SimHei"/>
              <w:sz w:val="24"/>
              <w:szCs w:val="24"/>
            </w:rPr>
            <w:tab/>
          </w:r>
          <w:r>
            <w:rPr>
              <w:rFonts w:ascii="Times New Roman" w:hAnsi="Times New Roman" w:eastAsia="Times New Roman" w:cs="Times New Roman"/>
              <w:color w:val="015DAC"/>
              <w:spacing w:val="-6"/>
              <w:sz w:val="24"/>
              <w:szCs w:val="24"/>
            </w:rPr>
            <w:t>4</w:t>
          </w:r>
          <w:r>
            <w:fldChar w:fldCharType="begin"/>
          </w:r>
          <w:r>
            <w:instrText xml:space="preserve"> HYPERLINK \l "_bookmark86" </w:instrText>
          </w:r>
          <w:r>
            <w:fldChar w:fldCharType="separate"/>
          </w:r>
          <w:r>
            <w:rPr>
              <w:rFonts w:ascii="Times New Roman" w:hAnsi="Times New Roman" w:eastAsia="Times New Roman" w:cs="Times New Roman"/>
              <w:color w:val="015DAC"/>
              <w:spacing w:val="-6"/>
              <w:sz w:val="24"/>
              <w:szCs w:val="24"/>
            </w:rPr>
            <w:t>9</w:t>
          </w:r>
          <w:r>
            <w:rPr>
              <w:rFonts w:ascii="Times New Roman" w:hAnsi="Times New Roman" w:eastAsia="Times New Roman" w:cs="Times New Roman"/>
              <w:color w:val="015DAC"/>
              <w:spacing w:val="-6"/>
              <w:sz w:val="24"/>
              <w:szCs w:val="24"/>
            </w:rPr>
            <w:fldChar w:fldCharType="end"/>
          </w:r>
        </w:p>
      </w:sdtContent>
    </w:sdt>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68179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635"/>
        <w:rPr>
          <w:rFonts w:ascii="Arial" w:hAnsi="Arial" w:eastAsia="Arial" w:cs="Arial"/>
          <w:sz w:val="20"/>
          <w:szCs w:val="20"/>
        </w:rPr>
      </w:pPr>
      <w:r>
        <w:rPr>
          <w:rFonts w:ascii="SimHei" w:hAnsi="SimHei" w:eastAsia="SimHei" w:cs="SimHei"/>
          <w:color w:val="1A67B3"/>
          <w:spacing w:val="24"/>
          <w:position w:val="1"/>
          <w:sz w:val="21"/>
          <w:szCs w:val="21"/>
          <w14:textOutline w14:w="3175" w14:cap="flat" w14:cmpd="sng">
            <w14:solidFill>
              <w14:srgbClr w14:val="1A67B3"/>
            </w14:solidFill>
            <w14:prstDash w14:val="solid"/>
            <w14:miter w14:val="0"/>
          </w14:textOutline>
        </w:rPr>
        <w:t>目录</w:t>
      </w:r>
      <w:r>
        <w:rPr>
          <w:rFonts w:ascii="SimHei" w:hAnsi="SimHei" w:eastAsia="SimHei" w:cs="SimHei"/>
          <w:color w:val="1A67B3"/>
          <w:spacing w:val="24"/>
          <w:position w:val="1"/>
          <w:sz w:val="21"/>
          <w:szCs w:val="21"/>
        </w:rPr>
        <w:t xml:space="preserve"> </w:t>
      </w:r>
      <w:r>
        <w:rPr>
          <w:position w:val="-3"/>
          <w:sz w:val="21"/>
          <w:szCs w:val="21"/>
        </w:rPr>
        <w:drawing>
          <wp:inline distT="0" distB="0" distL="0" distR="0">
            <wp:extent cx="3175" cy="147320"/>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4"/>
          <w:position w:val="1"/>
          <w:sz w:val="21"/>
          <w:szCs w:val="21"/>
        </w:rPr>
        <w:t xml:space="preserve">  </w:t>
      </w:r>
      <w:r>
        <w:rPr>
          <w:rFonts w:ascii="宋体" w:hAnsi="宋体" w:eastAsia="宋体" w:cs="宋体"/>
          <w:color w:val="537DBF"/>
          <w:spacing w:val="24"/>
          <w:position w:val="1"/>
          <w:sz w:val="21"/>
          <w:szCs w:val="21"/>
        </w:rPr>
        <w:t xml:space="preserve">中国外商投资报告 2022  </w:t>
      </w:r>
      <w:r>
        <w:rPr>
          <w:position w:val="-3"/>
          <w:sz w:val="21"/>
          <w:szCs w:val="21"/>
        </w:rPr>
        <w:drawing>
          <wp:inline distT="0" distB="0" distL="0" distR="0">
            <wp:extent cx="3175" cy="14732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4"/>
          <w:position w:val="1"/>
          <w:sz w:val="21"/>
          <w:szCs w:val="21"/>
        </w:rPr>
        <w:t xml:space="preserve">  </w:t>
      </w:r>
      <w:r>
        <w:rPr>
          <w:rFonts w:ascii="Arial" w:hAnsi="Arial" w:eastAsia="Arial" w:cs="Arial"/>
          <w:color w:val="231F20"/>
          <w:spacing w:val="21"/>
          <w:position w:val="1"/>
          <w:sz w:val="20"/>
          <w:szCs w:val="20"/>
        </w:rPr>
        <w:t>5</w:t>
      </w:r>
    </w:p>
    <w:p>
      <w:pPr>
        <w:spacing w:line="347" w:lineRule="auto"/>
        <w:rPr>
          <w:rFonts w:ascii="Arial"/>
          <w:sz w:val="21"/>
        </w:rPr>
      </w:pPr>
    </w:p>
    <w:p>
      <w:pPr>
        <w:spacing w:line="348" w:lineRule="auto"/>
        <w:rPr>
          <w:rFonts w:ascii="Arial"/>
          <w:sz w:val="21"/>
        </w:rPr>
      </w:pPr>
    </w:p>
    <w:p>
      <w:pPr>
        <w:spacing w:before="156" w:line="222" w:lineRule="auto"/>
        <w:ind w:left="5225"/>
        <w:rPr>
          <w:rFonts w:ascii="SimHei" w:hAnsi="SimHei" w:eastAsia="SimHei" w:cs="SimHei"/>
          <w:sz w:val="48"/>
          <w:szCs w:val="48"/>
        </w:rPr>
      </w:pPr>
      <w:r>
        <w:rPr>
          <w:rFonts w:ascii="SimHei" w:hAnsi="SimHei" w:eastAsia="SimHei" w:cs="SimHei"/>
          <w:color w:val="015DAC"/>
          <w:spacing w:val="-15"/>
          <w:sz w:val="48"/>
          <w:szCs w:val="48"/>
        </w:rPr>
        <w:t>图</w:t>
      </w:r>
      <w:r>
        <w:rPr>
          <w:rFonts w:ascii="SimHei" w:hAnsi="SimHei" w:eastAsia="SimHei" w:cs="SimHei"/>
          <w:color w:val="015DAC"/>
          <w:spacing w:val="-14"/>
          <w:sz w:val="48"/>
          <w:szCs w:val="48"/>
        </w:rPr>
        <w:t>目录</w:t>
      </w: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sdt>
      <w:sdtPr>
        <w:rPr>
          <w:rFonts w:ascii="微软雅黑" w:hAnsi="微软雅黑" w:eastAsia="微软雅黑" w:cs="微软雅黑"/>
          <w:sz w:val="22"/>
          <w:szCs w:val="22"/>
        </w:rPr>
        <w:id w:val="15"/>
        <w:docPartObj>
          <w:docPartGallery w:val="Table of Contents"/>
          <w:docPartUnique/>
        </w:docPartObj>
      </w:sdtPr>
      <w:sdtEndPr>
        <w:rPr>
          <w:rFonts w:ascii="Times New Roman" w:hAnsi="Times New Roman" w:eastAsia="Times New Roman" w:cs="Times New Roman"/>
          <w:sz w:val="22"/>
          <w:szCs w:val="22"/>
        </w:rPr>
      </w:sdtEndPr>
      <w:sdtContent>
        <w:p>
          <w:pPr>
            <w:tabs>
              <w:tab w:val="right" w:leader="dot" w:pos="10284"/>
            </w:tabs>
            <w:spacing w:before="94" w:line="202" w:lineRule="auto"/>
            <w:ind w:left="1994"/>
            <w:rPr>
              <w:rFonts w:ascii="Times New Roman" w:hAnsi="Times New Roman" w:eastAsia="Times New Roman" w:cs="Times New Roman"/>
              <w:sz w:val="22"/>
              <w:szCs w:val="22"/>
            </w:rPr>
          </w:pPr>
          <w:r>
            <w:rPr>
              <w:rFonts w:ascii="微软雅黑" w:hAnsi="微软雅黑" w:eastAsia="微软雅黑" w:cs="微软雅黑"/>
              <w:color w:val="231F20"/>
              <w:spacing w:val="4"/>
              <w:sz w:val="22"/>
              <w:szCs w:val="22"/>
            </w:rPr>
            <w:t xml:space="preserve">图 </w:t>
          </w:r>
          <w:r>
            <w:rPr>
              <w:rFonts w:ascii="Times New Roman" w:hAnsi="Times New Roman" w:eastAsia="Times New Roman" w:cs="Times New Roman"/>
              <w:color w:val="231F20"/>
              <w:spacing w:val="4"/>
              <w:sz w:val="22"/>
              <w:szCs w:val="22"/>
            </w:rPr>
            <w:t>1- 1 2</w:t>
          </w:r>
          <w:r>
            <w:rPr>
              <w:rFonts w:ascii="Times New Roman" w:hAnsi="Times New Roman" w:eastAsia="Times New Roman" w:cs="Times New Roman"/>
              <w:color w:val="231F20"/>
              <w:spacing w:val="2"/>
              <w:sz w:val="22"/>
              <w:szCs w:val="22"/>
            </w:rPr>
            <w:t xml:space="preserve">020-2021 </w:t>
          </w:r>
          <w:r>
            <w:rPr>
              <w:rFonts w:ascii="微软雅黑" w:hAnsi="微软雅黑" w:eastAsia="微软雅黑" w:cs="微软雅黑"/>
              <w:color w:val="231F20"/>
              <w:spacing w:val="2"/>
              <w:sz w:val="22"/>
              <w:szCs w:val="22"/>
            </w:rPr>
            <w:t>年全球外商直接投资情况</w:t>
          </w:r>
          <w:r>
            <w:fldChar w:fldCharType="begin"/>
          </w:r>
          <w:r>
            <w:instrText xml:space="preserve"> HYPERLINK \l "_bookmark87" </w:instrText>
          </w:r>
          <w:r>
            <w:fldChar w:fldCharType="separate"/>
          </w:r>
          <w:r>
            <w:fldChar w:fldCharType="end"/>
          </w:r>
          <w:r>
            <w:rPr>
              <w:rFonts w:ascii="微软雅黑" w:hAnsi="微软雅黑" w:eastAsia="微软雅黑" w:cs="微软雅黑"/>
              <w:sz w:val="22"/>
              <w:szCs w:val="22"/>
            </w:rPr>
            <w:tab/>
          </w:r>
          <w:r>
            <w:fldChar w:fldCharType="begin"/>
          </w:r>
          <w:r>
            <w:instrText xml:space="preserve"> HYPERLINK \l "_bookmark88" </w:instrText>
          </w:r>
          <w:r>
            <w:fldChar w:fldCharType="separate"/>
          </w:r>
          <w:r>
            <w:rPr>
              <w:rFonts w:ascii="Times New Roman" w:hAnsi="Times New Roman" w:eastAsia="Times New Roman" w:cs="Times New Roman"/>
              <w:color w:val="231F20"/>
              <w:spacing w:val="2"/>
              <w:sz w:val="22"/>
              <w:szCs w:val="22"/>
            </w:rPr>
            <w:t>3</w:t>
          </w:r>
          <w:r>
            <w:rPr>
              <w:rFonts w:ascii="Times New Roman" w:hAnsi="Times New Roman" w:eastAsia="Times New Roman" w:cs="Times New Roman"/>
              <w:color w:val="231F20"/>
              <w:spacing w:val="2"/>
              <w:sz w:val="22"/>
              <w:szCs w:val="22"/>
            </w:rPr>
            <w:fldChar w:fldCharType="end"/>
          </w:r>
        </w:p>
        <w:p>
          <w:pPr>
            <w:tabs>
              <w:tab w:val="right" w:leader="dot" w:pos="10283"/>
            </w:tabs>
            <w:spacing w:before="127" w:line="203" w:lineRule="auto"/>
            <w:ind w:left="1994"/>
            <w:rPr>
              <w:rFonts w:ascii="Times New Roman" w:hAnsi="Times New Roman" w:eastAsia="Times New Roman" w:cs="Times New Roman"/>
              <w:sz w:val="22"/>
              <w:szCs w:val="22"/>
            </w:rPr>
          </w:pPr>
          <w:r>
            <w:rPr>
              <w:rFonts w:ascii="微软雅黑" w:hAnsi="微软雅黑" w:eastAsia="微软雅黑" w:cs="微软雅黑"/>
              <w:color w:val="231F20"/>
              <w:spacing w:val="8"/>
              <w:sz w:val="22"/>
              <w:szCs w:val="22"/>
            </w:rPr>
            <w:t xml:space="preserve">图 </w:t>
          </w:r>
          <w:r>
            <w:rPr>
              <w:rFonts w:ascii="Times New Roman" w:hAnsi="Times New Roman" w:eastAsia="Times New Roman" w:cs="Times New Roman"/>
              <w:color w:val="231F20"/>
              <w:spacing w:val="8"/>
              <w:sz w:val="22"/>
              <w:szCs w:val="22"/>
            </w:rPr>
            <w:t>1</w:t>
          </w:r>
          <w:r>
            <w:rPr>
              <w:rFonts w:ascii="Times New Roman" w:hAnsi="Times New Roman" w:eastAsia="Times New Roman" w:cs="Times New Roman"/>
              <w:color w:val="231F20"/>
              <w:spacing w:val="7"/>
              <w:sz w:val="22"/>
              <w:szCs w:val="22"/>
            </w:rPr>
            <w:t>-</w:t>
          </w:r>
          <w:r>
            <w:rPr>
              <w:rFonts w:ascii="Times New Roman" w:hAnsi="Times New Roman" w:eastAsia="Times New Roman" w:cs="Times New Roman"/>
              <w:color w:val="231F20"/>
              <w:spacing w:val="4"/>
              <w:sz w:val="22"/>
              <w:szCs w:val="22"/>
            </w:rPr>
            <w:t xml:space="preserve">2 2020-2021 </w:t>
          </w:r>
          <w:r>
            <w:rPr>
              <w:rFonts w:ascii="微软雅黑" w:hAnsi="微软雅黑" w:eastAsia="微软雅黑" w:cs="微软雅黑"/>
              <w:color w:val="231F20"/>
              <w:spacing w:val="4"/>
              <w:sz w:val="22"/>
              <w:szCs w:val="22"/>
            </w:rPr>
            <w:t>年中国与世界经济发展情况</w:t>
          </w:r>
          <w:r>
            <w:fldChar w:fldCharType="begin"/>
          </w:r>
          <w:r>
            <w:instrText xml:space="preserve"> HYPERLINK \l "_bookmark87" </w:instrText>
          </w:r>
          <w:r>
            <w:fldChar w:fldCharType="separate"/>
          </w:r>
          <w:r>
            <w:fldChar w:fldCharType="end"/>
          </w:r>
          <w:r>
            <w:rPr>
              <w:rFonts w:ascii="微软雅黑" w:hAnsi="微软雅黑" w:eastAsia="微软雅黑" w:cs="微软雅黑"/>
              <w:sz w:val="22"/>
              <w:szCs w:val="22"/>
            </w:rPr>
            <w:tab/>
          </w:r>
          <w:r>
            <w:fldChar w:fldCharType="begin"/>
          </w:r>
          <w:r>
            <w:instrText xml:space="preserve"> HYPERLINK \l "_bookmark89" </w:instrText>
          </w:r>
          <w:r>
            <w:fldChar w:fldCharType="separate"/>
          </w:r>
          <w:r>
            <w:rPr>
              <w:rFonts w:ascii="Times New Roman" w:hAnsi="Times New Roman" w:eastAsia="Times New Roman" w:cs="Times New Roman"/>
              <w:color w:val="231F20"/>
              <w:spacing w:val="4"/>
              <w:sz w:val="22"/>
              <w:szCs w:val="22"/>
            </w:rPr>
            <w:t>6</w:t>
          </w:r>
          <w:r>
            <w:rPr>
              <w:rFonts w:ascii="Times New Roman" w:hAnsi="Times New Roman" w:eastAsia="Times New Roman" w:cs="Times New Roman"/>
              <w:color w:val="231F20"/>
              <w:spacing w:val="4"/>
              <w:sz w:val="22"/>
              <w:szCs w:val="22"/>
            </w:rPr>
            <w:fldChar w:fldCharType="end"/>
          </w:r>
        </w:p>
        <w:p>
          <w:pPr>
            <w:tabs>
              <w:tab w:val="right" w:leader="dot" w:pos="10283"/>
            </w:tabs>
            <w:spacing w:before="128" w:line="202" w:lineRule="auto"/>
            <w:ind w:left="1993"/>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16"/>
              <w:sz w:val="22"/>
              <w:szCs w:val="22"/>
            </w:rPr>
            <w:t xml:space="preserve">图 </w:t>
          </w:r>
          <w:r>
            <w:rPr>
              <w:rFonts w:ascii="Times New Roman" w:hAnsi="Times New Roman" w:eastAsia="Times New Roman" w:cs="Times New Roman"/>
              <w:color w:val="231F20"/>
              <w:spacing w:val="-10"/>
              <w:sz w:val="22"/>
              <w:szCs w:val="22"/>
            </w:rPr>
            <w:t>1</w:t>
          </w:r>
          <w:r>
            <w:rPr>
              <w:rFonts w:ascii="Times New Roman" w:hAnsi="Times New Roman" w:eastAsia="Times New Roman" w:cs="Times New Roman"/>
              <w:color w:val="231F20"/>
              <w:spacing w:val="-8"/>
              <w:sz w:val="22"/>
              <w:szCs w:val="22"/>
            </w:rPr>
            <w:t xml:space="preserve">-3 2017-2021 </w:t>
          </w:r>
          <w:r>
            <w:rPr>
              <w:rFonts w:ascii="微软雅黑" w:hAnsi="微软雅黑" w:eastAsia="微软雅黑" w:cs="微软雅黑"/>
              <w:color w:val="231F20"/>
              <w:spacing w:val="-8"/>
              <w:sz w:val="22"/>
              <w:szCs w:val="22"/>
            </w:rPr>
            <w:t xml:space="preserve">年 中 国 实 际 使 用 外 资 情 况 </w:t>
          </w:r>
          <w:r>
            <w:rPr>
              <w:rFonts w:ascii="微软雅黑" w:hAnsi="微软雅黑" w:eastAsia="微软雅黑" w:cs="微软雅黑"/>
              <w:color w:val="231F20"/>
              <w:spacing w:val="-8"/>
              <w:sz w:val="22"/>
              <w:szCs w:val="22"/>
            </w:rPr>
            <w:fldChar w:fldCharType="end"/>
          </w:r>
          <w:r>
            <w:rPr>
              <w:rFonts w:ascii="微软雅黑" w:hAnsi="微软雅黑" w:eastAsia="微软雅黑" w:cs="微软雅黑"/>
              <w:sz w:val="22"/>
              <w:szCs w:val="22"/>
            </w:rPr>
            <w:tab/>
          </w:r>
          <w:r>
            <w:fldChar w:fldCharType="begin"/>
          </w:r>
          <w:r>
            <w:instrText xml:space="preserve"> HYPERLINK \l "_bookmark90" </w:instrText>
          </w:r>
          <w:r>
            <w:fldChar w:fldCharType="separate"/>
          </w:r>
          <w:r>
            <w:rPr>
              <w:rFonts w:ascii="Times New Roman" w:hAnsi="Times New Roman" w:eastAsia="Times New Roman" w:cs="Times New Roman"/>
              <w:color w:val="231F20"/>
              <w:spacing w:val="-8"/>
              <w:sz w:val="22"/>
              <w:szCs w:val="22"/>
            </w:rPr>
            <w:t>8</w:t>
          </w:r>
          <w:r>
            <w:rPr>
              <w:rFonts w:ascii="Times New Roman" w:hAnsi="Times New Roman" w:eastAsia="Times New Roman" w:cs="Times New Roman"/>
              <w:color w:val="231F20"/>
              <w:spacing w:val="-8"/>
              <w:sz w:val="22"/>
              <w:szCs w:val="22"/>
            </w:rPr>
            <w:fldChar w:fldCharType="end"/>
          </w:r>
        </w:p>
        <w:p>
          <w:pPr>
            <w:tabs>
              <w:tab w:val="right" w:leader="dot" w:pos="10281"/>
            </w:tabs>
            <w:spacing w:before="130" w:line="201" w:lineRule="auto"/>
            <w:ind w:left="1993"/>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24"/>
              <w:sz w:val="22"/>
              <w:szCs w:val="22"/>
            </w:rPr>
            <w:t>图</w:t>
          </w:r>
          <w:r>
            <w:rPr>
              <w:rFonts w:ascii="微软雅黑" w:hAnsi="微软雅黑" w:eastAsia="微软雅黑" w:cs="微软雅黑"/>
              <w:color w:val="231F20"/>
              <w:spacing w:val="-23"/>
              <w:sz w:val="22"/>
              <w:szCs w:val="22"/>
            </w:rPr>
            <w:t xml:space="preserve"> </w:t>
          </w:r>
          <w:r>
            <w:rPr>
              <w:rFonts w:ascii="Times New Roman" w:hAnsi="Times New Roman" w:eastAsia="Times New Roman" w:cs="Times New Roman"/>
              <w:color w:val="231F20"/>
              <w:spacing w:val="-12"/>
              <w:sz w:val="22"/>
              <w:szCs w:val="22"/>
            </w:rPr>
            <w:t xml:space="preserve">1-4 2017-2021 </w:t>
          </w:r>
          <w:r>
            <w:rPr>
              <w:rFonts w:ascii="微软雅黑" w:hAnsi="微软雅黑" w:eastAsia="微软雅黑" w:cs="微软雅黑"/>
              <w:color w:val="231F20"/>
              <w:spacing w:val="-12"/>
              <w:sz w:val="22"/>
              <w:szCs w:val="22"/>
            </w:rPr>
            <w:t xml:space="preserve">年 中 国 新 设 外 资 企 业 数 量 变 化 情 况 </w:t>
          </w:r>
          <w:r>
            <w:rPr>
              <w:rFonts w:ascii="微软雅黑" w:hAnsi="微软雅黑" w:eastAsia="微软雅黑" w:cs="微软雅黑"/>
              <w:color w:val="231F20"/>
              <w:spacing w:val="-12"/>
              <w:sz w:val="22"/>
              <w:szCs w:val="22"/>
            </w:rPr>
            <w:fldChar w:fldCharType="end"/>
          </w:r>
          <w:r>
            <w:rPr>
              <w:rFonts w:ascii="微软雅黑" w:hAnsi="微软雅黑" w:eastAsia="微软雅黑" w:cs="微软雅黑"/>
              <w:sz w:val="22"/>
              <w:szCs w:val="22"/>
            </w:rPr>
            <w:tab/>
          </w:r>
          <w:r>
            <w:fldChar w:fldCharType="begin"/>
          </w:r>
          <w:r>
            <w:instrText xml:space="preserve"> HYPERLINK \l "_bookmark91" </w:instrText>
          </w:r>
          <w:r>
            <w:fldChar w:fldCharType="separate"/>
          </w:r>
          <w:r>
            <w:rPr>
              <w:rFonts w:ascii="Times New Roman" w:hAnsi="Times New Roman" w:eastAsia="Times New Roman" w:cs="Times New Roman"/>
              <w:color w:val="231F20"/>
              <w:spacing w:val="-12"/>
              <w:sz w:val="22"/>
              <w:szCs w:val="22"/>
            </w:rPr>
            <w:t>9</w:t>
          </w:r>
          <w:r>
            <w:rPr>
              <w:rFonts w:ascii="Times New Roman" w:hAnsi="Times New Roman" w:eastAsia="Times New Roman" w:cs="Times New Roman"/>
              <w:color w:val="231F20"/>
              <w:spacing w:val="-12"/>
              <w:sz w:val="22"/>
              <w:szCs w:val="22"/>
            </w:rPr>
            <w:fldChar w:fldCharType="end"/>
          </w:r>
        </w:p>
        <w:p>
          <w:pPr>
            <w:tabs>
              <w:tab w:val="right" w:leader="dot" w:pos="10281"/>
            </w:tabs>
            <w:spacing w:before="130" w:line="202" w:lineRule="auto"/>
            <w:ind w:left="1992"/>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26"/>
              <w:sz w:val="22"/>
              <w:szCs w:val="22"/>
            </w:rPr>
            <w:t>图</w:t>
          </w:r>
          <w:r>
            <w:rPr>
              <w:rFonts w:ascii="微软雅黑" w:hAnsi="微软雅黑" w:eastAsia="微软雅黑" w:cs="微软雅黑"/>
              <w:color w:val="231F20"/>
              <w:spacing w:val="-14"/>
              <w:sz w:val="22"/>
              <w:szCs w:val="22"/>
            </w:rPr>
            <w:t xml:space="preserve"> </w:t>
          </w:r>
          <w:r>
            <w:rPr>
              <w:rFonts w:ascii="Times New Roman" w:hAnsi="Times New Roman" w:eastAsia="Times New Roman" w:cs="Times New Roman"/>
              <w:color w:val="231F20"/>
              <w:spacing w:val="-13"/>
              <w:sz w:val="22"/>
              <w:szCs w:val="22"/>
            </w:rPr>
            <w:t xml:space="preserve">1-5 2017-2021 </w:t>
          </w:r>
          <w:r>
            <w:rPr>
              <w:rFonts w:ascii="微软雅黑" w:hAnsi="微软雅黑" w:eastAsia="微软雅黑" w:cs="微软雅黑"/>
              <w:color w:val="231F20"/>
              <w:spacing w:val="-13"/>
              <w:sz w:val="22"/>
              <w:szCs w:val="22"/>
            </w:rPr>
            <w:t xml:space="preserve">年 服 务 业 和 制 造 业 实 际 使 用 外 资 情 况 </w:t>
          </w:r>
          <w:r>
            <w:rPr>
              <w:rFonts w:ascii="微软雅黑" w:hAnsi="微软雅黑" w:eastAsia="微软雅黑" w:cs="微软雅黑"/>
              <w:color w:val="231F20"/>
              <w:spacing w:val="-13"/>
              <w:sz w:val="22"/>
              <w:szCs w:val="22"/>
            </w:rPr>
            <w:fldChar w:fldCharType="end"/>
          </w:r>
          <w:r>
            <w:rPr>
              <w:rFonts w:ascii="微软雅黑" w:hAnsi="微软雅黑" w:eastAsia="微软雅黑" w:cs="微软雅黑"/>
              <w:sz w:val="22"/>
              <w:szCs w:val="22"/>
            </w:rPr>
            <w:tab/>
          </w:r>
          <w:r>
            <w:fldChar w:fldCharType="begin"/>
          </w:r>
          <w:r>
            <w:instrText xml:space="preserve"> HYPERLINK \l "_bookmark92" </w:instrText>
          </w:r>
          <w:r>
            <w:fldChar w:fldCharType="separate"/>
          </w:r>
          <w:r>
            <w:rPr>
              <w:rFonts w:ascii="Times New Roman" w:hAnsi="Times New Roman" w:eastAsia="Times New Roman" w:cs="Times New Roman"/>
              <w:color w:val="231F20"/>
              <w:spacing w:val="-13"/>
              <w:sz w:val="22"/>
              <w:szCs w:val="22"/>
            </w:rPr>
            <w:t>9</w:t>
          </w:r>
          <w:r>
            <w:rPr>
              <w:rFonts w:ascii="Times New Roman" w:hAnsi="Times New Roman" w:eastAsia="Times New Roman" w:cs="Times New Roman"/>
              <w:color w:val="231F20"/>
              <w:spacing w:val="-13"/>
              <w:sz w:val="22"/>
              <w:szCs w:val="22"/>
            </w:rPr>
            <w:fldChar w:fldCharType="end"/>
          </w:r>
        </w:p>
        <w:p>
          <w:pPr>
            <w:tabs>
              <w:tab w:val="right" w:leader="dot" w:pos="10280"/>
            </w:tabs>
            <w:spacing w:before="130" w:line="202" w:lineRule="auto"/>
            <w:ind w:left="1992"/>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2"/>
              <w:sz w:val="22"/>
              <w:szCs w:val="22"/>
            </w:rPr>
            <w:t>图</w:t>
          </w:r>
          <w:r>
            <w:rPr>
              <w:rFonts w:ascii="微软雅黑" w:hAnsi="微软雅黑" w:eastAsia="微软雅黑" w:cs="微软雅黑"/>
              <w:color w:val="231F20"/>
              <w:spacing w:val="1"/>
              <w:sz w:val="22"/>
              <w:szCs w:val="22"/>
            </w:rPr>
            <w:t xml:space="preserve"> </w:t>
          </w:r>
          <w:r>
            <w:rPr>
              <w:rFonts w:ascii="Times New Roman" w:hAnsi="Times New Roman" w:eastAsia="Times New Roman" w:cs="Times New Roman"/>
              <w:color w:val="231F20"/>
              <w:spacing w:val="1"/>
              <w:sz w:val="22"/>
              <w:szCs w:val="22"/>
            </w:rPr>
            <w:t xml:space="preserve">1-6 2021 </w:t>
          </w:r>
          <w:r>
            <w:rPr>
              <w:rFonts w:ascii="微软雅黑" w:hAnsi="微软雅黑" w:eastAsia="微软雅黑" w:cs="微软雅黑"/>
              <w:color w:val="231F20"/>
              <w:spacing w:val="1"/>
              <w:sz w:val="22"/>
              <w:szCs w:val="22"/>
            </w:rPr>
            <w:t>年细分行业外商投资占比情况</w:t>
          </w:r>
          <w:r>
            <w:rPr>
              <w:rFonts w:ascii="微软雅黑" w:hAnsi="微软雅黑" w:eastAsia="微软雅黑" w:cs="微软雅黑"/>
              <w:color w:val="231F20"/>
              <w:spacing w:val="1"/>
              <w:sz w:val="22"/>
              <w:szCs w:val="22"/>
            </w:rPr>
            <w:fldChar w:fldCharType="end"/>
          </w:r>
          <w:r>
            <w:rPr>
              <w:rFonts w:ascii="微软雅黑" w:hAnsi="微软雅黑" w:eastAsia="微软雅黑" w:cs="微软雅黑"/>
              <w:sz w:val="22"/>
              <w:szCs w:val="22"/>
            </w:rPr>
            <w:tab/>
          </w:r>
          <w:r>
            <w:rPr>
              <w:rFonts w:ascii="微软雅黑" w:hAnsi="微软雅黑" w:eastAsia="微软雅黑" w:cs="微软雅黑"/>
              <w:color w:val="231F20"/>
              <w:spacing w:val="1"/>
              <w:sz w:val="22"/>
              <w:szCs w:val="22"/>
            </w:rPr>
            <w:t xml:space="preserve"> </w:t>
          </w:r>
          <w:r>
            <w:fldChar w:fldCharType="begin"/>
          </w:r>
          <w:r>
            <w:instrText xml:space="preserve"> HYPERLINK \l "_bookmark93" </w:instrText>
          </w:r>
          <w:r>
            <w:fldChar w:fldCharType="separate"/>
          </w:r>
          <w:r>
            <w:rPr>
              <w:rFonts w:ascii="Times New Roman" w:hAnsi="Times New Roman" w:eastAsia="Times New Roman" w:cs="Times New Roman"/>
              <w:color w:val="231F20"/>
              <w:spacing w:val="1"/>
              <w:sz w:val="22"/>
              <w:szCs w:val="22"/>
            </w:rPr>
            <w:t>1</w:t>
          </w:r>
          <w:r>
            <w:rPr>
              <w:rFonts w:ascii="Times New Roman" w:hAnsi="Times New Roman" w:eastAsia="Times New Roman" w:cs="Times New Roman"/>
              <w:color w:val="231F20"/>
              <w:spacing w:val="1"/>
              <w:sz w:val="22"/>
              <w:szCs w:val="22"/>
            </w:rPr>
            <w:fldChar w:fldCharType="end"/>
          </w:r>
          <w:r>
            <w:rPr>
              <w:rFonts w:ascii="Times New Roman" w:hAnsi="Times New Roman" w:eastAsia="Times New Roman" w:cs="Times New Roman"/>
              <w:color w:val="231F20"/>
              <w:spacing w:val="1"/>
              <w:sz w:val="22"/>
              <w:szCs w:val="22"/>
            </w:rPr>
            <w:t>0</w:t>
          </w:r>
        </w:p>
        <w:p>
          <w:pPr>
            <w:tabs>
              <w:tab w:val="right" w:leader="dot" w:pos="10280"/>
            </w:tabs>
            <w:spacing w:before="128" w:line="202" w:lineRule="auto"/>
            <w:ind w:left="1991"/>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4"/>
              <w:sz w:val="22"/>
              <w:szCs w:val="22"/>
            </w:rPr>
            <w:t xml:space="preserve">图 </w:t>
          </w:r>
          <w:r>
            <w:rPr>
              <w:rFonts w:ascii="Times New Roman" w:hAnsi="Times New Roman" w:eastAsia="Times New Roman" w:cs="Times New Roman"/>
              <w:color w:val="231F20"/>
              <w:spacing w:val="4"/>
              <w:sz w:val="22"/>
              <w:szCs w:val="22"/>
            </w:rPr>
            <w:t>1</w:t>
          </w:r>
          <w:r>
            <w:rPr>
              <w:rFonts w:ascii="Times New Roman" w:hAnsi="Times New Roman" w:eastAsia="Times New Roman" w:cs="Times New Roman"/>
              <w:color w:val="231F20"/>
              <w:spacing w:val="2"/>
              <w:sz w:val="22"/>
              <w:szCs w:val="22"/>
            </w:rPr>
            <w:t xml:space="preserve">-7  2019-2021 </w:t>
          </w:r>
          <w:r>
            <w:rPr>
              <w:rFonts w:ascii="微软雅黑" w:hAnsi="微软雅黑" w:eastAsia="微软雅黑" w:cs="微软雅黑"/>
              <w:color w:val="231F20"/>
              <w:spacing w:val="2"/>
              <w:sz w:val="22"/>
              <w:szCs w:val="22"/>
            </w:rPr>
            <w:t>年高技术产业实际使用外资情况</w:t>
          </w:r>
          <w:r>
            <w:rPr>
              <w:rFonts w:ascii="微软雅黑" w:hAnsi="微软雅黑" w:eastAsia="微软雅黑" w:cs="微软雅黑"/>
              <w:color w:val="231F20"/>
              <w:spacing w:val="2"/>
              <w:sz w:val="22"/>
              <w:szCs w:val="22"/>
            </w:rPr>
            <w:fldChar w:fldCharType="end"/>
          </w:r>
          <w:r>
            <w:rPr>
              <w:rFonts w:ascii="微软雅黑" w:hAnsi="微软雅黑" w:eastAsia="微软雅黑" w:cs="微软雅黑"/>
              <w:sz w:val="22"/>
              <w:szCs w:val="22"/>
            </w:rPr>
            <w:tab/>
          </w:r>
          <w:r>
            <w:rPr>
              <w:rFonts w:ascii="微软雅黑" w:hAnsi="微软雅黑" w:eastAsia="微软雅黑" w:cs="微软雅黑"/>
              <w:color w:val="231F20"/>
              <w:spacing w:val="2"/>
              <w:sz w:val="22"/>
              <w:szCs w:val="22"/>
            </w:rPr>
            <w:t xml:space="preserve"> </w:t>
          </w:r>
          <w:r>
            <w:fldChar w:fldCharType="begin"/>
          </w:r>
          <w:r>
            <w:instrText xml:space="preserve"> HYPERLINK \l "_bookmark94" </w:instrText>
          </w:r>
          <w:r>
            <w:fldChar w:fldCharType="separate"/>
          </w:r>
          <w:r>
            <w:rPr>
              <w:rFonts w:ascii="Times New Roman" w:hAnsi="Times New Roman" w:eastAsia="Times New Roman" w:cs="Times New Roman"/>
              <w:color w:val="231F20"/>
              <w:spacing w:val="2"/>
              <w:sz w:val="22"/>
              <w:szCs w:val="22"/>
            </w:rPr>
            <w:t>1</w:t>
          </w:r>
          <w:r>
            <w:rPr>
              <w:rFonts w:ascii="Times New Roman" w:hAnsi="Times New Roman" w:eastAsia="Times New Roman" w:cs="Times New Roman"/>
              <w:color w:val="231F20"/>
              <w:spacing w:val="2"/>
              <w:sz w:val="22"/>
              <w:szCs w:val="22"/>
            </w:rPr>
            <w:fldChar w:fldCharType="end"/>
          </w:r>
          <w:r>
            <w:rPr>
              <w:rFonts w:ascii="Times New Roman" w:hAnsi="Times New Roman" w:eastAsia="Times New Roman" w:cs="Times New Roman"/>
              <w:color w:val="231F20"/>
              <w:spacing w:val="2"/>
              <w:sz w:val="22"/>
              <w:szCs w:val="22"/>
            </w:rPr>
            <w:t>2</w:t>
          </w:r>
        </w:p>
        <w:p>
          <w:pPr>
            <w:tabs>
              <w:tab w:val="right" w:leader="dot" w:pos="10280"/>
            </w:tabs>
            <w:spacing w:before="130" w:line="201" w:lineRule="auto"/>
            <w:ind w:left="1991"/>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4"/>
              <w:sz w:val="22"/>
              <w:szCs w:val="22"/>
            </w:rPr>
            <w:t>图</w:t>
          </w:r>
          <w:r>
            <w:rPr>
              <w:rFonts w:ascii="微软雅黑" w:hAnsi="微软雅黑" w:eastAsia="微软雅黑" w:cs="微软雅黑"/>
              <w:color w:val="231F20"/>
              <w:spacing w:val="3"/>
              <w:sz w:val="22"/>
              <w:szCs w:val="22"/>
            </w:rPr>
            <w:t xml:space="preserve"> </w:t>
          </w:r>
          <w:r>
            <w:rPr>
              <w:rFonts w:ascii="Times New Roman" w:hAnsi="Times New Roman" w:eastAsia="Times New Roman" w:cs="Times New Roman"/>
              <w:color w:val="231F20"/>
              <w:spacing w:val="2"/>
              <w:sz w:val="22"/>
              <w:szCs w:val="22"/>
            </w:rPr>
            <w:t xml:space="preserve">1-8  2019-2021 </w:t>
          </w:r>
          <w:r>
            <w:rPr>
              <w:rFonts w:ascii="微软雅黑" w:hAnsi="微软雅黑" w:eastAsia="微软雅黑" w:cs="微软雅黑"/>
              <w:color w:val="231F20"/>
              <w:spacing w:val="2"/>
              <w:sz w:val="22"/>
              <w:szCs w:val="22"/>
            </w:rPr>
            <w:t>年外资大项目数量情况</w:t>
          </w:r>
          <w:r>
            <w:rPr>
              <w:rFonts w:ascii="微软雅黑" w:hAnsi="微软雅黑" w:eastAsia="微软雅黑" w:cs="微软雅黑"/>
              <w:color w:val="231F20"/>
              <w:spacing w:val="2"/>
              <w:sz w:val="22"/>
              <w:szCs w:val="22"/>
            </w:rPr>
            <w:fldChar w:fldCharType="end"/>
          </w:r>
          <w:r>
            <w:rPr>
              <w:rFonts w:ascii="微软雅黑" w:hAnsi="微软雅黑" w:eastAsia="微软雅黑" w:cs="微软雅黑"/>
              <w:sz w:val="22"/>
              <w:szCs w:val="22"/>
            </w:rPr>
            <w:tab/>
          </w:r>
          <w:r>
            <w:rPr>
              <w:rFonts w:ascii="微软雅黑" w:hAnsi="微软雅黑" w:eastAsia="微软雅黑" w:cs="微软雅黑"/>
              <w:color w:val="231F20"/>
              <w:spacing w:val="2"/>
              <w:sz w:val="22"/>
              <w:szCs w:val="22"/>
            </w:rPr>
            <w:t xml:space="preserve"> </w:t>
          </w:r>
          <w:r>
            <w:fldChar w:fldCharType="begin"/>
          </w:r>
          <w:r>
            <w:instrText xml:space="preserve"> HYPERLINK \l "_bookmark95" </w:instrText>
          </w:r>
          <w:r>
            <w:fldChar w:fldCharType="separate"/>
          </w:r>
          <w:r>
            <w:rPr>
              <w:rFonts w:ascii="Times New Roman" w:hAnsi="Times New Roman" w:eastAsia="Times New Roman" w:cs="Times New Roman"/>
              <w:color w:val="231F20"/>
              <w:spacing w:val="2"/>
              <w:sz w:val="22"/>
              <w:szCs w:val="22"/>
            </w:rPr>
            <w:t>1</w:t>
          </w:r>
          <w:r>
            <w:rPr>
              <w:rFonts w:ascii="Times New Roman" w:hAnsi="Times New Roman" w:eastAsia="Times New Roman" w:cs="Times New Roman"/>
              <w:color w:val="231F20"/>
              <w:spacing w:val="2"/>
              <w:sz w:val="22"/>
              <w:szCs w:val="22"/>
            </w:rPr>
            <w:fldChar w:fldCharType="end"/>
          </w:r>
          <w:r>
            <w:rPr>
              <w:rFonts w:ascii="Times New Roman" w:hAnsi="Times New Roman" w:eastAsia="Times New Roman" w:cs="Times New Roman"/>
              <w:color w:val="231F20"/>
              <w:spacing w:val="2"/>
              <w:sz w:val="22"/>
              <w:szCs w:val="22"/>
            </w:rPr>
            <w:t>3</w:t>
          </w:r>
        </w:p>
        <w:p>
          <w:pPr>
            <w:tabs>
              <w:tab w:val="right" w:leader="dot" w:pos="10280"/>
            </w:tabs>
            <w:spacing w:before="131" w:line="202" w:lineRule="auto"/>
            <w:ind w:left="1991"/>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12"/>
              <w:sz w:val="22"/>
              <w:szCs w:val="22"/>
            </w:rPr>
            <w:t>图</w:t>
          </w:r>
          <w:r>
            <w:rPr>
              <w:rFonts w:ascii="微软雅黑" w:hAnsi="微软雅黑" w:eastAsia="微软雅黑" w:cs="微软雅黑"/>
              <w:color w:val="231F20"/>
              <w:spacing w:val="-11"/>
              <w:sz w:val="22"/>
              <w:szCs w:val="22"/>
            </w:rPr>
            <w:t xml:space="preserve"> </w:t>
          </w:r>
          <w:r>
            <w:rPr>
              <w:rFonts w:ascii="Times New Roman" w:hAnsi="Times New Roman" w:eastAsia="Times New Roman" w:cs="Times New Roman"/>
              <w:color w:val="231F20"/>
              <w:spacing w:val="-11"/>
              <w:sz w:val="22"/>
              <w:szCs w:val="22"/>
            </w:rPr>
            <w:t xml:space="preserve">1-9 2019-2021 </w:t>
          </w:r>
          <w:r>
            <w:rPr>
              <w:rFonts w:ascii="微软雅黑" w:hAnsi="微软雅黑" w:eastAsia="微软雅黑" w:cs="微软雅黑"/>
              <w:color w:val="231F20"/>
              <w:spacing w:val="-11"/>
              <w:sz w:val="22"/>
              <w:szCs w:val="22"/>
            </w:rPr>
            <w:t xml:space="preserve">年 规 模 以 上 外 资 工 业 企 业 经 营 情 况 </w:t>
          </w:r>
          <w:r>
            <w:rPr>
              <w:rFonts w:ascii="微软雅黑" w:hAnsi="微软雅黑" w:eastAsia="微软雅黑" w:cs="微软雅黑"/>
              <w:color w:val="231F20"/>
              <w:spacing w:val="-11"/>
              <w:sz w:val="22"/>
              <w:szCs w:val="22"/>
            </w:rPr>
            <w:fldChar w:fldCharType="end"/>
          </w:r>
          <w:r>
            <w:rPr>
              <w:rFonts w:ascii="微软雅黑" w:hAnsi="微软雅黑" w:eastAsia="微软雅黑" w:cs="微软雅黑"/>
              <w:sz w:val="22"/>
              <w:szCs w:val="22"/>
            </w:rPr>
            <w:tab/>
          </w:r>
          <w:r>
            <w:rPr>
              <w:rFonts w:ascii="微软雅黑" w:hAnsi="微软雅黑" w:eastAsia="微软雅黑" w:cs="微软雅黑"/>
              <w:color w:val="231F20"/>
              <w:spacing w:val="-11"/>
              <w:sz w:val="22"/>
              <w:szCs w:val="22"/>
            </w:rPr>
            <w:t xml:space="preserve"> </w:t>
          </w:r>
          <w:r>
            <w:fldChar w:fldCharType="begin"/>
          </w:r>
          <w:r>
            <w:instrText xml:space="preserve"> HYPERLINK \l "_bookmark96" </w:instrText>
          </w:r>
          <w:r>
            <w:fldChar w:fldCharType="separate"/>
          </w:r>
          <w:r>
            <w:rPr>
              <w:rFonts w:ascii="Times New Roman" w:hAnsi="Times New Roman" w:eastAsia="Times New Roman" w:cs="Times New Roman"/>
              <w:color w:val="231F20"/>
              <w:spacing w:val="-11"/>
              <w:sz w:val="22"/>
              <w:szCs w:val="22"/>
            </w:rPr>
            <w:t>1</w:t>
          </w:r>
          <w:r>
            <w:rPr>
              <w:rFonts w:ascii="Times New Roman" w:hAnsi="Times New Roman" w:eastAsia="Times New Roman" w:cs="Times New Roman"/>
              <w:color w:val="231F20"/>
              <w:spacing w:val="-11"/>
              <w:sz w:val="22"/>
              <w:szCs w:val="22"/>
            </w:rPr>
            <w:fldChar w:fldCharType="end"/>
          </w:r>
          <w:r>
            <w:rPr>
              <w:rFonts w:ascii="Times New Roman" w:hAnsi="Times New Roman" w:eastAsia="Times New Roman" w:cs="Times New Roman"/>
              <w:color w:val="231F20"/>
              <w:spacing w:val="-11"/>
              <w:sz w:val="22"/>
              <w:szCs w:val="22"/>
            </w:rPr>
            <w:t>4</w:t>
          </w:r>
        </w:p>
        <w:p>
          <w:pPr>
            <w:tabs>
              <w:tab w:val="right" w:leader="dot" w:pos="10285"/>
            </w:tabs>
            <w:spacing w:before="128" w:line="202" w:lineRule="auto"/>
            <w:ind w:left="1991"/>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14"/>
              <w:sz w:val="22"/>
              <w:szCs w:val="22"/>
            </w:rPr>
            <w:t xml:space="preserve">图 </w:t>
          </w:r>
          <w:r>
            <w:rPr>
              <w:rFonts w:ascii="Times New Roman" w:hAnsi="Times New Roman" w:eastAsia="Times New Roman" w:cs="Times New Roman"/>
              <w:color w:val="231F20"/>
              <w:spacing w:val="9"/>
              <w:sz w:val="22"/>
              <w:szCs w:val="22"/>
            </w:rPr>
            <w:t>2</w:t>
          </w:r>
          <w:r>
            <w:rPr>
              <w:rFonts w:ascii="Times New Roman" w:hAnsi="Times New Roman" w:eastAsia="Times New Roman" w:cs="Times New Roman"/>
              <w:color w:val="231F20"/>
              <w:spacing w:val="7"/>
              <w:sz w:val="22"/>
              <w:szCs w:val="22"/>
            </w:rPr>
            <w:t xml:space="preserve">-1 2016-2020 </w:t>
          </w:r>
          <w:r>
            <w:rPr>
              <w:rFonts w:ascii="微软雅黑" w:hAnsi="微软雅黑" w:eastAsia="微软雅黑" w:cs="微软雅黑"/>
              <w:color w:val="231F20"/>
              <w:spacing w:val="7"/>
              <w:sz w:val="22"/>
              <w:szCs w:val="22"/>
            </w:rPr>
            <w:t>年规模以上医药企业营收利润率情况</w:t>
          </w:r>
          <w:r>
            <w:rPr>
              <w:rFonts w:ascii="微软雅黑" w:hAnsi="微软雅黑" w:eastAsia="微软雅黑" w:cs="微软雅黑"/>
              <w:color w:val="231F20"/>
              <w:spacing w:val="7"/>
              <w:sz w:val="22"/>
              <w:szCs w:val="22"/>
            </w:rPr>
            <w:fldChar w:fldCharType="end"/>
          </w:r>
          <w:r>
            <w:rPr>
              <w:rFonts w:ascii="微软雅黑" w:hAnsi="微软雅黑" w:eastAsia="微软雅黑" w:cs="微软雅黑"/>
              <w:sz w:val="22"/>
              <w:szCs w:val="22"/>
            </w:rPr>
            <w:tab/>
          </w:r>
          <w:r>
            <w:fldChar w:fldCharType="begin"/>
          </w:r>
          <w:r>
            <w:instrText xml:space="preserve"> HYPERLINK \l "_bookmark97" </w:instrText>
          </w:r>
          <w:r>
            <w:fldChar w:fldCharType="separate"/>
          </w:r>
          <w:r>
            <w:rPr>
              <w:rFonts w:ascii="Times New Roman" w:hAnsi="Times New Roman" w:eastAsia="Times New Roman" w:cs="Times New Roman"/>
              <w:color w:val="231F20"/>
              <w:spacing w:val="7"/>
              <w:sz w:val="22"/>
              <w:szCs w:val="22"/>
            </w:rPr>
            <w:t>3</w:t>
          </w:r>
          <w:r>
            <w:rPr>
              <w:rFonts w:ascii="Times New Roman" w:hAnsi="Times New Roman" w:eastAsia="Times New Roman" w:cs="Times New Roman"/>
              <w:color w:val="231F20"/>
              <w:spacing w:val="7"/>
              <w:sz w:val="22"/>
              <w:szCs w:val="22"/>
            </w:rPr>
            <w:fldChar w:fldCharType="end"/>
          </w:r>
          <w:r>
            <w:rPr>
              <w:rFonts w:ascii="Times New Roman" w:hAnsi="Times New Roman" w:eastAsia="Times New Roman" w:cs="Times New Roman"/>
              <w:color w:val="231F20"/>
              <w:spacing w:val="7"/>
              <w:sz w:val="22"/>
              <w:szCs w:val="22"/>
            </w:rPr>
            <w:t>3</w:t>
          </w:r>
        </w:p>
        <w:p>
          <w:pPr>
            <w:tabs>
              <w:tab w:val="right" w:leader="dot" w:pos="10285"/>
            </w:tabs>
            <w:spacing w:before="129" w:line="202" w:lineRule="auto"/>
            <w:ind w:left="1996"/>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12"/>
              <w:sz w:val="22"/>
              <w:szCs w:val="22"/>
            </w:rPr>
            <w:t xml:space="preserve">图 </w:t>
          </w:r>
          <w:r>
            <w:rPr>
              <w:rFonts w:ascii="Times New Roman" w:hAnsi="Times New Roman" w:eastAsia="Times New Roman" w:cs="Times New Roman"/>
              <w:color w:val="231F20"/>
              <w:spacing w:val="12"/>
              <w:sz w:val="22"/>
              <w:szCs w:val="22"/>
            </w:rPr>
            <w:t>2</w:t>
          </w:r>
          <w:r>
            <w:rPr>
              <w:rFonts w:ascii="Times New Roman" w:hAnsi="Times New Roman" w:eastAsia="Times New Roman" w:cs="Times New Roman"/>
              <w:color w:val="231F20"/>
              <w:spacing w:val="11"/>
              <w:sz w:val="22"/>
              <w:szCs w:val="22"/>
            </w:rPr>
            <w:t>-</w:t>
          </w:r>
          <w:r>
            <w:rPr>
              <w:rFonts w:ascii="Times New Roman" w:hAnsi="Times New Roman" w:eastAsia="Times New Roman" w:cs="Times New Roman"/>
              <w:color w:val="231F20"/>
              <w:spacing w:val="6"/>
              <w:sz w:val="22"/>
              <w:szCs w:val="22"/>
            </w:rPr>
            <w:t xml:space="preserve">2 2016-2020 </w:t>
          </w:r>
          <w:r>
            <w:rPr>
              <w:rFonts w:ascii="微软雅黑" w:hAnsi="微软雅黑" w:eastAsia="微软雅黑" w:cs="微软雅黑"/>
              <w:color w:val="231F20"/>
              <w:spacing w:val="6"/>
              <w:sz w:val="22"/>
              <w:szCs w:val="22"/>
            </w:rPr>
            <w:t>年规模以上医药制造企业人均营业收入变化情况</w:t>
          </w:r>
          <w:r>
            <w:rPr>
              <w:rFonts w:ascii="微软雅黑" w:hAnsi="微软雅黑" w:eastAsia="微软雅黑" w:cs="微软雅黑"/>
              <w:color w:val="231F20"/>
              <w:spacing w:val="6"/>
              <w:sz w:val="22"/>
              <w:szCs w:val="22"/>
            </w:rPr>
            <w:fldChar w:fldCharType="end"/>
          </w:r>
          <w:r>
            <w:rPr>
              <w:rFonts w:ascii="微软雅黑" w:hAnsi="微软雅黑" w:eastAsia="微软雅黑" w:cs="微软雅黑"/>
              <w:sz w:val="22"/>
              <w:szCs w:val="22"/>
            </w:rPr>
            <w:tab/>
          </w:r>
          <w:r>
            <w:fldChar w:fldCharType="begin"/>
          </w:r>
          <w:r>
            <w:instrText xml:space="preserve"> HYPERLINK \l "_bookmark98" </w:instrText>
          </w:r>
          <w:r>
            <w:fldChar w:fldCharType="separate"/>
          </w:r>
          <w:r>
            <w:rPr>
              <w:rFonts w:ascii="Times New Roman" w:hAnsi="Times New Roman" w:eastAsia="Times New Roman" w:cs="Times New Roman"/>
              <w:color w:val="231F20"/>
              <w:spacing w:val="6"/>
              <w:sz w:val="22"/>
              <w:szCs w:val="22"/>
            </w:rPr>
            <w:t>3</w:t>
          </w:r>
          <w:r>
            <w:rPr>
              <w:rFonts w:ascii="Times New Roman" w:hAnsi="Times New Roman" w:eastAsia="Times New Roman" w:cs="Times New Roman"/>
              <w:color w:val="231F20"/>
              <w:spacing w:val="6"/>
              <w:sz w:val="22"/>
              <w:szCs w:val="22"/>
            </w:rPr>
            <w:fldChar w:fldCharType="end"/>
          </w:r>
          <w:r>
            <w:rPr>
              <w:rFonts w:ascii="Times New Roman" w:hAnsi="Times New Roman" w:eastAsia="Times New Roman" w:cs="Times New Roman"/>
              <w:color w:val="231F20"/>
              <w:spacing w:val="6"/>
              <w:sz w:val="22"/>
              <w:szCs w:val="22"/>
            </w:rPr>
            <w:t>3</w:t>
          </w:r>
        </w:p>
        <w:p>
          <w:pPr>
            <w:tabs>
              <w:tab w:val="right" w:leader="dot" w:pos="10283"/>
            </w:tabs>
            <w:spacing w:before="129" w:line="201" w:lineRule="auto"/>
            <w:ind w:left="1995"/>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8"/>
              <w:sz w:val="22"/>
              <w:szCs w:val="22"/>
            </w:rPr>
            <w:t xml:space="preserve">图 </w:t>
          </w:r>
          <w:r>
            <w:rPr>
              <w:rFonts w:ascii="Times New Roman" w:hAnsi="Times New Roman" w:eastAsia="Times New Roman" w:cs="Times New Roman"/>
              <w:color w:val="231F20"/>
              <w:spacing w:val="6"/>
              <w:sz w:val="22"/>
              <w:szCs w:val="22"/>
            </w:rPr>
            <w:t>2</w:t>
          </w:r>
          <w:r>
            <w:rPr>
              <w:rFonts w:ascii="Times New Roman" w:hAnsi="Times New Roman" w:eastAsia="Times New Roman" w:cs="Times New Roman"/>
              <w:color w:val="231F20"/>
              <w:spacing w:val="4"/>
              <w:sz w:val="22"/>
              <w:szCs w:val="22"/>
            </w:rPr>
            <w:t xml:space="preserve">-3 2012-2020 </w:t>
          </w:r>
          <w:r>
            <w:rPr>
              <w:rFonts w:ascii="微软雅黑" w:hAnsi="微软雅黑" w:eastAsia="微软雅黑" w:cs="微软雅黑"/>
              <w:color w:val="231F20"/>
              <w:spacing w:val="4"/>
              <w:sz w:val="22"/>
              <w:szCs w:val="22"/>
            </w:rPr>
            <w:t>年规模以上外资计算机、通信和其他电子设备制造企业数量</w:t>
          </w:r>
          <w:r>
            <w:rPr>
              <w:rFonts w:ascii="微软雅黑" w:hAnsi="微软雅黑" w:eastAsia="微软雅黑" w:cs="微软雅黑"/>
              <w:color w:val="231F20"/>
              <w:spacing w:val="4"/>
              <w:sz w:val="22"/>
              <w:szCs w:val="22"/>
            </w:rPr>
            <w:fldChar w:fldCharType="end"/>
          </w:r>
          <w:r>
            <w:rPr>
              <w:rFonts w:ascii="微软雅黑" w:hAnsi="微软雅黑" w:eastAsia="微软雅黑" w:cs="微软雅黑"/>
              <w:sz w:val="22"/>
              <w:szCs w:val="22"/>
            </w:rPr>
            <w:tab/>
          </w:r>
          <w:r>
            <w:rPr>
              <w:rFonts w:ascii="微软雅黑" w:hAnsi="微软雅黑" w:eastAsia="微软雅黑" w:cs="微软雅黑"/>
              <w:color w:val="231F20"/>
              <w:spacing w:val="4"/>
              <w:sz w:val="22"/>
              <w:szCs w:val="22"/>
            </w:rPr>
            <w:t xml:space="preserve"> </w:t>
          </w:r>
          <w:r>
            <w:fldChar w:fldCharType="begin"/>
          </w:r>
          <w:r>
            <w:instrText xml:space="preserve"> HYPERLINK \l "_bookmark99" </w:instrText>
          </w:r>
          <w:r>
            <w:fldChar w:fldCharType="separate"/>
          </w:r>
          <w:r>
            <w:rPr>
              <w:rFonts w:ascii="Times New Roman" w:hAnsi="Times New Roman" w:eastAsia="Times New Roman" w:cs="Times New Roman"/>
              <w:color w:val="231F20"/>
              <w:spacing w:val="4"/>
              <w:sz w:val="22"/>
              <w:szCs w:val="22"/>
            </w:rPr>
            <w:t>3</w:t>
          </w:r>
          <w:r>
            <w:rPr>
              <w:rFonts w:ascii="Times New Roman" w:hAnsi="Times New Roman" w:eastAsia="Times New Roman" w:cs="Times New Roman"/>
              <w:color w:val="231F20"/>
              <w:spacing w:val="4"/>
              <w:sz w:val="22"/>
              <w:szCs w:val="22"/>
            </w:rPr>
            <w:fldChar w:fldCharType="end"/>
          </w:r>
          <w:r>
            <w:rPr>
              <w:rFonts w:ascii="Times New Roman" w:hAnsi="Times New Roman" w:eastAsia="Times New Roman" w:cs="Times New Roman"/>
              <w:color w:val="231F20"/>
              <w:spacing w:val="4"/>
              <w:sz w:val="22"/>
              <w:szCs w:val="22"/>
            </w:rPr>
            <w:t>7</w:t>
          </w:r>
        </w:p>
        <w:p>
          <w:pPr>
            <w:tabs>
              <w:tab w:val="right" w:leader="dot" w:pos="10281"/>
            </w:tabs>
            <w:spacing w:before="131" w:line="202" w:lineRule="auto"/>
            <w:ind w:left="1993"/>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6"/>
              <w:sz w:val="22"/>
              <w:szCs w:val="22"/>
            </w:rPr>
            <w:t xml:space="preserve">图 </w:t>
          </w:r>
          <w:r>
            <w:rPr>
              <w:rFonts w:ascii="Times New Roman" w:hAnsi="Times New Roman" w:eastAsia="Times New Roman" w:cs="Times New Roman"/>
              <w:color w:val="231F20"/>
              <w:spacing w:val="6"/>
              <w:sz w:val="22"/>
              <w:szCs w:val="22"/>
            </w:rPr>
            <w:t xml:space="preserve">2-4 </w:t>
          </w:r>
          <w:r>
            <w:rPr>
              <w:rFonts w:ascii="Times New Roman" w:hAnsi="Times New Roman" w:eastAsia="Times New Roman" w:cs="Times New Roman"/>
              <w:color w:val="231F20"/>
              <w:spacing w:val="5"/>
              <w:sz w:val="22"/>
              <w:szCs w:val="22"/>
            </w:rPr>
            <w:t xml:space="preserve"> </w:t>
          </w:r>
          <w:r>
            <w:rPr>
              <w:rFonts w:ascii="微软雅黑" w:hAnsi="微软雅黑" w:eastAsia="微软雅黑" w:cs="微软雅黑"/>
              <w:color w:val="231F20"/>
              <w:spacing w:val="3"/>
              <w:sz w:val="22"/>
              <w:szCs w:val="22"/>
            </w:rPr>
            <w:t>电子信息产业按登记注册类型分固定资产投资增长率</w:t>
          </w:r>
          <w:r>
            <w:rPr>
              <w:rFonts w:ascii="微软雅黑" w:hAnsi="微软雅黑" w:eastAsia="微软雅黑" w:cs="微软雅黑"/>
              <w:color w:val="231F20"/>
              <w:spacing w:val="3"/>
              <w:sz w:val="22"/>
              <w:szCs w:val="22"/>
            </w:rPr>
            <w:fldChar w:fldCharType="end"/>
          </w:r>
          <w:r>
            <w:rPr>
              <w:rFonts w:ascii="微软雅黑" w:hAnsi="微软雅黑" w:eastAsia="微软雅黑" w:cs="微软雅黑"/>
              <w:sz w:val="22"/>
              <w:szCs w:val="22"/>
            </w:rPr>
            <w:tab/>
          </w:r>
          <w:r>
            <w:fldChar w:fldCharType="begin"/>
          </w:r>
          <w:r>
            <w:instrText xml:space="preserve"> HYPERLINK \l "_bookmark100" </w:instrText>
          </w:r>
          <w:r>
            <w:fldChar w:fldCharType="separate"/>
          </w:r>
          <w:r>
            <w:rPr>
              <w:rFonts w:ascii="Times New Roman" w:hAnsi="Times New Roman" w:eastAsia="Times New Roman" w:cs="Times New Roman"/>
              <w:color w:val="231F20"/>
              <w:spacing w:val="3"/>
              <w:sz w:val="22"/>
              <w:szCs w:val="22"/>
            </w:rPr>
            <w:t>3</w:t>
          </w:r>
          <w:r>
            <w:rPr>
              <w:rFonts w:ascii="Times New Roman" w:hAnsi="Times New Roman" w:eastAsia="Times New Roman" w:cs="Times New Roman"/>
              <w:color w:val="231F20"/>
              <w:spacing w:val="3"/>
              <w:sz w:val="22"/>
              <w:szCs w:val="22"/>
            </w:rPr>
            <w:fldChar w:fldCharType="end"/>
          </w:r>
          <w:r>
            <w:rPr>
              <w:rFonts w:ascii="Times New Roman" w:hAnsi="Times New Roman" w:eastAsia="Times New Roman" w:cs="Times New Roman"/>
              <w:color w:val="231F20"/>
              <w:spacing w:val="3"/>
              <w:sz w:val="22"/>
              <w:szCs w:val="22"/>
            </w:rPr>
            <w:t>8</w:t>
          </w:r>
        </w:p>
        <w:p>
          <w:pPr>
            <w:tabs>
              <w:tab w:val="right" w:leader="dot" w:pos="10280"/>
            </w:tabs>
            <w:spacing w:before="129" w:line="202" w:lineRule="auto"/>
            <w:ind w:left="1992"/>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7"/>
              <w:sz w:val="22"/>
              <w:szCs w:val="22"/>
            </w:rPr>
            <w:t xml:space="preserve">图 </w:t>
          </w:r>
          <w:r>
            <w:rPr>
              <w:rFonts w:ascii="Times New Roman" w:hAnsi="Times New Roman" w:eastAsia="Times New Roman" w:cs="Times New Roman"/>
              <w:color w:val="231F20"/>
              <w:spacing w:val="7"/>
              <w:sz w:val="22"/>
              <w:szCs w:val="22"/>
            </w:rPr>
            <w:t xml:space="preserve">2-5 2016-2020 </w:t>
          </w:r>
          <w:r>
            <w:rPr>
              <w:rFonts w:ascii="微软雅黑" w:hAnsi="微软雅黑" w:eastAsia="微软雅黑" w:cs="微软雅黑"/>
              <w:color w:val="231F20"/>
              <w:spacing w:val="7"/>
              <w:sz w:val="22"/>
              <w:szCs w:val="22"/>
            </w:rPr>
            <w:t>年规模以上汽车制造企业营收利润率情况</w:t>
          </w:r>
          <w:r>
            <w:rPr>
              <w:rFonts w:ascii="微软雅黑" w:hAnsi="微软雅黑" w:eastAsia="微软雅黑" w:cs="微软雅黑"/>
              <w:color w:val="231F20"/>
              <w:spacing w:val="7"/>
              <w:sz w:val="22"/>
              <w:szCs w:val="22"/>
            </w:rPr>
            <w:fldChar w:fldCharType="end"/>
          </w:r>
          <w:r>
            <w:rPr>
              <w:rFonts w:ascii="微软雅黑" w:hAnsi="微软雅黑" w:eastAsia="微软雅黑" w:cs="微软雅黑"/>
              <w:sz w:val="22"/>
              <w:szCs w:val="22"/>
            </w:rPr>
            <w:tab/>
          </w:r>
          <w:r>
            <w:fldChar w:fldCharType="begin"/>
          </w:r>
          <w:r>
            <w:instrText xml:space="preserve"> HYPERLINK \l "_bookmark101" </w:instrText>
          </w:r>
          <w:r>
            <w:fldChar w:fldCharType="separate"/>
          </w:r>
          <w:r>
            <w:rPr>
              <w:rFonts w:ascii="Times New Roman" w:hAnsi="Times New Roman" w:eastAsia="Times New Roman" w:cs="Times New Roman"/>
              <w:color w:val="231F20"/>
              <w:spacing w:val="7"/>
              <w:sz w:val="22"/>
              <w:szCs w:val="22"/>
            </w:rPr>
            <w:t>4</w:t>
          </w:r>
          <w:r>
            <w:rPr>
              <w:rFonts w:ascii="Times New Roman" w:hAnsi="Times New Roman" w:eastAsia="Times New Roman" w:cs="Times New Roman"/>
              <w:color w:val="231F20"/>
              <w:spacing w:val="7"/>
              <w:sz w:val="22"/>
              <w:szCs w:val="22"/>
            </w:rPr>
            <w:fldChar w:fldCharType="end"/>
          </w:r>
          <w:r>
            <w:rPr>
              <w:rFonts w:ascii="Times New Roman" w:hAnsi="Times New Roman" w:eastAsia="Times New Roman" w:cs="Times New Roman"/>
              <w:color w:val="231F20"/>
              <w:spacing w:val="7"/>
              <w:sz w:val="22"/>
              <w:szCs w:val="22"/>
            </w:rPr>
            <w:t>3</w:t>
          </w:r>
        </w:p>
        <w:p>
          <w:pPr>
            <w:tabs>
              <w:tab w:val="right" w:leader="dot" w:pos="10279"/>
            </w:tabs>
            <w:spacing w:before="129" w:line="202" w:lineRule="auto"/>
            <w:ind w:left="1990"/>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2"/>
              <w:sz w:val="22"/>
              <w:szCs w:val="22"/>
            </w:rPr>
            <w:t xml:space="preserve">图 </w:t>
          </w:r>
          <w:r>
            <w:rPr>
              <w:rFonts w:ascii="Times New Roman" w:hAnsi="Times New Roman" w:eastAsia="Times New Roman" w:cs="Times New Roman"/>
              <w:color w:val="231F20"/>
              <w:spacing w:val="2"/>
              <w:sz w:val="22"/>
              <w:szCs w:val="22"/>
            </w:rPr>
            <w:t>2-6 2</w:t>
          </w:r>
          <w:r>
            <w:rPr>
              <w:rFonts w:ascii="Times New Roman" w:hAnsi="Times New Roman" w:eastAsia="Times New Roman" w:cs="Times New Roman"/>
              <w:color w:val="231F20"/>
              <w:spacing w:val="1"/>
              <w:sz w:val="22"/>
              <w:szCs w:val="22"/>
            </w:rPr>
            <w:t xml:space="preserve">016-2020 </w:t>
          </w:r>
          <w:r>
            <w:rPr>
              <w:rFonts w:ascii="微软雅黑" w:hAnsi="微软雅黑" w:eastAsia="微软雅黑" w:cs="微软雅黑"/>
              <w:color w:val="231F20"/>
              <w:spacing w:val="1"/>
              <w:sz w:val="22"/>
              <w:szCs w:val="22"/>
            </w:rPr>
            <w:t>年规模以上汽车制造企业人均营收情况</w:t>
          </w:r>
          <w:r>
            <w:rPr>
              <w:rFonts w:ascii="微软雅黑" w:hAnsi="微软雅黑" w:eastAsia="微软雅黑" w:cs="微软雅黑"/>
              <w:color w:val="231F20"/>
              <w:spacing w:val="1"/>
              <w:sz w:val="22"/>
              <w:szCs w:val="22"/>
            </w:rPr>
            <w:fldChar w:fldCharType="end"/>
          </w:r>
          <w:r>
            <w:rPr>
              <w:rFonts w:ascii="微软雅黑" w:hAnsi="微软雅黑" w:eastAsia="微软雅黑" w:cs="微软雅黑"/>
              <w:sz w:val="22"/>
              <w:szCs w:val="22"/>
            </w:rPr>
            <w:tab/>
          </w:r>
          <w:r>
            <w:fldChar w:fldCharType="begin"/>
          </w:r>
          <w:r>
            <w:instrText xml:space="preserve"> HYPERLINK \l "_bookmark102" </w:instrText>
          </w:r>
          <w:r>
            <w:fldChar w:fldCharType="separate"/>
          </w:r>
          <w:r>
            <w:rPr>
              <w:rFonts w:ascii="Times New Roman" w:hAnsi="Times New Roman" w:eastAsia="Times New Roman" w:cs="Times New Roman"/>
              <w:color w:val="231F20"/>
              <w:spacing w:val="1"/>
              <w:sz w:val="22"/>
              <w:szCs w:val="22"/>
            </w:rPr>
            <w:t>4</w:t>
          </w:r>
          <w:r>
            <w:rPr>
              <w:rFonts w:ascii="Times New Roman" w:hAnsi="Times New Roman" w:eastAsia="Times New Roman" w:cs="Times New Roman"/>
              <w:color w:val="231F20"/>
              <w:spacing w:val="1"/>
              <w:sz w:val="22"/>
              <w:szCs w:val="22"/>
            </w:rPr>
            <w:fldChar w:fldCharType="end"/>
          </w:r>
          <w:r>
            <w:rPr>
              <w:rFonts w:ascii="Times New Roman" w:hAnsi="Times New Roman" w:eastAsia="Times New Roman" w:cs="Times New Roman"/>
              <w:color w:val="231F20"/>
              <w:spacing w:val="1"/>
              <w:sz w:val="22"/>
              <w:szCs w:val="22"/>
            </w:rPr>
            <w:t>3</w:t>
          </w:r>
        </w:p>
        <w:p>
          <w:pPr>
            <w:tabs>
              <w:tab w:val="right" w:leader="dot" w:pos="10279"/>
            </w:tabs>
            <w:spacing w:before="130" w:line="202" w:lineRule="auto"/>
            <w:ind w:left="1989"/>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2"/>
              <w:sz w:val="22"/>
              <w:szCs w:val="22"/>
            </w:rPr>
            <w:t xml:space="preserve">图 </w:t>
          </w:r>
          <w:r>
            <w:rPr>
              <w:rFonts w:ascii="Times New Roman" w:hAnsi="Times New Roman" w:eastAsia="Times New Roman" w:cs="Times New Roman"/>
              <w:color w:val="231F20"/>
              <w:spacing w:val="-2"/>
              <w:sz w:val="22"/>
              <w:szCs w:val="22"/>
            </w:rPr>
            <w:t xml:space="preserve">2-7 2016-2020 </w:t>
          </w:r>
          <w:r>
            <w:rPr>
              <w:rFonts w:ascii="微软雅黑" w:hAnsi="微软雅黑" w:eastAsia="微软雅黑" w:cs="微软雅黑"/>
              <w:color w:val="231F20"/>
              <w:spacing w:val="-2"/>
              <w:sz w:val="22"/>
              <w:szCs w:val="22"/>
            </w:rPr>
            <w:t>年规模</w:t>
          </w:r>
          <w:r>
            <w:rPr>
              <w:rFonts w:ascii="微软雅黑" w:hAnsi="微软雅黑" w:eastAsia="微软雅黑" w:cs="微软雅黑"/>
              <w:color w:val="231F20"/>
              <w:spacing w:val="-1"/>
              <w:sz w:val="22"/>
              <w:szCs w:val="22"/>
            </w:rPr>
            <w:t>以上化学原料与化学制品制造业企业营收利润率情况</w:t>
          </w:r>
          <w:r>
            <w:rPr>
              <w:rFonts w:ascii="微软雅黑" w:hAnsi="微软雅黑" w:eastAsia="微软雅黑" w:cs="微软雅黑"/>
              <w:color w:val="231F20"/>
              <w:spacing w:val="-1"/>
              <w:sz w:val="22"/>
              <w:szCs w:val="22"/>
            </w:rPr>
            <w:fldChar w:fldCharType="end"/>
          </w:r>
          <w:r>
            <w:rPr>
              <w:rFonts w:ascii="微软雅黑" w:hAnsi="微软雅黑" w:eastAsia="微软雅黑" w:cs="微软雅黑"/>
              <w:sz w:val="22"/>
              <w:szCs w:val="22"/>
            </w:rPr>
            <w:tab/>
          </w:r>
          <w:r>
            <w:rPr>
              <w:rFonts w:ascii="微软雅黑" w:hAnsi="微软雅黑" w:eastAsia="微软雅黑" w:cs="微软雅黑"/>
              <w:color w:val="231F20"/>
              <w:spacing w:val="-1"/>
              <w:sz w:val="22"/>
              <w:szCs w:val="22"/>
            </w:rPr>
            <w:t xml:space="preserve"> </w:t>
          </w:r>
          <w:r>
            <w:fldChar w:fldCharType="begin"/>
          </w:r>
          <w:r>
            <w:instrText xml:space="preserve"> HYPERLINK \l "_bookmark103" </w:instrText>
          </w:r>
          <w:r>
            <w:fldChar w:fldCharType="separate"/>
          </w:r>
          <w:r>
            <w:rPr>
              <w:rFonts w:ascii="Times New Roman" w:hAnsi="Times New Roman" w:eastAsia="Times New Roman" w:cs="Times New Roman"/>
              <w:color w:val="231F20"/>
              <w:spacing w:val="-1"/>
              <w:sz w:val="22"/>
              <w:szCs w:val="22"/>
            </w:rPr>
            <w:t>4</w:t>
          </w:r>
          <w:r>
            <w:rPr>
              <w:rFonts w:ascii="Times New Roman" w:hAnsi="Times New Roman" w:eastAsia="Times New Roman" w:cs="Times New Roman"/>
              <w:color w:val="231F20"/>
              <w:spacing w:val="-1"/>
              <w:sz w:val="22"/>
              <w:szCs w:val="22"/>
            </w:rPr>
            <w:fldChar w:fldCharType="end"/>
          </w:r>
          <w:r>
            <w:rPr>
              <w:rFonts w:ascii="Times New Roman" w:hAnsi="Times New Roman" w:eastAsia="Times New Roman" w:cs="Times New Roman"/>
              <w:color w:val="231F20"/>
              <w:spacing w:val="-1"/>
              <w:sz w:val="22"/>
              <w:szCs w:val="22"/>
            </w:rPr>
            <w:t xml:space="preserve"> 1</w:t>
          </w:r>
        </w:p>
        <w:p>
          <w:pPr>
            <w:tabs>
              <w:tab w:val="right" w:leader="dot" w:pos="10279"/>
            </w:tabs>
            <w:spacing w:before="129" w:line="202" w:lineRule="auto"/>
            <w:ind w:left="1989"/>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12"/>
              <w:sz w:val="22"/>
              <w:szCs w:val="22"/>
            </w:rPr>
            <w:t xml:space="preserve">图 </w:t>
          </w:r>
          <w:r>
            <w:rPr>
              <w:rFonts w:ascii="Times New Roman" w:hAnsi="Times New Roman" w:eastAsia="Times New Roman" w:cs="Times New Roman"/>
              <w:color w:val="231F20"/>
              <w:spacing w:val="12"/>
              <w:sz w:val="22"/>
              <w:szCs w:val="22"/>
            </w:rPr>
            <w:t>2</w:t>
          </w:r>
          <w:r>
            <w:rPr>
              <w:rFonts w:ascii="Times New Roman" w:hAnsi="Times New Roman" w:eastAsia="Times New Roman" w:cs="Times New Roman"/>
              <w:color w:val="231F20"/>
              <w:spacing w:val="8"/>
              <w:sz w:val="22"/>
              <w:szCs w:val="22"/>
            </w:rPr>
            <w:t>-</w:t>
          </w:r>
          <w:r>
            <w:rPr>
              <w:rFonts w:ascii="Times New Roman" w:hAnsi="Times New Roman" w:eastAsia="Times New Roman" w:cs="Times New Roman"/>
              <w:color w:val="231F20"/>
              <w:spacing w:val="6"/>
              <w:sz w:val="22"/>
              <w:szCs w:val="22"/>
            </w:rPr>
            <w:t xml:space="preserve">8 2016-2020 </w:t>
          </w:r>
          <w:r>
            <w:rPr>
              <w:rFonts w:ascii="微软雅黑" w:hAnsi="微软雅黑" w:eastAsia="微软雅黑" w:cs="微软雅黑"/>
              <w:color w:val="231F20"/>
              <w:spacing w:val="6"/>
              <w:sz w:val="22"/>
              <w:szCs w:val="22"/>
            </w:rPr>
            <w:t>年外资化学原料与化学制品制造业企业人均营收情况</w:t>
          </w:r>
          <w:r>
            <w:rPr>
              <w:rFonts w:ascii="微软雅黑" w:hAnsi="微软雅黑" w:eastAsia="微软雅黑" w:cs="微软雅黑"/>
              <w:color w:val="231F20"/>
              <w:spacing w:val="6"/>
              <w:sz w:val="22"/>
              <w:szCs w:val="22"/>
            </w:rPr>
            <w:fldChar w:fldCharType="end"/>
          </w:r>
          <w:r>
            <w:rPr>
              <w:rFonts w:ascii="微软雅黑" w:hAnsi="微软雅黑" w:eastAsia="微软雅黑" w:cs="微软雅黑"/>
              <w:sz w:val="22"/>
              <w:szCs w:val="22"/>
            </w:rPr>
            <w:tab/>
          </w:r>
          <w:r>
            <w:fldChar w:fldCharType="begin"/>
          </w:r>
          <w:r>
            <w:instrText xml:space="preserve"> HYPERLINK \l "_bookmark104" </w:instrText>
          </w:r>
          <w:r>
            <w:fldChar w:fldCharType="separate"/>
          </w:r>
          <w:r>
            <w:rPr>
              <w:rFonts w:ascii="Times New Roman" w:hAnsi="Times New Roman" w:eastAsia="Times New Roman" w:cs="Times New Roman"/>
              <w:color w:val="231F20"/>
              <w:spacing w:val="6"/>
              <w:sz w:val="22"/>
              <w:szCs w:val="22"/>
            </w:rPr>
            <w:t>4</w:t>
          </w:r>
          <w:r>
            <w:rPr>
              <w:rFonts w:ascii="Times New Roman" w:hAnsi="Times New Roman" w:eastAsia="Times New Roman" w:cs="Times New Roman"/>
              <w:color w:val="231F20"/>
              <w:spacing w:val="6"/>
              <w:sz w:val="22"/>
              <w:szCs w:val="22"/>
            </w:rPr>
            <w:fldChar w:fldCharType="end"/>
          </w:r>
          <w:r>
            <w:rPr>
              <w:rFonts w:ascii="Times New Roman" w:hAnsi="Times New Roman" w:eastAsia="Times New Roman" w:cs="Times New Roman"/>
              <w:color w:val="231F20"/>
              <w:spacing w:val="6"/>
              <w:sz w:val="22"/>
              <w:szCs w:val="22"/>
            </w:rPr>
            <w:t>8</w:t>
          </w:r>
        </w:p>
        <w:p>
          <w:pPr>
            <w:tabs>
              <w:tab w:val="right" w:leader="dot" w:pos="10280"/>
            </w:tabs>
            <w:spacing w:before="128" w:line="202" w:lineRule="auto"/>
            <w:ind w:left="1989"/>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12"/>
              <w:sz w:val="22"/>
              <w:szCs w:val="22"/>
            </w:rPr>
            <w:t>图</w:t>
          </w:r>
          <w:r>
            <w:rPr>
              <w:rFonts w:ascii="微软雅黑" w:hAnsi="微软雅黑" w:eastAsia="微软雅黑" w:cs="微软雅黑"/>
              <w:color w:val="231F20"/>
              <w:spacing w:val="11"/>
              <w:sz w:val="22"/>
              <w:szCs w:val="22"/>
            </w:rPr>
            <w:t xml:space="preserve"> </w:t>
          </w:r>
          <w:r>
            <w:rPr>
              <w:rFonts w:ascii="Times New Roman" w:hAnsi="Times New Roman" w:eastAsia="Times New Roman" w:cs="Times New Roman"/>
              <w:color w:val="231F20"/>
              <w:spacing w:val="6"/>
              <w:sz w:val="22"/>
              <w:szCs w:val="22"/>
            </w:rPr>
            <w:t xml:space="preserve">2-9 2017-2021 </w:t>
          </w:r>
          <w:r>
            <w:rPr>
              <w:rFonts w:ascii="微软雅黑" w:hAnsi="微软雅黑" w:eastAsia="微软雅黑" w:cs="微软雅黑"/>
              <w:color w:val="231F20"/>
              <w:spacing w:val="6"/>
              <w:sz w:val="22"/>
              <w:szCs w:val="22"/>
            </w:rPr>
            <w:t>年食品制造业实际使用外资情况</w:t>
          </w:r>
          <w:r>
            <w:rPr>
              <w:rFonts w:ascii="微软雅黑" w:hAnsi="微软雅黑" w:eastAsia="微软雅黑" w:cs="微软雅黑"/>
              <w:color w:val="231F20"/>
              <w:spacing w:val="6"/>
              <w:sz w:val="22"/>
              <w:szCs w:val="22"/>
            </w:rPr>
            <w:fldChar w:fldCharType="end"/>
          </w:r>
          <w:r>
            <w:rPr>
              <w:rFonts w:ascii="微软雅黑" w:hAnsi="微软雅黑" w:eastAsia="微软雅黑" w:cs="微软雅黑"/>
              <w:sz w:val="22"/>
              <w:szCs w:val="22"/>
            </w:rPr>
            <w:tab/>
          </w:r>
          <w:r>
            <w:fldChar w:fldCharType="begin"/>
          </w:r>
          <w:r>
            <w:instrText xml:space="preserve"> HYPERLINK \l "_bookmark105" </w:instrText>
          </w:r>
          <w:r>
            <w:fldChar w:fldCharType="separate"/>
          </w:r>
          <w:r>
            <w:rPr>
              <w:rFonts w:ascii="Times New Roman" w:hAnsi="Times New Roman" w:eastAsia="Times New Roman" w:cs="Times New Roman"/>
              <w:color w:val="231F20"/>
              <w:spacing w:val="6"/>
              <w:sz w:val="22"/>
              <w:szCs w:val="22"/>
            </w:rPr>
            <w:t>5</w:t>
          </w:r>
          <w:r>
            <w:rPr>
              <w:rFonts w:ascii="Times New Roman" w:hAnsi="Times New Roman" w:eastAsia="Times New Roman" w:cs="Times New Roman"/>
              <w:color w:val="231F20"/>
              <w:spacing w:val="6"/>
              <w:sz w:val="22"/>
              <w:szCs w:val="22"/>
            </w:rPr>
            <w:fldChar w:fldCharType="end"/>
          </w:r>
          <w:r>
            <w:rPr>
              <w:rFonts w:ascii="Times New Roman" w:hAnsi="Times New Roman" w:eastAsia="Times New Roman" w:cs="Times New Roman"/>
              <w:color w:val="231F20"/>
              <w:spacing w:val="6"/>
              <w:sz w:val="22"/>
              <w:szCs w:val="22"/>
            </w:rPr>
            <w:t xml:space="preserve"> 1</w:t>
          </w:r>
        </w:p>
        <w:p>
          <w:pPr>
            <w:tabs>
              <w:tab w:val="right" w:leader="dot" w:pos="10283"/>
            </w:tabs>
            <w:spacing w:before="128" w:line="202" w:lineRule="auto"/>
            <w:ind w:left="1990"/>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8"/>
              <w:sz w:val="22"/>
              <w:szCs w:val="22"/>
            </w:rPr>
            <w:t xml:space="preserve">图 </w:t>
          </w:r>
          <w:r>
            <w:rPr>
              <w:rFonts w:ascii="Times New Roman" w:hAnsi="Times New Roman" w:eastAsia="Times New Roman" w:cs="Times New Roman"/>
              <w:color w:val="231F20"/>
              <w:spacing w:val="8"/>
              <w:sz w:val="22"/>
              <w:szCs w:val="22"/>
            </w:rPr>
            <w:t xml:space="preserve">2-10 2016-2020 </w:t>
          </w:r>
          <w:r>
            <w:rPr>
              <w:rFonts w:ascii="微软雅黑" w:hAnsi="微软雅黑" w:eastAsia="微软雅黑" w:cs="微软雅黑"/>
              <w:color w:val="231F20"/>
              <w:spacing w:val="8"/>
              <w:sz w:val="22"/>
              <w:szCs w:val="22"/>
            </w:rPr>
            <w:t>年规模以上外资食品制造企业资产总额及占比情况</w:t>
          </w:r>
          <w:r>
            <w:rPr>
              <w:rFonts w:ascii="微软雅黑" w:hAnsi="微软雅黑" w:eastAsia="微软雅黑" w:cs="微软雅黑"/>
              <w:color w:val="231F20"/>
              <w:spacing w:val="8"/>
              <w:sz w:val="22"/>
              <w:szCs w:val="22"/>
            </w:rPr>
            <w:fldChar w:fldCharType="end"/>
          </w:r>
          <w:r>
            <w:rPr>
              <w:rFonts w:ascii="微软雅黑" w:hAnsi="微软雅黑" w:eastAsia="微软雅黑" w:cs="微软雅黑"/>
              <w:sz w:val="22"/>
              <w:szCs w:val="22"/>
            </w:rPr>
            <w:tab/>
          </w:r>
          <w:r>
            <w:fldChar w:fldCharType="begin"/>
          </w:r>
          <w:r>
            <w:instrText xml:space="preserve"> HYPERLINK \l "_bookmark106" </w:instrText>
          </w:r>
          <w:r>
            <w:fldChar w:fldCharType="separate"/>
          </w:r>
          <w:r>
            <w:rPr>
              <w:rFonts w:ascii="Times New Roman" w:hAnsi="Times New Roman" w:eastAsia="Times New Roman" w:cs="Times New Roman"/>
              <w:color w:val="231F20"/>
              <w:spacing w:val="8"/>
              <w:sz w:val="22"/>
              <w:szCs w:val="22"/>
            </w:rPr>
            <w:t>5</w:t>
          </w:r>
          <w:r>
            <w:rPr>
              <w:rFonts w:ascii="Times New Roman" w:hAnsi="Times New Roman" w:eastAsia="Times New Roman" w:cs="Times New Roman"/>
              <w:color w:val="231F20"/>
              <w:spacing w:val="8"/>
              <w:sz w:val="22"/>
              <w:szCs w:val="22"/>
            </w:rPr>
            <w:fldChar w:fldCharType="end"/>
          </w:r>
          <w:r>
            <w:rPr>
              <w:rFonts w:ascii="Times New Roman" w:hAnsi="Times New Roman" w:eastAsia="Times New Roman" w:cs="Times New Roman"/>
              <w:color w:val="231F20"/>
              <w:spacing w:val="8"/>
              <w:sz w:val="22"/>
              <w:szCs w:val="22"/>
            </w:rPr>
            <w:t xml:space="preserve"> </w:t>
          </w:r>
          <w:r>
            <w:rPr>
              <w:rFonts w:ascii="Times New Roman" w:hAnsi="Times New Roman" w:eastAsia="Times New Roman" w:cs="Times New Roman"/>
              <w:color w:val="231F20"/>
              <w:spacing w:val="3"/>
              <w:sz w:val="22"/>
              <w:szCs w:val="22"/>
            </w:rPr>
            <w:t>1</w:t>
          </w:r>
        </w:p>
        <w:p>
          <w:pPr>
            <w:tabs>
              <w:tab w:val="right" w:leader="dot" w:pos="10284"/>
            </w:tabs>
            <w:spacing w:before="130" w:line="201" w:lineRule="auto"/>
            <w:ind w:left="1993"/>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1"/>
              <w:sz w:val="22"/>
              <w:szCs w:val="22"/>
            </w:rPr>
            <w:t xml:space="preserve">图 </w:t>
          </w:r>
          <w:r>
            <w:rPr>
              <w:rFonts w:ascii="Times New Roman" w:hAnsi="Times New Roman" w:eastAsia="Times New Roman" w:cs="Times New Roman"/>
              <w:color w:val="231F20"/>
              <w:spacing w:val="-1"/>
              <w:sz w:val="22"/>
              <w:szCs w:val="22"/>
            </w:rPr>
            <w:t xml:space="preserve">2-11 2016-2020 </w:t>
          </w:r>
          <w:r>
            <w:rPr>
              <w:rFonts w:ascii="微软雅黑" w:hAnsi="微软雅黑" w:eastAsia="微软雅黑" w:cs="微软雅黑"/>
              <w:color w:val="231F20"/>
              <w:spacing w:val="-1"/>
              <w:sz w:val="22"/>
              <w:szCs w:val="22"/>
            </w:rPr>
            <w:t>年规模以上外资食 品制 造企 业 数量</w:t>
          </w:r>
          <w:r>
            <w:rPr>
              <w:rFonts w:ascii="微软雅黑" w:hAnsi="微软雅黑" w:eastAsia="微软雅黑" w:cs="微软雅黑"/>
              <w:color w:val="231F20"/>
              <w:sz w:val="22"/>
              <w:szCs w:val="22"/>
            </w:rPr>
            <w:t>及占 比情 况</w:t>
          </w:r>
          <w:r>
            <w:rPr>
              <w:rFonts w:ascii="微软雅黑" w:hAnsi="微软雅黑" w:eastAsia="微软雅黑" w:cs="微软雅黑"/>
              <w:color w:val="231F20"/>
              <w:sz w:val="22"/>
              <w:szCs w:val="22"/>
            </w:rPr>
            <w:fldChar w:fldCharType="end"/>
          </w:r>
          <w:r>
            <w:rPr>
              <w:rFonts w:ascii="微软雅黑" w:hAnsi="微软雅黑" w:eastAsia="微软雅黑" w:cs="微软雅黑"/>
              <w:sz w:val="22"/>
              <w:szCs w:val="22"/>
            </w:rPr>
            <w:tab/>
          </w:r>
          <w:r>
            <w:fldChar w:fldCharType="begin"/>
          </w:r>
          <w:r>
            <w:instrText xml:space="preserve"> HYPERLINK \l "_bookmark107" </w:instrText>
          </w:r>
          <w:r>
            <w:fldChar w:fldCharType="separate"/>
          </w:r>
          <w:r>
            <w:rPr>
              <w:rFonts w:ascii="Times New Roman" w:hAnsi="Times New Roman" w:eastAsia="Times New Roman" w:cs="Times New Roman"/>
              <w:color w:val="231F20"/>
              <w:sz w:val="22"/>
              <w:szCs w:val="22"/>
            </w:rPr>
            <w:t>5</w:t>
          </w:r>
          <w:r>
            <w:rPr>
              <w:rFonts w:ascii="Times New Roman" w:hAnsi="Times New Roman" w:eastAsia="Times New Roman" w:cs="Times New Roman"/>
              <w:color w:val="231F20"/>
              <w:sz w:val="22"/>
              <w:szCs w:val="22"/>
            </w:rPr>
            <w:fldChar w:fldCharType="end"/>
          </w:r>
          <w:r>
            <w:rPr>
              <w:rFonts w:ascii="Times New Roman" w:hAnsi="Times New Roman" w:eastAsia="Times New Roman" w:cs="Times New Roman"/>
              <w:color w:val="231F20"/>
              <w:sz w:val="22"/>
              <w:szCs w:val="22"/>
            </w:rPr>
            <w:t>2</w:t>
          </w:r>
        </w:p>
        <w:p>
          <w:pPr>
            <w:tabs>
              <w:tab w:val="right" w:leader="dot" w:pos="10281"/>
            </w:tabs>
            <w:spacing w:before="131" w:line="202" w:lineRule="auto"/>
            <w:ind w:left="1994"/>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16"/>
              <w:sz w:val="22"/>
              <w:szCs w:val="22"/>
            </w:rPr>
            <w:t>图</w:t>
          </w:r>
          <w:r>
            <w:rPr>
              <w:rFonts w:ascii="微软雅黑" w:hAnsi="微软雅黑" w:eastAsia="微软雅黑" w:cs="微软雅黑"/>
              <w:color w:val="231F20"/>
              <w:spacing w:val="-12"/>
              <w:sz w:val="22"/>
              <w:szCs w:val="22"/>
            </w:rPr>
            <w:t xml:space="preserve"> </w:t>
          </w:r>
          <w:r>
            <w:rPr>
              <w:rFonts w:ascii="Times New Roman" w:hAnsi="Times New Roman" w:eastAsia="Times New Roman" w:cs="Times New Roman"/>
              <w:color w:val="231F20"/>
              <w:spacing w:val="-12"/>
              <w:sz w:val="22"/>
              <w:szCs w:val="22"/>
            </w:rPr>
            <w:t xml:space="preserve">2-12 2016-2020 </w:t>
          </w:r>
          <w:r>
            <w:rPr>
              <w:rFonts w:ascii="微软雅黑" w:hAnsi="微软雅黑" w:eastAsia="微软雅黑" w:cs="微软雅黑"/>
              <w:color w:val="231F20"/>
              <w:spacing w:val="-12"/>
              <w:sz w:val="22"/>
              <w:szCs w:val="22"/>
            </w:rPr>
            <w:t xml:space="preserve">年规模 以 上 食 品 制 造 企 业 营 收 利 润 率 情 况 </w:t>
          </w:r>
          <w:r>
            <w:rPr>
              <w:rFonts w:ascii="微软雅黑" w:hAnsi="微软雅黑" w:eastAsia="微软雅黑" w:cs="微软雅黑"/>
              <w:color w:val="231F20"/>
              <w:spacing w:val="-12"/>
              <w:sz w:val="22"/>
              <w:szCs w:val="22"/>
            </w:rPr>
            <w:fldChar w:fldCharType="end"/>
          </w:r>
          <w:r>
            <w:rPr>
              <w:rFonts w:ascii="微软雅黑" w:hAnsi="微软雅黑" w:eastAsia="微软雅黑" w:cs="微软雅黑"/>
              <w:sz w:val="22"/>
              <w:szCs w:val="22"/>
            </w:rPr>
            <w:tab/>
          </w:r>
          <w:r>
            <w:fldChar w:fldCharType="begin"/>
          </w:r>
          <w:r>
            <w:instrText xml:space="preserve"> HYPERLINK \l "_bookmark108" </w:instrText>
          </w:r>
          <w:r>
            <w:fldChar w:fldCharType="separate"/>
          </w:r>
          <w:r>
            <w:rPr>
              <w:rFonts w:ascii="Times New Roman" w:hAnsi="Times New Roman" w:eastAsia="Times New Roman" w:cs="Times New Roman"/>
              <w:color w:val="231F20"/>
              <w:spacing w:val="-12"/>
              <w:sz w:val="22"/>
              <w:szCs w:val="22"/>
            </w:rPr>
            <w:t>5</w:t>
          </w:r>
          <w:r>
            <w:rPr>
              <w:rFonts w:ascii="Times New Roman" w:hAnsi="Times New Roman" w:eastAsia="Times New Roman" w:cs="Times New Roman"/>
              <w:color w:val="231F20"/>
              <w:spacing w:val="-12"/>
              <w:sz w:val="22"/>
              <w:szCs w:val="22"/>
            </w:rPr>
            <w:fldChar w:fldCharType="end"/>
          </w:r>
          <w:r>
            <w:rPr>
              <w:rFonts w:ascii="Times New Roman" w:hAnsi="Times New Roman" w:eastAsia="Times New Roman" w:cs="Times New Roman"/>
              <w:color w:val="231F20"/>
              <w:spacing w:val="-12"/>
              <w:sz w:val="22"/>
              <w:szCs w:val="22"/>
            </w:rPr>
            <w:t>3</w:t>
          </w:r>
        </w:p>
        <w:p>
          <w:pPr>
            <w:tabs>
              <w:tab w:val="right" w:leader="dot" w:pos="10300"/>
            </w:tabs>
            <w:spacing w:before="92" w:line="202" w:lineRule="auto"/>
            <w:ind w:left="1978"/>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20"/>
              <w:sz w:val="22"/>
              <w:szCs w:val="22"/>
            </w:rPr>
            <w:t>图</w:t>
          </w:r>
          <w:r>
            <w:rPr>
              <w:rFonts w:ascii="微软雅黑" w:hAnsi="微软雅黑" w:eastAsia="微软雅黑" w:cs="微软雅黑"/>
              <w:color w:val="231F20"/>
              <w:spacing w:val="-12"/>
              <w:sz w:val="22"/>
              <w:szCs w:val="22"/>
            </w:rPr>
            <w:t xml:space="preserve"> </w:t>
          </w:r>
          <w:r>
            <w:rPr>
              <w:rFonts w:ascii="Times New Roman" w:hAnsi="Times New Roman" w:eastAsia="Times New Roman" w:cs="Times New Roman"/>
              <w:color w:val="231F20"/>
              <w:spacing w:val="-12"/>
              <w:sz w:val="22"/>
              <w:szCs w:val="22"/>
            </w:rPr>
            <w:t xml:space="preserve">2-13 2016-2020 </w:t>
          </w:r>
          <w:r>
            <w:rPr>
              <w:rFonts w:ascii="微软雅黑" w:hAnsi="微软雅黑" w:eastAsia="微软雅黑" w:cs="微软雅黑"/>
              <w:color w:val="231F20"/>
              <w:spacing w:val="-12"/>
              <w:sz w:val="22"/>
              <w:szCs w:val="22"/>
            </w:rPr>
            <w:t xml:space="preserve">年规模 以 上 食 品 制 造 企 业 人 均 营 收 变 化 情 况 </w:t>
          </w:r>
          <w:r>
            <w:rPr>
              <w:rFonts w:ascii="微软雅黑" w:hAnsi="微软雅黑" w:eastAsia="微软雅黑" w:cs="微软雅黑"/>
              <w:color w:val="231F20"/>
              <w:spacing w:val="-12"/>
              <w:sz w:val="22"/>
              <w:szCs w:val="22"/>
            </w:rPr>
            <w:fldChar w:fldCharType="end"/>
          </w:r>
          <w:r>
            <w:rPr>
              <w:rFonts w:ascii="微软雅黑" w:hAnsi="微软雅黑" w:eastAsia="微软雅黑" w:cs="微软雅黑"/>
              <w:sz w:val="22"/>
              <w:szCs w:val="22"/>
            </w:rPr>
            <w:tab/>
          </w:r>
          <w:r>
            <w:fldChar w:fldCharType="begin"/>
          </w:r>
          <w:r>
            <w:instrText xml:space="preserve"> HYPERLINK \l "_bookmark109" </w:instrText>
          </w:r>
          <w:r>
            <w:fldChar w:fldCharType="separate"/>
          </w:r>
          <w:r>
            <w:rPr>
              <w:rFonts w:ascii="Times New Roman" w:hAnsi="Times New Roman" w:eastAsia="Times New Roman" w:cs="Times New Roman"/>
              <w:color w:val="231F20"/>
              <w:spacing w:val="-12"/>
              <w:sz w:val="22"/>
              <w:szCs w:val="22"/>
            </w:rPr>
            <w:t>5</w:t>
          </w:r>
          <w:r>
            <w:rPr>
              <w:rFonts w:ascii="Times New Roman" w:hAnsi="Times New Roman" w:eastAsia="Times New Roman" w:cs="Times New Roman"/>
              <w:color w:val="231F20"/>
              <w:spacing w:val="-12"/>
              <w:sz w:val="22"/>
              <w:szCs w:val="22"/>
            </w:rPr>
            <w:fldChar w:fldCharType="end"/>
          </w:r>
          <w:r>
            <w:rPr>
              <w:rFonts w:ascii="Times New Roman" w:hAnsi="Times New Roman" w:eastAsia="Times New Roman" w:cs="Times New Roman"/>
              <w:color w:val="231F20"/>
              <w:spacing w:val="-12"/>
              <w:sz w:val="22"/>
              <w:szCs w:val="22"/>
            </w:rPr>
            <w:t>3</w:t>
          </w:r>
        </w:p>
        <w:p>
          <w:pPr>
            <w:tabs>
              <w:tab w:val="right" w:leader="dot" w:pos="10301"/>
            </w:tabs>
            <w:spacing w:before="128" w:line="202" w:lineRule="auto"/>
            <w:ind w:left="1978"/>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22"/>
              <w:sz w:val="22"/>
              <w:szCs w:val="22"/>
            </w:rPr>
            <w:t>图</w:t>
          </w:r>
          <w:r>
            <w:rPr>
              <w:rFonts w:ascii="微软雅黑" w:hAnsi="微软雅黑" w:eastAsia="微软雅黑" w:cs="微软雅黑"/>
              <w:color w:val="231F20"/>
              <w:spacing w:val="-12"/>
              <w:sz w:val="22"/>
              <w:szCs w:val="22"/>
            </w:rPr>
            <w:t xml:space="preserve"> </w:t>
          </w:r>
          <w:r>
            <w:rPr>
              <w:rFonts w:ascii="Times New Roman" w:hAnsi="Times New Roman" w:eastAsia="Times New Roman" w:cs="Times New Roman"/>
              <w:color w:val="231F20"/>
              <w:spacing w:val="-11"/>
              <w:sz w:val="22"/>
              <w:szCs w:val="22"/>
            </w:rPr>
            <w:t xml:space="preserve">2-14 2017-2021 </w:t>
          </w:r>
          <w:r>
            <w:rPr>
              <w:rFonts w:ascii="微软雅黑" w:hAnsi="微软雅黑" w:eastAsia="微软雅黑" w:cs="微软雅黑"/>
              <w:color w:val="231F20"/>
              <w:spacing w:val="-11"/>
              <w:sz w:val="22"/>
              <w:szCs w:val="22"/>
            </w:rPr>
            <w:t xml:space="preserve">年 生 产 性 服 务 业 实 际 使 用 外 资 情 况 </w:t>
          </w:r>
          <w:r>
            <w:rPr>
              <w:rFonts w:ascii="微软雅黑" w:hAnsi="微软雅黑" w:eastAsia="微软雅黑" w:cs="微软雅黑"/>
              <w:color w:val="231F20"/>
              <w:spacing w:val="-11"/>
              <w:sz w:val="22"/>
              <w:szCs w:val="22"/>
            </w:rPr>
            <w:fldChar w:fldCharType="end"/>
          </w:r>
          <w:r>
            <w:rPr>
              <w:rFonts w:ascii="微软雅黑" w:hAnsi="微软雅黑" w:eastAsia="微软雅黑" w:cs="微软雅黑"/>
              <w:sz w:val="22"/>
              <w:szCs w:val="22"/>
            </w:rPr>
            <w:tab/>
          </w:r>
          <w:r>
            <w:fldChar w:fldCharType="begin"/>
          </w:r>
          <w:r>
            <w:instrText xml:space="preserve"> HYPERLINK \l "_bookmark110" </w:instrText>
          </w:r>
          <w:r>
            <w:fldChar w:fldCharType="separate"/>
          </w:r>
          <w:r>
            <w:rPr>
              <w:rFonts w:ascii="Times New Roman" w:hAnsi="Times New Roman" w:eastAsia="Times New Roman" w:cs="Times New Roman"/>
              <w:color w:val="231F20"/>
              <w:spacing w:val="-11"/>
              <w:sz w:val="22"/>
              <w:szCs w:val="22"/>
            </w:rPr>
            <w:t>5</w:t>
          </w:r>
          <w:r>
            <w:rPr>
              <w:rFonts w:ascii="Times New Roman" w:hAnsi="Times New Roman" w:eastAsia="Times New Roman" w:cs="Times New Roman"/>
              <w:color w:val="231F20"/>
              <w:spacing w:val="-11"/>
              <w:sz w:val="22"/>
              <w:szCs w:val="22"/>
            </w:rPr>
            <w:fldChar w:fldCharType="end"/>
          </w:r>
          <w:r>
            <w:rPr>
              <w:rFonts w:ascii="Times New Roman" w:hAnsi="Times New Roman" w:eastAsia="Times New Roman" w:cs="Times New Roman"/>
              <w:color w:val="231F20"/>
              <w:spacing w:val="-11"/>
              <w:sz w:val="22"/>
              <w:szCs w:val="22"/>
            </w:rPr>
            <w:t>7</w:t>
          </w:r>
        </w:p>
      </w:sdtContent>
    </w:sdt>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683840" behindDoc="1" locked="0" layoutInCell="0" allowOverlap="1">
            <wp:simplePos x="0" y="0"/>
            <wp:positionH relativeFrom="page">
              <wp:posOffset>0</wp:posOffset>
            </wp:positionH>
            <wp:positionV relativeFrom="page">
              <wp:posOffset>10052685</wp:posOffset>
            </wp:positionV>
            <wp:extent cx="7668260" cy="422910"/>
            <wp:effectExtent l="0" t="0" r="0" b="0"/>
            <wp:wrapNone/>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44"/>
                    <a:stretch>
                      <a:fillRect/>
                    </a:stretch>
                  </pic:blipFill>
                  <pic:spPr>
                    <a:xfrm>
                      <a:off x="0" y="0"/>
                      <a:ext cx="7668006" cy="422998"/>
                    </a:xfrm>
                    <a:prstGeom prst="rect">
                      <a:avLst/>
                    </a:prstGeom>
                  </pic:spPr>
                </pic:pic>
              </a:graphicData>
            </a:graphic>
          </wp:anchor>
        </w:drawing>
      </w:r>
      <w:r>
        <w:drawing>
          <wp:anchor distT="0" distB="0" distL="0" distR="0" simplePos="0" relativeHeight="251682816" behindDoc="1" locked="0" layoutInCell="0" allowOverlap="1">
            <wp:simplePos x="0" y="0"/>
            <wp:positionH relativeFrom="page">
              <wp:posOffset>7667625</wp:posOffset>
            </wp:positionH>
            <wp:positionV relativeFrom="page">
              <wp:posOffset>0</wp:posOffset>
            </wp:positionV>
            <wp:extent cx="107950" cy="1047623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5"/>
                    <a:stretch>
                      <a:fillRect/>
                    </a:stretch>
                  </pic:blipFill>
                  <pic:spPr>
                    <a:xfrm>
                      <a:off x="0" y="0"/>
                      <a:ext cx="107994" cy="10476001"/>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bookmarkStart w:id="2" w:name="_bookmark94"/>
      <w:bookmarkEnd w:id="2"/>
      <w:bookmarkStart w:id="3" w:name="_bookmark7"/>
      <w:bookmarkEnd w:id="3"/>
      <w:r>
        <w:rPr>
          <w:rFonts w:ascii="Arial" w:hAnsi="Arial" w:eastAsia="Arial" w:cs="Arial"/>
          <w:color w:val="231F20"/>
          <w:spacing w:val="35"/>
          <w:sz w:val="20"/>
          <w:szCs w:val="20"/>
        </w:rPr>
        <w:t>6</w:t>
      </w:r>
      <w:r>
        <w:rPr>
          <w:rFonts w:ascii="Arial" w:hAnsi="Arial" w:eastAsia="Arial" w:cs="Arial"/>
          <w:color w:val="231F20"/>
          <w:spacing w:val="20"/>
          <w:sz w:val="20"/>
          <w:szCs w:val="20"/>
        </w:rPr>
        <w:t xml:space="preserve">    </w:t>
      </w:r>
      <w:r>
        <w:rPr>
          <w:position w:val="-5"/>
          <w:sz w:val="20"/>
          <w:szCs w:val="20"/>
        </w:rPr>
        <w:drawing>
          <wp:inline distT="0" distB="0" distL="0" distR="0">
            <wp:extent cx="3175" cy="147320"/>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0"/>
          <w:sz w:val="20"/>
          <w:szCs w:val="20"/>
        </w:rPr>
        <w:t xml:space="preserve">   </w:t>
      </w:r>
      <w:r>
        <w:rPr>
          <w:rFonts w:ascii="宋体" w:hAnsi="宋体" w:eastAsia="宋体" w:cs="宋体"/>
          <w:color w:val="537DBF"/>
          <w:spacing w:val="20"/>
          <w:sz w:val="21"/>
          <w:szCs w:val="21"/>
        </w:rPr>
        <w:t xml:space="preserve">中国外商投资报告 2022 </w:t>
      </w:r>
      <w:r>
        <w:rPr>
          <w:position w:val="-5"/>
          <w:sz w:val="21"/>
          <w:szCs w:val="21"/>
        </w:rPr>
        <w:drawing>
          <wp:inline distT="0" distB="0" distL="0" distR="0">
            <wp:extent cx="3175" cy="14732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0"/>
          <w:sz w:val="21"/>
          <w:szCs w:val="21"/>
        </w:rPr>
        <w:t xml:space="preserve">  </w:t>
      </w:r>
      <w:r>
        <w:rPr>
          <w:rFonts w:ascii="SimHei" w:hAnsi="SimHei" w:eastAsia="SimHei" w:cs="SimHei"/>
          <w:color w:val="1A67B3"/>
          <w:spacing w:val="20"/>
          <w:sz w:val="21"/>
          <w:szCs w:val="21"/>
          <w14:textOutline w14:w="3175" w14:cap="flat" w14:cmpd="sng">
            <w14:solidFill>
              <w14:srgbClr w14:val="1A67B3"/>
            </w14:solidFill>
            <w14:prstDash w14:val="solid"/>
            <w14:miter w14:val="0"/>
          </w14:textOutline>
        </w:rPr>
        <w:t>目录</w:t>
      </w:r>
    </w:p>
    <w:p>
      <w:pPr>
        <w:spacing w:line="252" w:lineRule="auto"/>
        <w:rPr>
          <w:rFonts w:ascii="Arial"/>
          <w:sz w:val="21"/>
        </w:rPr>
      </w:pPr>
    </w:p>
    <w:p>
      <w:pPr>
        <w:spacing w:line="253" w:lineRule="auto"/>
        <w:rPr>
          <w:rFonts w:ascii="Arial"/>
          <w:sz w:val="21"/>
        </w:rPr>
      </w:pPr>
    </w:p>
    <w:p>
      <w:pPr>
        <w:spacing w:line="253" w:lineRule="auto"/>
        <w:rPr>
          <w:rFonts w:ascii="Arial"/>
          <w:sz w:val="21"/>
        </w:rPr>
      </w:pPr>
    </w:p>
    <w:sdt>
      <w:sdtPr>
        <w:rPr>
          <w:rFonts w:ascii="微软雅黑" w:hAnsi="微软雅黑" w:eastAsia="微软雅黑" w:cs="微软雅黑"/>
          <w:sz w:val="22"/>
          <w:szCs w:val="22"/>
        </w:rPr>
        <w:id w:val="16"/>
        <w:docPartObj>
          <w:docPartGallery w:val="Table of Contents"/>
          <w:docPartUnique/>
        </w:docPartObj>
      </w:sdtPr>
      <w:sdtEndPr>
        <w:rPr>
          <w:rFonts w:ascii="Times New Roman" w:hAnsi="Times New Roman" w:eastAsia="Times New Roman" w:cs="Times New Roman"/>
          <w:sz w:val="22"/>
          <w:szCs w:val="22"/>
        </w:rPr>
      </w:sdtEndPr>
      <w:sdtContent>
        <w:p>
          <w:pPr>
            <w:tabs>
              <w:tab w:val="right" w:leader="dot" w:pos="10260"/>
            </w:tabs>
            <w:spacing w:before="94" w:line="202" w:lineRule="auto"/>
            <w:ind w:left="1960"/>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22"/>
              <w:sz w:val="22"/>
              <w:szCs w:val="22"/>
            </w:rPr>
            <w:t xml:space="preserve">图 </w:t>
          </w:r>
          <w:r>
            <w:rPr>
              <w:rFonts w:ascii="Times New Roman" w:hAnsi="Times New Roman" w:eastAsia="Times New Roman" w:cs="Times New Roman"/>
              <w:color w:val="231F20"/>
              <w:spacing w:val="-12"/>
              <w:sz w:val="22"/>
              <w:szCs w:val="22"/>
            </w:rPr>
            <w:t>2</w:t>
          </w:r>
          <w:r>
            <w:rPr>
              <w:rFonts w:ascii="Times New Roman" w:hAnsi="Times New Roman" w:eastAsia="Times New Roman" w:cs="Times New Roman"/>
              <w:color w:val="231F20"/>
              <w:spacing w:val="-11"/>
              <w:sz w:val="22"/>
              <w:szCs w:val="22"/>
            </w:rPr>
            <w:t xml:space="preserve">-15 2017-2021 </w:t>
          </w:r>
          <w:r>
            <w:rPr>
              <w:rFonts w:ascii="微软雅黑" w:hAnsi="微软雅黑" w:eastAsia="微软雅黑" w:cs="微软雅黑"/>
              <w:color w:val="231F20"/>
              <w:spacing w:val="-11"/>
              <w:sz w:val="22"/>
              <w:szCs w:val="22"/>
            </w:rPr>
            <w:t xml:space="preserve">年 生 产 性 服 务 业 新 设 外 资 企 业 情 况 </w:t>
          </w:r>
          <w:r>
            <w:rPr>
              <w:rFonts w:ascii="微软雅黑" w:hAnsi="微软雅黑" w:eastAsia="微软雅黑" w:cs="微软雅黑"/>
              <w:color w:val="231F20"/>
              <w:spacing w:val="-11"/>
              <w:sz w:val="22"/>
              <w:szCs w:val="22"/>
            </w:rPr>
            <w:fldChar w:fldCharType="end"/>
          </w:r>
          <w:r>
            <w:rPr>
              <w:rFonts w:ascii="微软雅黑" w:hAnsi="微软雅黑" w:eastAsia="微软雅黑" w:cs="微软雅黑"/>
              <w:sz w:val="22"/>
              <w:szCs w:val="22"/>
            </w:rPr>
            <w:tab/>
          </w:r>
          <w:r>
            <w:fldChar w:fldCharType="begin"/>
          </w:r>
          <w:r>
            <w:instrText xml:space="preserve"> HYPERLINK \l "_bookmark111" </w:instrText>
          </w:r>
          <w:r>
            <w:fldChar w:fldCharType="separate"/>
          </w:r>
          <w:r>
            <w:rPr>
              <w:rFonts w:ascii="Times New Roman" w:hAnsi="Times New Roman" w:eastAsia="Times New Roman" w:cs="Times New Roman"/>
              <w:color w:val="231F20"/>
              <w:spacing w:val="-11"/>
              <w:sz w:val="22"/>
              <w:szCs w:val="22"/>
            </w:rPr>
            <w:t>5</w:t>
          </w:r>
          <w:r>
            <w:rPr>
              <w:rFonts w:ascii="Times New Roman" w:hAnsi="Times New Roman" w:eastAsia="Times New Roman" w:cs="Times New Roman"/>
              <w:color w:val="231F20"/>
              <w:spacing w:val="-11"/>
              <w:sz w:val="22"/>
              <w:szCs w:val="22"/>
            </w:rPr>
            <w:fldChar w:fldCharType="end"/>
          </w:r>
          <w:r>
            <w:rPr>
              <w:rFonts w:ascii="Times New Roman" w:hAnsi="Times New Roman" w:eastAsia="Times New Roman" w:cs="Times New Roman"/>
              <w:color w:val="231F20"/>
              <w:spacing w:val="-11"/>
              <w:sz w:val="22"/>
              <w:szCs w:val="22"/>
            </w:rPr>
            <w:t>8</w:t>
          </w:r>
        </w:p>
        <w:p>
          <w:pPr>
            <w:tabs>
              <w:tab w:val="right" w:leader="dot" w:pos="10258"/>
            </w:tabs>
            <w:spacing w:before="128" w:line="202" w:lineRule="auto"/>
            <w:ind w:left="1959"/>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5"/>
              <w:sz w:val="22"/>
              <w:szCs w:val="22"/>
            </w:rPr>
            <w:t>图</w:t>
          </w:r>
          <w:r>
            <w:rPr>
              <w:rFonts w:ascii="微软雅黑" w:hAnsi="微软雅黑" w:eastAsia="微软雅黑" w:cs="微软雅黑"/>
              <w:color w:val="231F20"/>
              <w:spacing w:val="4"/>
              <w:sz w:val="22"/>
              <w:szCs w:val="22"/>
            </w:rPr>
            <w:t xml:space="preserve"> </w:t>
          </w:r>
          <w:r>
            <w:rPr>
              <w:rFonts w:ascii="Times New Roman" w:hAnsi="Times New Roman" w:eastAsia="Times New Roman" w:cs="Times New Roman"/>
              <w:color w:val="231F20"/>
              <w:spacing w:val="4"/>
              <w:sz w:val="22"/>
              <w:szCs w:val="22"/>
            </w:rPr>
            <w:t xml:space="preserve">2-16 2017-2021 </w:t>
          </w:r>
          <w:r>
            <w:rPr>
              <w:rFonts w:ascii="微软雅黑" w:hAnsi="微软雅黑" w:eastAsia="微软雅黑" w:cs="微软雅黑"/>
              <w:color w:val="231F20"/>
              <w:spacing w:val="4"/>
              <w:sz w:val="22"/>
              <w:szCs w:val="22"/>
            </w:rPr>
            <w:t>年批发与贸易经纪代理服务业实际使用外资情况</w:t>
          </w:r>
          <w:r>
            <w:rPr>
              <w:rFonts w:ascii="微软雅黑" w:hAnsi="微软雅黑" w:eastAsia="微软雅黑" w:cs="微软雅黑"/>
              <w:color w:val="231F20"/>
              <w:spacing w:val="4"/>
              <w:sz w:val="22"/>
              <w:szCs w:val="22"/>
            </w:rPr>
            <w:fldChar w:fldCharType="end"/>
          </w:r>
          <w:r>
            <w:rPr>
              <w:rFonts w:ascii="微软雅黑" w:hAnsi="微软雅黑" w:eastAsia="微软雅黑" w:cs="微软雅黑"/>
              <w:sz w:val="22"/>
              <w:szCs w:val="22"/>
            </w:rPr>
            <w:tab/>
          </w:r>
          <w:r>
            <w:fldChar w:fldCharType="begin"/>
          </w:r>
          <w:r>
            <w:instrText xml:space="preserve"> HYPERLINK \l "_bookmark112" </w:instrText>
          </w:r>
          <w:r>
            <w:fldChar w:fldCharType="separate"/>
          </w:r>
          <w:r>
            <w:rPr>
              <w:rFonts w:ascii="Times New Roman" w:hAnsi="Times New Roman" w:eastAsia="Times New Roman" w:cs="Times New Roman"/>
              <w:color w:val="231F20"/>
              <w:spacing w:val="4"/>
              <w:sz w:val="22"/>
              <w:szCs w:val="22"/>
            </w:rPr>
            <w:t>5</w:t>
          </w:r>
          <w:r>
            <w:rPr>
              <w:rFonts w:ascii="Times New Roman" w:hAnsi="Times New Roman" w:eastAsia="Times New Roman" w:cs="Times New Roman"/>
              <w:color w:val="231F20"/>
              <w:spacing w:val="4"/>
              <w:sz w:val="22"/>
              <w:szCs w:val="22"/>
            </w:rPr>
            <w:fldChar w:fldCharType="end"/>
          </w:r>
          <w:r>
            <w:rPr>
              <w:rFonts w:ascii="Times New Roman" w:hAnsi="Times New Roman" w:eastAsia="Times New Roman" w:cs="Times New Roman"/>
              <w:color w:val="231F20"/>
              <w:spacing w:val="4"/>
              <w:sz w:val="22"/>
              <w:szCs w:val="22"/>
            </w:rPr>
            <w:t>8</w:t>
          </w:r>
        </w:p>
        <w:p>
          <w:pPr>
            <w:tabs>
              <w:tab w:val="right" w:leader="dot" w:pos="10256"/>
            </w:tabs>
            <w:spacing w:before="129" w:line="202" w:lineRule="auto"/>
            <w:ind w:left="1957"/>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19"/>
              <w:sz w:val="22"/>
              <w:szCs w:val="22"/>
            </w:rPr>
            <w:t>图</w:t>
          </w:r>
          <w:r>
            <w:rPr>
              <w:rFonts w:ascii="微软雅黑" w:hAnsi="微软雅黑" w:eastAsia="微软雅黑" w:cs="微软雅黑"/>
              <w:color w:val="231F20"/>
              <w:spacing w:val="-11"/>
              <w:sz w:val="22"/>
              <w:szCs w:val="22"/>
            </w:rPr>
            <w:t xml:space="preserve"> </w:t>
          </w:r>
          <w:r>
            <w:rPr>
              <w:rFonts w:ascii="Times New Roman" w:hAnsi="Times New Roman" w:eastAsia="Times New Roman" w:cs="Times New Roman"/>
              <w:color w:val="231F20"/>
              <w:spacing w:val="-11"/>
              <w:sz w:val="22"/>
              <w:szCs w:val="22"/>
            </w:rPr>
            <w:t xml:space="preserve">2-17 2017-2021 </w:t>
          </w:r>
          <w:r>
            <w:rPr>
              <w:rFonts w:ascii="微软雅黑" w:hAnsi="微软雅黑" w:eastAsia="微软雅黑" w:cs="微软雅黑"/>
              <w:color w:val="231F20"/>
              <w:spacing w:val="-11"/>
              <w:sz w:val="22"/>
              <w:szCs w:val="22"/>
            </w:rPr>
            <w:t xml:space="preserve">年 信 息 服 务 业 实 际 使 用 外 资 情 况 </w:t>
          </w:r>
          <w:r>
            <w:rPr>
              <w:rFonts w:ascii="微软雅黑" w:hAnsi="微软雅黑" w:eastAsia="微软雅黑" w:cs="微软雅黑"/>
              <w:color w:val="231F20"/>
              <w:spacing w:val="-11"/>
              <w:sz w:val="22"/>
              <w:szCs w:val="22"/>
            </w:rPr>
            <w:fldChar w:fldCharType="end"/>
          </w:r>
          <w:r>
            <w:rPr>
              <w:rFonts w:ascii="微软雅黑" w:hAnsi="微软雅黑" w:eastAsia="微软雅黑" w:cs="微软雅黑"/>
              <w:sz w:val="22"/>
              <w:szCs w:val="22"/>
            </w:rPr>
            <w:tab/>
          </w:r>
          <w:r>
            <w:fldChar w:fldCharType="begin"/>
          </w:r>
          <w:r>
            <w:instrText xml:space="preserve"> HYPERLINK \l "_bookmark113" </w:instrText>
          </w:r>
          <w:r>
            <w:fldChar w:fldCharType="separate"/>
          </w:r>
          <w:r>
            <w:rPr>
              <w:rFonts w:ascii="Times New Roman" w:hAnsi="Times New Roman" w:eastAsia="Times New Roman" w:cs="Times New Roman"/>
              <w:color w:val="231F20"/>
              <w:spacing w:val="-11"/>
              <w:sz w:val="22"/>
              <w:szCs w:val="22"/>
            </w:rPr>
            <w:t>5</w:t>
          </w:r>
          <w:r>
            <w:rPr>
              <w:rFonts w:ascii="Times New Roman" w:hAnsi="Times New Roman" w:eastAsia="Times New Roman" w:cs="Times New Roman"/>
              <w:color w:val="231F20"/>
              <w:spacing w:val="-11"/>
              <w:sz w:val="22"/>
              <w:szCs w:val="22"/>
            </w:rPr>
            <w:fldChar w:fldCharType="end"/>
          </w:r>
          <w:r>
            <w:rPr>
              <w:rFonts w:ascii="Times New Roman" w:hAnsi="Times New Roman" w:eastAsia="Times New Roman" w:cs="Times New Roman"/>
              <w:color w:val="231F20"/>
              <w:spacing w:val="-11"/>
              <w:sz w:val="22"/>
              <w:szCs w:val="22"/>
            </w:rPr>
            <w:t>9</w:t>
          </w:r>
        </w:p>
        <w:p>
          <w:pPr>
            <w:tabs>
              <w:tab w:val="right" w:leader="dot" w:pos="10258"/>
            </w:tabs>
            <w:spacing w:before="129" w:line="202" w:lineRule="auto"/>
            <w:ind w:left="1956"/>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15"/>
              <w:sz w:val="22"/>
              <w:szCs w:val="22"/>
            </w:rPr>
            <w:t>图</w:t>
          </w:r>
          <w:r>
            <w:rPr>
              <w:rFonts w:ascii="微软雅黑" w:hAnsi="微软雅黑" w:eastAsia="微软雅黑" w:cs="微软雅黑"/>
              <w:color w:val="231F20"/>
              <w:spacing w:val="9"/>
              <w:sz w:val="22"/>
              <w:szCs w:val="22"/>
            </w:rPr>
            <w:t xml:space="preserve"> </w:t>
          </w:r>
          <w:r>
            <w:rPr>
              <w:rFonts w:ascii="Times New Roman" w:hAnsi="Times New Roman" w:eastAsia="Times New Roman" w:cs="Times New Roman"/>
              <w:color w:val="231F20"/>
              <w:spacing w:val="9"/>
              <w:sz w:val="22"/>
              <w:szCs w:val="22"/>
            </w:rPr>
            <w:t xml:space="preserve">2-18 2017-2021 </w:t>
          </w:r>
          <w:r>
            <w:rPr>
              <w:rFonts w:ascii="微软雅黑" w:hAnsi="微软雅黑" w:eastAsia="微软雅黑" w:cs="微软雅黑"/>
              <w:color w:val="231F20"/>
              <w:spacing w:val="9"/>
              <w:sz w:val="22"/>
              <w:szCs w:val="22"/>
            </w:rPr>
            <w:t>年研发设计与其他技术服务业实际使用外资情况</w:t>
          </w:r>
          <w:r>
            <w:rPr>
              <w:rFonts w:ascii="微软雅黑" w:hAnsi="微软雅黑" w:eastAsia="微软雅黑" w:cs="微软雅黑"/>
              <w:color w:val="231F20"/>
              <w:spacing w:val="9"/>
              <w:sz w:val="22"/>
              <w:szCs w:val="22"/>
            </w:rPr>
            <w:fldChar w:fldCharType="end"/>
          </w:r>
          <w:r>
            <w:rPr>
              <w:rFonts w:ascii="微软雅黑" w:hAnsi="微软雅黑" w:eastAsia="微软雅黑" w:cs="微软雅黑"/>
              <w:sz w:val="22"/>
              <w:szCs w:val="22"/>
            </w:rPr>
            <w:tab/>
          </w:r>
          <w:r>
            <w:fldChar w:fldCharType="begin"/>
          </w:r>
          <w:r>
            <w:instrText xml:space="preserve"> HYPERLINK \l "_bookmark114" </w:instrText>
          </w:r>
          <w:r>
            <w:fldChar w:fldCharType="separate"/>
          </w:r>
          <w:r>
            <w:rPr>
              <w:rFonts w:ascii="Times New Roman" w:hAnsi="Times New Roman" w:eastAsia="Times New Roman" w:cs="Times New Roman"/>
              <w:color w:val="231F20"/>
              <w:spacing w:val="9"/>
              <w:sz w:val="22"/>
              <w:szCs w:val="22"/>
            </w:rPr>
            <w:t>5</w:t>
          </w:r>
          <w:r>
            <w:rPr>
              <w:rFonts w:ascii="Times New Roman" w:hAnsi="Times New Roman" w:eastAsia="Times New Roman" w:cs="Times New Roman"/>
              <w:color w:val="231F20"/>
              <w:spacing w:val="9"/>
              <w:sz w:val="22"/>
              <w:szCs w:val="22"/>
            </w:rPr>
            <w:fldChar w:fldCharType="end"/>
          </w:r>
          <w:r>
            <w:rPr>
              <w:rFonts w:ascii="Times New Roman" w:hAnsi="Times New Roman" w:eastAsia="Times New Roman" w:cs="Times New Roman"/>
              <w:color w:val="231F20"/>
              <w:spacing w:val="9"/>
              <w:sz w:val="22"/>
              <w:szCs w:val="22"/>
            </w:rPr>
            <w:t>9</w:t>
          </w:r>
        </w:p>
        <w:p>
          <w:pPr>
            <w:tabs>
              <w:tab w:val="right" w:leader="dot" w:pos="10258"/>
            </w:tabs>
            <w:spacing w:before="130" w:line="201" w:lineRule="auto"/>
            <w:ind w:left="1957"/>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7"/>
              <w:sz w:val="22"/>
              <w:szCs w:val="22"/>
            </w:rPr>
            <w:t xml:space="preserve">图 </w:t>
          </w:r>
          <w:r>
            <w:rPr>
              <w:rFonts w:ascii="Times New Roman" w:hAnsi="Times New Roman" w:eastAsia="Times New Roman" w:cs="Times New Roman"/>
              <w:color w:val="231F20"/>
              <w:spacing w:val="7"/>
              <w:sz w:val="22"/>
              <w:szCs w:val="22"/>
            </w:rPr>
            <w:t xml:space="preserve">2-19 2017-2021 </w:t>
          </w:r>
          <w:r>
            <w:rPr>
              <w:rFonts w:ascii="微软雅黑" w:hAnsi="微软雅黑" w:eastAsia="微软雅黑" w:cs="微软雅黑"/>
              <w:color w:val="231F20"/>
              <w:spacing w:val="7"/>
              <w:sz w:val="22"/>
              <w:szCs w:val="22"/>
            </w:rPr>
            <w:t>年工业和信息化部颁发增值电信经营许可的外资企业数量</w:t>
          </w:r>
          <w:r>
            <w:rPr>
              <w:rFonts w:ascii="微软雅黑" w:hAnsi="微软雅黑" w:eastAsia="微软雅黑" w:cs="微软雅黑"/>
              <w:color w:val="231F20"/>
              <w:spacing w:val="7"/>
              <w:sz w:val="22"/>
              <w:szCs w:val="22"/>
            </w:rPr>
            <w:fldChar w:fldCharType="end"/>
          </w:r>
          <w:r>
            <w:rPr>
              <w:rFonts w:ascii="微软雅黑" w:hAnsi="微软雅黑" w:eastAsia="微软雅黑" w:cs="微软雅黑"/>
              <w:sz w:val="22"/>
              <w:szCs w:val="22"/>
            </w:rPr>
            <w:tab/>
          </w:r>
          <w:r>
            <w:rPr>
              <w:rFonts w:ascii="微软雅黑" w:hAnsi="微软雅黑" w:eastAsia="微软雅黑" w:cs="微软雅黑"/>
              <w:color w:val="231F20"/>
              <w:spacing w:val="7"/>
              <w:sz w:val="22"/>
              <w:szCs w:val="22"/>
            </w:rPr>
            <w:t xml:space="preserve"> </w:t>
          </w:r>
          <w:r>
            <w:fldChar w:fldCharType="begin"/>
          </w:r>
          <w:r>
            <w:instrText xml:space="preserve"> HYPERLINK \l "_bookmark115" </w:instrText>
          </w:r>
          <w:r>
            <w:fldChar w:fldCharType="separate"/>
          </w:r>
          <w:r>
            <w:rPr>
              <w:rFonts w:ascii="Times New Roman" w:hAnsi="Times New Roman" w:eastAsia="Times New Roman" w:cs="Times New Roman"/>
              <w:color w:val="231F20"/>
              <w:spacing w:val="7"/>
              <w:sz w:val="22"/>
              <w:szCs w:val="22"/>
            </w:rPr>
            <w:t>6</w:t>
          </w:r>
          <w:r>
            <w:rPr>
              <w:rFonts w:ascii="Times New Roman" w:hAnsi="Times New Roman" w:eastAsia="Times New Roman" w:cs="Times New Roman"/>
              <w:color w:val="231F20"/>
              <w:spacing w:val="7"/>
              <w:sz w:val="22"/>
              <w:szCs w:val="22"/>
            </w:rPr>
            <w:fldChar w:fldCharType="end"/>
          </w:r>
          <w:r>
            <w:rPr>
              <w:rFonts w:ascii="Times New Roman" w:hAnsi="Times New Roman" w:eastAsia="Times New Roman" w:cs="Times New Roman"/>
              <w:color w:val="231F20"/>
              <w:sz w:val="22"/>
              <w:szCs w:val="22"/>
            </w:rPr>
            <w:t>0</w:t>
          </w:r>
        </w:p>
      </w:sdtContent>
    </w:sdt>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57" w:line="222" w:lineRule="auto"/>
        <w:ind w:left="5426"/>
        <w:rPr>
          <w:rFonts w:ascii="SimHei" w:hAnsi="SimHei" w:eastAsia="SimHei" w:cs="SimHei"/>
          <w:sz w:val="48"/>
          <w:szCs w:val="48"/>
        </w:rPr>
      </w:pPr>
      <w:r>
        <w:rPr>
          <w:rFonts w:ascii="SimHei" w:hAnsi="SimHei" w:eastAsia="SimHei" w:cs="SimHei"/>
          <w:color w:val="015DAC"/>
          <w:spacing w:val="-8"/>
          <w:sz w:val="48"/>
          <w:szCs w:val="48"/>
        </w:rPr>
        <w:t>表</w:t>
      </w:r>
      <w:r>
        <w:rPr>
          <w:rFonts w:ascii="SimHei" w:hAnsi="SimHei" w:eastAsia="SimHei" w:cs="SimHei"/>
          <w:color w:val="015DAC"/>
          <w:spacing w:val="-7"/>
          <w:sz w:val="48"/>
          <w:szCs w:val="48"/>
        </w:rPr>
        <w:t>目录</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sdt>
      <w:sdtPr>
        <w:rPr>
          <w:rFonts w:ascii="微软雅黑" w:hAnsi="微软雅黑" w:eastAsia="微软雅黑" w:cs="微软雅黑"/>
          <w:sz w:val="22"/>
          <w:szCs w:val="22"/>
        </w:rPr>
        <w:id w:val="17"/>
        <w:docPartObj>
          <w:docPartGallery w:val="Table of Contents"/>
          <w:docPartUnique/>
        </w:docPartObj>
      </w:sdtPr>
      <w:sdtEndPr>
        <w:rPr>
          <w:rFonts w:ascii="Times New Roman" w:hAnsi="Times New Roman" w:eastAsia="Times New Roman" w:cs="Times New Roman"/>
          <w:sz w:val="22"/>
          <w:szCs w:val="22"/>
        </w:rPr>
      </w:sdtEndPr>
      <w:sdtContent>
        <w:p>
          <w:pPr>
            <w:tabs>
              <w:tab w:val="right" w:leader="dot" w:pos="10260"/>
            </w:tabs>
            <w:spacing w:before="95" w:line="202" w:lineRule="auto"/>
            <w:ind w:left="1992"/>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12"/>
              <w:sz w:val="22"/>
              <w:szCs w:val="22"/>
            </w:rPr>
            <w:t xml:space="preserve">表 </w:t>
          </w:r>
          <w:r>
            <w:rPr>
              <w:rFonts w:ascii="Times New Roman" w:hAnsi="Times New Roman" w:eastAsia="Times New Roman" w:cs="Times New Roman"/>
              <w:color w:val="231F20"/>
              <w:spacing w:val="12"/>
              <w:sz w:val="22"/>
              <w:szCs w:val="22"/>
            </w:rPr>
            <w:t>1</w:t>
          </w:r>
          <w:r>
            <w:rPr>
              <w:rFonts w:ascii="Times New Roman" w:hAnsi="Times New Roman" w:eastAsia="Times New Roman" w:cs="Times New Roman"/>
              <w:color w:val="231F20"/>
              <w:spacing w:val="11"/>
              <w:sz w:val="22"/>
              <w:szCs w:val="22"/>
            </w:rPr>
            <w:t>-</w:t>
          </w:r>
          <w:r>
            <w:rPr>
              <w:rFonts w:ascii="Times New Roman" w:hAnsi="Times New Roman" w:eastAsia="Times New Roman" w:cs="Times New Roman"/>
              <w:color w:val="231F20"/>
              <w:spacing w:val="6"/>
              <w:sz w:val="22"/>
              <w:szCs w:val="22"/>
            </w:rPr>
            <w:t xml:space="preserve">1 2017-2021 </w:t>
          </w:r>
          <w:r>
            <w:rPr>
              <w:rFonts w:ascii="微软雅黑" w:hAnsi="微软雅黑" w:eastAsia="微软雅黑" w:cs="微软雅黑"/>
              <w:color w:val="231F20"/>
              <w:spacing w:val="6"/>
              <w:sz w:val="22"/>
              <w:szCs w:val="22"/>
            </w:rPr>
            <w:t xml:space="preserve">年东、中、西部地区引资情况 </w:t>
          </w:r>
          <w:r>
            <w:rPr>
              <w:rFonts w:ascii="微软雅黑" w:hAnsi="微软雅黑" w:eastAsia="微软雅黑" w:cs="微软雅黑"/>
              <w:sz w:val="22"/>
              <w:szCs w:val="22"/>
            </w:rPr>
            <w:tab/>
          </w:r>
          <w:r>
            <w:rPr>
              <w:rFonts w:ascii="Times New Roman" w:hAnsi="Times New Roman" w:eastAsia="Times New Roman" w:cs="Times New Roman"/>
              <w:color w:val="231F20"/>
              <w:spacing w:val="6"/>
              <w:sz w:val="22"/>
              <w:szCs w:val="22"/>
            </w:rPr>
            <w:t>11</w:t>
          </w:r>
          <w:r>
            <w:rPr>
              <w:rFonts w:ascii="Times New Roman" w:hAnsi="Times New Roman" w:eastAsia="Times New Roman" w:cs="Times New Roman"/>
              <w:color w:val="231F20"/>
              <w:spacing w:val="6"/>
              <w:sz w:val="22"/>
              <w:szCs w:val="22"/>
            </w:rPr>
            <w:fldChar w:fldCharType="end"/>
          </w:r>
        </w:p>
        <w:p>
          <w:pPr>
            <w:tabs>
              <w:tab w:val="right" w:leader="dot" w:pos="10261"/>
            </w:tabs>
            <w:spacing w:before="122" w:line="201" w:lineRule="auto"/>
            <w:ind w:left="1992"/>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6"/>
              <w:sz w:val="22"/>
              <w:szCs w:val="22"/>
            </w:rPr>
            <w:t xml:space="preserve">表 </w:t>
          </w:r>
          <w:r>
            <w:rPr>
              <w:rFonts w:ascii="Times New Roman" w:hAnsi="Times New Roman" w:eastAsia="Times New Roman" w:cs="Times New Roman"/>
              <w:color w:val="231F20"/>
              <w:spacing w:val="5"/>
              <w:sz w:val="22"/>
              <w:szCs w:val="22"/>
            </w:rPr>
            <w:t>1</w:t>
          </w:r>
          <w:r>
            <w:rPr>
              <w:rFonts w:ascii="Times New Roman" w:hAnsi="Times New Roman" w:eastAsia="Times New Roman" w:cs="Times New Roman"/>
              <w:color w:val="231F20"/>
              <w:spacing w:val="3"/>
              <w:sz w:val="22"/>
              <w:szCs w:val="22"/>
            </w:rPr>
            <w:t xml:space="preserve">-2 2022 </w:t>
          </w:r>
          <w:r>
            <w:rPr>
              <w:rFonts w:ascii="微软雅黑" w:hAnsi="微软雅黑" w:eastAsia="微软雅黑" w:cs="微软雅黑"/>
              <w:color w:val="231F20"/>
              <w:spacing w:val="3"/>
              <w:sz w:val="22"/>
              <w:szCs w:val="22"/>
            </w:rPr>
            <w:t>年科尔尼外商直接投资信心指数排名</w:t>
          </w:r>
          <w:r>
            <w:rPr>
              <w:rFonts w:ascii="微软雅黑" w:hAnsi="微软雅黑" w:eastAsia="微软雅黑" w:cs="微软雅黑"/>
              <w:sz w:val="22"/>
              <w:szCs w:val="22"/>
            </w:rPr>
            <w:tab/>
          </w:r>
          <w:r>
            <w:rPr>
              <w:rFonts w:ascii="Times New Roman" w:hAnsi="Times New Roman" w:eastAsia="Times New Roman" w:cs="Times New Roman"/>
              <w:color w:val="231F20"/>
              <w:spacing w:val="3"/>
              <w:sz w:val="22"/>
              <w:szCs w:val="22"/>
            </w:rPr>
            <w:t>15</w:t>
          </w:r>
          <w:r>
            <w:rPr>
              <w:rFonts w:ascii="Times New Roman" w:hAnsi="Times New Roman" w:eastAsia="Times New Roman" w:cs="Times New Roman"/>
              <w:color w:val="231F20"/>
              <w:spacing w:val="3"/>
              <w:sz w:val="22"/>
              <w:szCs w:val="22"/>
            </w:rPr>
            <w:fldChar w:fldCharType="end"/>
          </w:r>
        </w:p>
        <w:p>
          <w:pPr>
            <w:tabs>
              <w:tab w:val="right" w:leader="dot" w:pos="10261"/>
            </w:tabs>
            <w:spacing w:before="124" w:line="202" w:lineRule="auto"/>
            <w:ind w:left="1993"/>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15"/>
              <w:sz w:val="22"/>
              <w:szCs w:val="22"/>
            </w:rPr>
            <w:t>表</w:t>
          </w:r>
          <w:r>
            <w:rPr>
              <w:rFonts w:ascii="微软雅黑" w:hAnsi="微软雅黑" w:eastAsia="微软雅黑" w:cs="微软雅黑"/>
              <w:color w:val="231F20"/>
              <w:spacing w:val="-11"/>
              <w:sz w:val="22"/>
              <w:szCs w:val="22"/>
            </w:rPr>
            <w:t xml:space="preserve"> </w:t>
          </w:r>
          <w:r>
            <w:rPr>
              <w:rFonts w:ascii="Times New Roman" w:hAnsi="Times New Roman" w:eastAsia="Times New Roman" w:cs="Times New Roman"/>
              <w:color w:val="231F20"/>
              <w:spacing w:val="-11"/>
              <w:sz w:val="22"/>
              <w:szCs w:val="22"/>
            </w:rPr>
            <w:t xml:space="preserve">2-1 2019-2020 </w:t>
          </w:r>
          <w:r>
            <w:rPr>
              <w:rFonts w:ascii="微软雅黑" w:hAnsi="微软雅黑" w:eastAsia="微软雅黑" w:cs="微软雅黑"/>
              <w:color w:val="231F20"/>
              <w:spacing w:val="-11"/>
              <w:sz w:val="22"/>
              <w:szCs w:val="22"/>
            </w:rPr>
            <w:t xml:space="preserve">年 在 华 外 资 药 企 研 发 情 况 </w:t>
          </w:r>
          <w:r>
            <w:rPr>
              <w:rFonts w:ascii="微软雅黑" w:hAnsi="微软雅黑" w:eastAsia="微软雅黑" w:cs="微软雅黑"/>
              <w:sz w:val="22"/>
              <w:szCs w:val="22"/>
            </w:rPr>
            <w:tab/>
          </w:r>
          <w:r>
            <w:rPr>
              <w:rFonts w:ascii="Times New Roman" w:hAnsi="Times New Roman" w:eastAsia="Times New Roman" w:cs="Times New Roman"/>
              <w:color w:val="231F20"/>
              <w:spacing w:val="-11"/>
              <w:sz w:val="22"/>
              <w:szCs w:val="22"/>
            </w:rPr>
            <w:t>34</w:t>
          </w:r>
          <w:r>
            <w:rPr>
              <w:rFonts w:ascii="Times New Roman" w:hAnsi="Times New Roman" w:eastAsia="Times New Roman" w:cs="Times New Roman"/>
              <w:color w:val="231F20"/>
              <w:spacing w:val="-11"/>
              <w:sz w:val="22"/>
              <w:szCs w:val="22"/>
            </w:rPr>
            <w:fldChar w:fldCharType="end"/>
          </w:r>
        </w:p>
        <w:p>
          <w:pPr>
            <w:tabs>
              <w:tab w:val="right" w:leader="dot" w:pos="10263"/>
            </w:tabs>
            <w:spacing w:before="122" w:line="202" w:lineRule="auto"/>
            <w:ind w:left="1994"/>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12"/>
              <w:sz w:val="22"/>
              <w:szCs w:val="22"/>
            </w:rPr>
            <w:t>表</w:t>
          </w:r>
          <w:r>
            <w:rPr>
              <w:rFonts w:ascii="微软雅黑" w:hAnsi="微软雅黑" w:eastAsia="微软雅黑" w:cs="微软雅黑"/>
              <w:color w:val="231F20"/>
              <w:spacing w:val="8"/>
              <w:sz w:val="22"/>
              <w:szCs w:val="22"/>
            </w:rPr>
            <w:t xml:space="preserve"> </w:t>
          </w:r>
          <w:r>
            <w:rPr>
              <w:rFonts w:ascii="Times New Roman" w:hAnsi="Times New Roman" w:eastAsia="Times New Roman" w:cs="Times New Roman"/>
              <w:color w:val="231F20"/>
              <w:spacing w:val="6"/>
              <w:sz w:val="22"/>
              <w:szCs w:val="22"/>
            </w:rPr>
            <w:t xml:space="preserve">2-2 2020-2022 </w:t>
          </w:r>
          <w:r>
            <w:rPr>
              <w:rFonts w:ascii="微软雅黑" w:hAnsi="微软雅黑" w:eastAsia="微软雅黑" w:cs="微软雅黑"/>
              <w:color w:val="231F20"/>
              <w:spacing w:val="6"/>
              <w:sz w:val="22"/>
              <w:szCs w:val="22"/>
            </w:rPr>
            <w:t>年中国支持集成电路产业发展的主要政策文件</w:t>
          </w:r>
          <w:r>
            <w:rPr>
              <w:rFonts w:ascii="微软雅黑" w:hAnsi="微软雅黑" w:eastAsia="微软雅黑" w:cs="微软雅黑"/>
              <w:sz w:val="22"/>
              <w:szCs w:val="22"/>
            </w:rPr>
            <w:tab/>
          </w:r>
          <w:r>
            <w:rPr>
              <w:rFonts w:ascii="Times New Roman" w:hAnsi="Times New Roman" w:eastAsia="Times New Roman" w:cs="Times New Roman"/>
              <w:color w:val="231F20"/>
              <w:spacing w:val="6"/>
              <w:sz w:val="22"/>
              <w:szCs w:val="22"/>
            </w:rPr>
            <w:t>36</w:t>
          </w:r>
          <w:r>
            <w:rPr>
              <w:rFonts w:ascii="Times New Roman" w:hAnsi="Times New Roman" w:eastAsia="Times New Roman" w:cs="Times New Roman"/>
              <w:color w:val="231F20"/>
              <w:spacing w:val="6"/>
              <w:sz w:val="22"/>
              <w:szCs w:val="22"/>
            </w:rPr>
            <w:fldChar w:fldCharType="end"/>
          </w:r>
        </w:p>
        <w:p>
          <w:pPr>
            <w:tabs>
              <w:tab w:val="right" w:leader="dot" w:pos="10260"/>
            </w:tabs>
            <w:spacing w:before="121" w:line="202" w:lineRule="auto"/>
            <w:ind w:left="1995"/>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3"/>
              <w:sz w:val="22"/>
              <w:szCs w:val="22"/>
            </w:rPr>
            <w:t xml:space="preserve">表 </w:t>
          </w:r>
          <w:r>
            <w:rPr>
              <w:rFonts w:ascii="Times New Roman" w:hAnsi="Times New Roman" w:eastAsia="Times New Roman" w:cs="Times New Roman"/>
              <w:color w:val="231F20"/>
              <w:spacing w:val="3"/>
              <w:sz w:val="22"/>
              <w:szCs w:val="22"/>
            </w:rPr>
            <w:t xml:space="preserve">2-3 2021 </w:t>
          </w:r>
          <w:r>
            <w:rPr>
              <w:rFonts w:ascii="微软雅黑" w:hAnsi="微软雅黑" w:eastAsia="微软雅黑" w:cs="微软雅黑"/>
              <w:color w:val="231F20"/>
              <w:spacing w:val="3"/>
              <w:sz w:val="22"/>
              <w:szCs w:val="22"/>
            </w:rPr>
            <w:t>年有关化工制造业绿色低碳转型的政策文件</w:t>
          </w:r>
          <w:r>
            <w:rPr>
              <w:rFonts w:ascii="微软雅黑" w:hAnsi="微软雅黑" w:eastAsia="微软雅黑" w:cs="微软雅黑"/>
              <w:sz w:val="22"/>
              <w:szCs w:val="22"/>
            </w:rPr>
            <w:tab/>
          </w:r>
          <w:r>
            <w:rPr>
              <w:rFonts w:ascii="Times New Roman" w:hAnsi="Times New Roman" w:eastAsia="Times New Roman" w:cs="Times New Roman"/>
              <w:color w:val="231F20"/>
              <w:spacing w:val="3"/>
              <w:sz w:val="22"/>
              <w:szCs w:val="22"/>
            </w:rPr>
            <w:t>4</w:t>
          </w:r>
          <w:r>
            <w:rPr>
              <w:rFonts w:ascii="Times New Roman" w:hAnsi="Times New Roman" w:eastAsia="Times New Roman" w:cs="Times New Roman"/>
              <w:color w:val="231F20"/>
              <w:spacing w:val="1"/>
              <w:sz w:val="22"/>
              <w:szCs w:val="22"/>
            </w:rPr>
            <w:t>4</w:t>
          </w:r>
          <w:r>
            <w:rPr>
              <w:rFonts w:ascii="Times New Roman" w:hAnsi="Times New Roman" w:eastAsia="Times New Roman" w:cs="Times New Roman"/>
              <w:color w:val="231F20"/>
              <w:spacing w:val="1"/>
              <w:sz w:val="22"/>
              <w:szCs w:val="22"/>
            </w:rPr>
            <w:fldChar w:fldCharType="end"/>
          </w:r>
        </w:p>
        <w:p>
          <w:pPr>
            <w:tabs>
              <w:tab w:val="right" w:leader="dot" w:pos="10261"/>
            </w:tabs>
            <w:spacing w:before="88" w:line="234" w:lineRule="auto"/>
            <w:ind w:left="1993"/>
            <w:rPr>
              <w:rFonts w:ascii="Times New Roman" w:hAnsi="Times New Roman" w:eastAsia="Times New Roman" w:cs="Times New Roman"/>
              <w:sz w:val="22"/>
              <w:szCs w:val="22"/>
            </w:rPr>
          </w:pPr>
          <w:r>
            <w:fldChar w:fldCharType="begin"/>
          </w:r>
          <w:r>
            <w:instrText xml:space="preserve"> HYPERLINK \l "_bookmark87" </w:instrText>
          </w:r>
          <w:r>
            <w:fldChar w:fldCharType="separate"/>
          </w:r>
          <w:r>
            <w:rPr>
              <w:rFonts w:ascii="微软雅黑" w:hAnsi="微软雅黑" w:eastAsia="微软雅黑" w:cs="微软雅黑"/>
              <w:color w:val="231F20"/>
              <w:spacing w:val="4"/>
              <w:sz w:val="22"/>
              <w:szCs w:val="22"/>
            </w:rPr>
            <w:t>表</w:t>
          </w:r>
          <w:r>
            <w:rPr>
              <w:rFonts w:ascii="微软雅黑" w:hAnsi="微软雅黑" w:eastAsia="微软雅黑" w:cs="微软雅黑"/>
              <w:color w:val="231F20"/>
              <w:spacing w:val="2"/>
              <w:sz w:val="22"/>
              <w:szCs w:val="22"/>
            </w:rPr>
            <w:t xml:space="preserve"> </w:t>
          </w:r>
          <w:r>
            <w:rPr>
              <w:rFonts w:ascii="Times New Roman" w:hAnsi="Times New Roman" w:eastAsia="Times New Roman" w:cs="Times New Roman"/>
              <w:color w:val="231F20"/>
              <w:spacing w:val="2"/>
              <w:sz w:val="22"/>
              <w:szCs w:val="22"/>
            </w:rPr>
            <w:t xml:space="preserve">2-4 2016-2020 </w:t>
          </w:r>
          <w:r>
            <w:rPr>
              <w:rFonts w:ascii="微软雅黑" w:hAnsi="微软雅黑" w:eastAsia="微软雅黑" w:cs="微软雅黑"/>
              <w:color w:val="231F20"/>
              <w:spacing w:val="2"/>
              <w:sz w:val="22"/>
              <w:szCs w:val="22"/>
            </w:rPr>
            <w:t xml:space="preserve">年规模以上化学原料和化学制品制造业企业 </w:t>
          </w:r>
          <w:r>
            <w:rPr>
              <w:rFonts w:ascii="Times New Roman" w:hAnsi="Times New Roman" w:eastAsia="Times New Roman" w:cs="Times New Roman"/>
              <w:color w:val="231F20"/>
              <w:sz w:val="22"/>
              <w:szCs w:val="22"/>
            </w:rPr>
            <w:t>R</w:t>
          </w:r>
          <w:r>
            <w:rPr>
              <w:rFonts w:ascii="Times New Roman" w:hAnsi="Times New Roman" w:eastAsia="Times New Roman" w:cs="Times New Roman"/>
              <w:color w:val="231F20"/>
              <w:spacing w:val="2"/>
              <w:sz w:val="22"/>
              <w:szCs w:val="22"/>
            </w:rPr>
            <w:t>&amp;</w:t>
          </w:r>
          <w:r>
            <w:rPr>
              <w:rFonts w:ascii="Times New Roman" w:hAnsi="Times New Roman" w:eastAsia="Times New Roman" w:cs="Times New Roman"/>
              <w:color w:val="231F20"/>
              <w:sz w:val="22"/>
              <w:szCs w:val="22"/>
            </w:rPr>
            <w:t>D</w:t>
          </w:r>
          <w:r>
            <w:rPr>
              <w:rFonts w:ascii="Times New Roman" w:hAnsi="Times New Roman" w:eastAsia="Times New Roman" w:cs="Times New Roman"/>
              <w:color w:val="231F20"/>
              <w:spacing w:val="2"/>
              <w:sz w:val="22"/>
              <w:szCs w:val="22"/>
            </w:rPr>
            <w:t xml:space="preserve"> </w:t>
          </w:r>
          <w:r>
            <w:rPr>
              <w:rFonts w:ascii="微软雅黑" w:hAnsi="微软雅黑" w:eastAsia="微软雅黑" w:cs="微软雅黑"/>
              <w:color w:val="231F20"/>
              <w:spacing w:val="2"/>
              <w:sz w:val="22"/>
              <w:szCs w:val="22"/>
            </w:rPr>
            <w:t>情况</w:t>
          </w:r>
          <w:r>
            <w:rPr>
              <w:rFonts w:ascii="微软雅黑" w:hAnsi="微软雅黑" w:eastAsia="微软雅黑" w:cs="微软雅黑"/>
              <w:sz w:val="22"/>
              <w:szCs w:val="22"/>
            </w:rPr>
            <w:tab/>
          </w:r>
          <w:r>
            <w:rPr>
              <w:rFonts w:ascii="Times New Roman" w:hAnsi="Times New Roman" w:eastAsia="Times New Roman" w:cs="Times New Roman"/>
              <w:color w:val="231F20"/>
              <w:spacing w:val="2"/>
              <w:sz w:val="22"/>
              <w:szCs w:val="22"/>
            </w:rPr>
            <w:t>47</w:t>
          </w:r>
          <w:r>
            <w:rPr>
              <w:rFonts w:ascii="Times New Roman" w:hAnsi="Times New Roman" w:eastAsia="Times New Roman" w:cs="Times New Roman"/>
              <w:color w:val="231F20"/>
              <w:spacing w:val="2"/>
              <w:sz w:val="22"/>
              <w:szCs w:val="22"/>
            </w:rPr>
            <w:fldChar w:fldCharType="end"/>
          </w:r>
        </w:p>
      </w:sdtContent>
    </w:sdt>
    <w:p>
      <w:pPr>
        <w:sectPr>
          <w:pgSz w:w="12246" w:h="16498"/>
          <w:pgMar w:top="400" w:right="0" w:bottom="400" w:left="0" w:header="0" w:footer="0" w:gutter="0"/>
          <w:cols w:space="720" w:num="1"/>
        </w:sectPr>
      </w:pPr>
    </w:p>
    <w:p>
      <w:pPr>
        <w:spacing w:line="248" w:lineRule="auto"/>
        <w:rPr>
          <w:rFonts w:ascii="Arial"/>
          <w:sz w:val="21"/>
        </w:rPr>
      </w:pPr>
      <w:r>
        <w:pict>
          <v:rect id="_x0000_s1026" o:spid="_x0000_s1026" o:spt="1" style="position:absolute;left:0pt;margin-left:-644.8pt;margin-top:791.55pt;height:43.95pt;width:653.35pt;mso-position-horizontal-relative:page;mso-position-vertical-relative:page;z-index:-251631616;mso-width-relative:page;mso-height-relative:page;" fillcolor="#5C89B0" filled="t" stroked="f" coordsize="21600,21600" o:allowincell="f">
            <v:path/>
            <v:fill on="t" opacity="39322f" focussize="0,0"/>
            <v:stroke on="f"/>
            <v:imagedata o:title=""/>
            <o:lock v:ext="edit"/>
          </v:rect>
        </w:pic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273" w:line="1111" w:lineRule="exact"/>
        <w:ind w:left="4901"/>
        <w:rPr>
          <w:rFonts w:ascii="SimHei" w:hAnsi="SimHei" w:eastAsia="SimHei" w:cs="SimHei"/>
          <w:sz w:val="84"/>
          <w:szCs w:val="84"/>
        </w:rPr>
      </w:pPr>
      <w:bookmarkStart w:id="4" w:name="_bookmark95"/>
      <w:bookmarkEnd w:id="4"/>
      <w:r>
        <w:rPr>
          <w:rFonts w:ascii="SimHei" w:hAnsi="SimHei" w:eastAsia="SimHei" w:cs="SimHei"/>
          <w:color w:val="004876"/>
          <w:spacing w:val="-9"/>
          <w:position w:val="3"/>
          <w:sz w:val="84"/>
          <w:szCs w:val="84"/>
          <w14:textOutline w14:w="12700" w14:cap="flat" w14:cmpd="sng">
            <w14:solidFill>
              <w14:srgbClr w14:val="004876"/>
            </w14:solidFill>
            <w14:prstDash w14:val="solid"/>
            <w14:miter w14:val="0"/>
          </w14:textOutline>
        </w:rPr>
        <w:t>综</w:t>
      </w:r>
      <w:r>
        <w:rPr>
          <w:rFonts w:ascii="SimHei" w:hAnsi="SimHei" w:eastAsia="SimHei" w:cs="SimHei"/>
          <w:color w:val="004876"/>
          <w:spacing w:val="-7"/>
          <w:position w:val="3"/>
          <w:sz w:val="84"/>
          <w:szCs w:val="84"/>
          <w14:textOutline w14:w="12700" w14:cap="flat" w14:cmpd="sng">
            <w14:solidFill>
              <w14:srgbClr w14:val="004876"/>
            </w14:solidFill>
            <w14:prstDash w14:val="solid"/>
            <w14:miter w14:val="0"/>
          </w14:textOutline>
        </w:rPr>
        <w:t>合篇</w:t>
      </w:r>
    </w:p>
    <w:p>
      <w:pPr>
        <w:sectPr>
          <w:headerReference r:id="rId7" w:type="default"/>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68588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3"/>
        <w:rPr>
          <w:rFonts w:ascii="SimHei" w:hAnsi="SimHei" w:eastAsia="SimHei" w:cs="SimHei"/>
          <w:sz w:val="21"/>
          <w:szCs w:val="21"/>
        </w:rPr>
      </w:pPr>
      <w:bookmarkStart w:id="5" w:name="_bookmark96"/>
      <w:bookmarkEnd w:id="5"/>
      <w:r>
        <w:rPr>
          <w:rFonts w:ascii="Arial" w:hAnsi="Arial" w:eastAsia="Arial" w:cs="Arial"/>
          <w:color w:val="231F20"/>
          <w:spacing w:val="22"/>
          <w:sz w:val="20"/>
          <w:szCs w:val="20"/>
        </w:rPr>
        <w:t>2</w:t>
      </w:r>
      <w:r>
        <w:rPr>
          <w:rFonts w:ascii="Arial" w:hAnsi="Arial" w:eastAsia="Arial" w:cs="Arial"/>
          <w:color w:val="231F20"/>
          <w:spacing w:val="21"/>
          <w:sz w:val="20"/>
          <w:szCs w:val="20"/>
        </w:rPr>
        <w:t xml:space="preserve">    </w:t>
      </w:r>
      <w:r>
        <w:rPr>
          <w:position w:val="-5"/>
          <w:sz w:val="20"/>
          <w:szCs w:val="20"/>
        </w:rPr>
        <w:drawing>
          <wp:inline distT="0" distB="0" distL="0" distR="0">
            <wp:extent cx="3175" cy="147320"/>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综合篇</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072" w:lineRule="exact"/>
        <w:ind w:firstLine="1984"/>
        <w:textAlignment w:val="center"/>
      </w:pPr>
      <w:r>
        <w:pict>
          <v:group id="_x0000_s1027" o:spid="_x0000_s1027" o:spt="203" style="height:103.6pt;width:413.9pt;" coordsize="8277,2071">
            <o:lock v:ext="edit"/>
            <v:rect id="_x0000_s1028" o:spid="_x0000_s1028" o:spt="1" style="position:absolute;left:0;top:112;height:1851;width:8277;" fillcolor="#E5F5FC" filled="t" stroked="f" coordsize="21600,21600">
              <v:path/>
              <v:fill on="t" focussize="0,0"/>
              <v:stroke on="f"/>
              <v:imagedata o:title=""/>
              <o:lock v:ext="edit"/>
            </v:rect>
            <v:shape id="_x0000_s1029" o:spid="_x0000_s1029" o:spt="202" type="#_x0000_t202" style="position:absolute;left:-20;top:-20;height:2111;width:8317;" filled="f" stroked="f" coordsize="21600,21600">
              <v:path/>
              <v:fill on="f" focussize="0,0"/>
              <v:stroke on="f"/>
              <v:imagedata o:title=""/>
              <o:lock v:ext="edit" aspectratio="f"/>
              <v:textbox inset="0mm,0mm,0mm,0mm">
                <w:txbxContent>
                  <w:p>
                    <w:pPr>
                      <w:spacing w:before="20" w:line="40" w:lineRule="exact"/>
                      <w:ind w:firstLine="20"/>
                      <w:textAlignment w:val="center"/>
                    </w:pPr>
                    <w:r>
                      <w:drawing>
                        <wp:inline distT="0" distB="0" distL="0" distR="0">
                          <wp:extent cx="5255895" cy="25400"/>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46"/>
                                  <a:stretch>
                                    <a:fillRect/>
                                  </a:stretch>
                                </pic:blipFill>
                                <pic:spPr>
                                  <a:xfrm>
                                    <a:off x="0" y="0"/>
                                    <a:ext cx="5255996" cy="25400"/>
                                  </a:xfrm>
                                  <a:prstGeom prst="rect">
                                    <a:avLst/>
                                  </a:prstGeom>
                                </pic:spPr>
                              </pic:pic>
                            </a:graphicData>
                          </a:graphic>
                        </wp:inline>
                      </w:drawing>
                    </w:r>
                  </w:p>
                  <w:p>
                    <w:pPr>
                      <w:spacing w:before="300" w:line="336" w:lineRule="auto"/>
                      <w:ind w:left="235" w:right="112" w:firstLine="615"/>
                      <w:rPr>
                        <w:rFonts w:ascii="SimHei" w:hAnsi="SimHei" w:eastAsia="SimHei" w:cs="SimHei"/>
                        <w:sz w:val="28"/>
                        <w:szCs w:val="28"/>
                      </w:rPr>
                    </w:pPr>
                    <w:r>
                      <w:rPr>
                        <w:rFonts w:ascii="SimHei" w:hAnsi="SimHei" w:eastAsia="SimHei" w:cs="SimHei"/>
                        <w:color w:val="015DAC"/>
                        <w:spacing w:val="8"/>
                        <w:sz w:val="28"/>
                        <w:szCs w:val="28"/>
                      </w:rPr>
                      <w:t xml:space="preserve">2021 </w:t>
                    </w:r>
                    <w:r>
                      <w:rPr>
                        <w:rFonts w:ascii="SimHei" w:hAnsi="SimHei" w:eastAsia="SimHei" w:cs="SimHei"/>
                        <w:color w:val="015DAC"/>
                        <w:spacing w:val="5"/>
                        <w:sz w:val="28"/>
                        <w:szCs w:val="28"/>
                      </w:rPr>
                      <w:t>年</w:t>
                    </w:r>
                    <w:r>
                      <w:rPr>
                        <w:rFonts w:ascii="SimHei" w:hAnsi="SimHei" w:eastAsia="SimHei" w:cs="SimHei"/>
                        <w:color w:val="015DAC"/>
                        <w:spacing w:val="4"/>
                        <w:sz w:val="28"/>
                        <w:szCs w:val="28"/>
                      </w:rPr>
                      <w:t>，面对复杂严峻的国内外形势，中国持续扩大高水</w:t>
                    </w:r>
                    <w:r>
                      <w:rPr>
                        <w:rFonts w:ascii="SimHei" w:hAnsi="SimHei" w:eastAsia="SimHei" w:cs="SimHei"/>
                        <w:color w:val="015DAC"/>
                        <w:sz w:val="28"/>
                        <w:szCs w:val="28"/>
                      </w:rPr>
                      <w:t xml:space="preserve"> </w:t>
                    </w:r>
                    <w:r>
                      <w:rPr>
                        <w:rFonts w:ascii="SimHei" w:hAnsi="SimHei" w:eastAsia="SimHei" w:cs="SimHei"/>
                        <w:color w:val="015DAC"/>
                        <w:spacing w:val="-14"/>
                        <w:sz w:val="28"/>
                        <w:szCs w:val="28"/>
                      </w:rPr>
                      <w:t>平对外开放， 扎实推进利用外资各项工作， 稳外资取得显著成效</w:t>
                    </w:r>
                    <w:r>
                      <w:rPr>
                        <w:rFonts w:ascii="SimHei" w:hAnsi="SimHei" w:eastAsia="SimHei" w:cs="SimHei"/>
                        <w:color w:val="015DAC"/>
                        <w:spacing w:val="-11"/>
                        <w:sz w:val="28"/>
                        <w:szCs w:val="28"/>
                      </w:rPr>
                      <w:t>，</w:t>
                    </w:r>
                    <w:r>
                      <w:rPr>
                        <w:rFonts w:ascii="SimHei" w:hAnsi="SimHei" w:eastAsia="SimHei" w:cs="SimHei"/>
                        <w:color w:val="015DAC"/>
                        <w:sz w:val="28"/>
                        <w:szCs w:val="28"/>
                      </w:rPr>
                      <w:t xml:space="preserve"> </w:t>
                    </w:r>
                    <w:r>
                      <w:rPr>
                        <w:rFonts w:ascii="SimHei" w:hAnsi="SimHei" w:eastAsia="SimHei" w:cs="SimHei"/>
                        <w:color w:val="015DAC"/>
                        <w:spacing w:val="-2"/>
                        <w:sz w:val="28"/>
                        <w:szCs w:val="28"/>
                      </w:rPr>
                      <w:t>实现了“十四五</w:t>
                    </w:r>
                    <w:r>
                      <w:rPr>
                        <w:rFonts w:ascii="SimHei" w:hAnsi="SimHei" w:eastAsia="SimHei" w:cs="SimHei"/>
                        <w:color w:val="015DAC"/>
                        <w:spacing w:val="-1"/>
                        <w:sz w:val="28"/>
                        <w:szCs w:val="28"/>
                      </w:rPr>
                      <w:t>”时期利用外资良好开局。</w:t>
                    </w:r>
                  </w:p>
                  <w:p>
                    <w:pPr>
                      <w:spacing w:before="161" w:line="40" w:lineRule="exact"/>
                      <w:ind w:firstLine="20"/>
                      <w:textAlignment w:val="center"/>
                    </w:pPr>
                    <w:r>
                      <w:drawing>
                        <wp:inline distT="0" distB="0" distL="0" distR="0">
                          <wp:extent cx="5255895" cy="2476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7"/>
                                  <a:stretch>
                                    <a:fillRect/>
                                  </a:stretch>
                                </pic:blipFill>
                                <pic:spPr>
                                  <a:xfrm>
                                    <a:off x="0" y="0"/>
                                    <a:ext cx="5255996" cy="25399"/>
                                  </a:xfrm>
                                  <a:prstGeom prst="rect">
                                    <a:avLst/>
                                  </a:prstGeom>
                                </pic:spPr>
                              </pic:pic>
                            </a:graphicData>
                          </a:graphic>
                        </wp:inline>
                      </w:drawing>
                    </w:r>
                  </w:p>
                </w:txbxContent>
              </v:textbox>
            </v:shape>
            <w10:wrap type="none"/>
            <w10:anchorlock/>
          </v:group>
        </w:pic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91" w:line="221" w:lineRule="auto"/>
        <w:ind w:left="2623"/>
        <w:rPr>
          <w:rFonts w:ascii="SimHei" w:hAnsi="SimHei" w:eastAsia="SimHei" w:cs="SimHei"/>
          <w:sz w:val="28"/>
          <w:szCs w:val="28"/>
        </w:rPr>
      </w:pPr>
      <w:r>
        <w:rPr>
          <w:rFonts w:ascii="SimHei" w:hAnsi="SimHei" w:eastAsia="SimHei" w:cs="SimHei"/>
          <w:color w:val="015DAC"/>
          <w:spacing w:val="1"/>
          <w:sz w:val="28"/>
          <w:szCs w:val="28"/>
        </w:rPr>
        <w:t>一、</w:t>
      </w:r>
      <w:r>
        <w:rPr>
          <w:rFonts w:ascii="Times New Roman" w:hAnsi="Times New Roman" w:eastAsia="Times New Roman" w:cs="Times New Roman"/>
          <w:color w:val="015DAC"/>
          <w:spacing w:val="1"/>
          <w:sz w:val="28"/>
          <w:szCs w:val="28"/>
        </w:rPr>
        <w:t xml:space="preserve">2021 </w:t>
      </w:r>
      <w:r>
        <w:rPr>
          <w:rFonts w:ascii="SimHei" w:hAnsi="SimHei" w:eastAsia="SimHei" w:cs="SimHei"/>
          <w:color w:val="015DAC"/>
          <w:spacing w:val="1"/>
          <w:sz w:val="28"/>
          <w:szCs w:val="28"/>
        </w:rPr>
        <w:t>年中国外</w:t>
      </w:r>
      <w:r>
        <w:rPr>
          <w:rFonts w:ascii="SimHei" w:hAnsi="SimHei" w:eastAsia="SimHei" w:cs="SimHei"/>
          <w:color w:val="015DAC"/>
          <w:sz w:val="28"/>
          <w:szCs w:val="28"/>
        </w:rPr>
        <w:t>商投资发展面临的形势</w:t>
      </w:r>
    </w:p>
    <w:p>
      <w:pPr>
        <w:spacing w:before="285" w:line="202" w:lineRule="auto"/>
        <w:ind w:left="2442"/>
        <w:rPr>
          <w:rFonts w:ascii="微软雅黑" w:hAnsi="微软雅黑" w:eastAsia="微软雅黑" w:cs="微软雅黑"/>
          <w:sz w:val="22"/>
          <w:szCs w:val="22"/>
        </w:rPr>
      </w:pPr>
      <w:r>
        <w:rPr>
          <w:rFonts w:ascii="Times New Roman" w:hAnsi="Times New Roman" w:eastAsia="Times New Roman" w:cs="Times New Roman"/>
          <w:color w:val="231F20"/>
          <w:spacing w:val="1"/>
          <w:sz w:val="22"/>
          <w:szCs w:val="22"/>
        </w:rPr>
        <w:t>20</w:t>
      </w:r>
      <w:r>
        <w:rPr>
          <w:rFonts w:ascii="Times New Roman" w:hAnsi="Times New Roman" w:eastAsia="Times New Roman" w:cs="Times New Roman"/>
          <w:color w:val="231F20"/>
          <w:sz w:val="22"/>
          <w:szCs w:val="22"/>
        </w:rPr>
        <w:t xml:space="preserve">21 </w:t>
      </w:r>
      <w:r>
        <w:rPr>
          <w:rFonts w:ascii="微软雅黑" w:hAnsi="微软雅黑" w:eastAsia="微软雅黑" w:cs="微软雅黑"/>
          <w:color w:val="231F20"/>
          <w:sz w:val="22"/>
          <w:szCs w:val="22"/>
        </w:rPr>
        <w:t>年 ，在世界经济缓慢复苏、新冠疫情持续蔓延、全球产业链供应链受阻等复</w:t>
      </w:r>
    </w:p>
    <w:p>
      <w:pPr>
        <w:spacing w:before="82" w:line="272" w:lineRule="auto"/>
        <w:ind w:left="1999" w:right="1890" w:firstLine="3"/>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杂多变的国</w:t>
      </w:r>
      <w:r>
        <w:rPr>
          <w:rFonts w:ascii="微软雅黑" w:hAnsi="微软雅黑" w:eastAsia="微软雅黑" w:cs="微软雅黑"/>
          <w:color w:val="231F20"/>
          <w:spacing w:val="-4"/>
          <w:sz w:val="22"/>
          <w:szCs w:val="22"/>
        </w:rPr>
        <w:t>际</w:t>
      </w:r>
      <w:r>
        <w:rPr>
          <w:rFonts w:ascii="微软雅黑" w:hAnsi="微软雅黑" w:eastAsia="微软雅黑" w:cs="微软雅黑"/>
          <w:color w:val="231F20"/>
          <w:spacing w:val="-3"/>
          <w:sz w:val="22"/>
          <w:szCs w:val="22"/>
        </w:rPr>
        <w:t>形势下，  中国科学统筹疫情防控和经济社会发展，  国民经济持续稳定恢</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复，高质量发</w:t>
      </w:r>
      <w:r>
        <w:rPr>
          <w:rFonts w:ascii="微软雅黑" w:hAnsi="微软雅黑" w:eastAsia="微软雅黑" w:cs="微软雅黑"/>
          <w:color w:val="231F20"/>
          <w:spacing w:val="-5"/>
          <w:sz w:val="22"/>
          <w:szCs w:val="22"/>
        </w:rPr>
        <w:t>展取得新成效，对外商投资形成了强大吸引力，促进了外商投资持续增长。</w:t>
      </w:r>
    </w:p>
    <w:p>
      <w:pPr>
        <w:spacing w:before="178" w:line="222" w:lineRule="auto"/>
        <w:ind w:left="2462"/>
        <w:rPr>
          <w:rFonts w:ascii="SimHei" w:hAnsi="SimHei" w:eastAsia="SimHei" w:cs="SimHei"/>
          <w:sz w:val="24"/>
          <w:szCs w:val="24"/>
        </w:rPr>
      </w:pPr>
      <w:r>
        <w:rPr>
          <w:rFonts w:ascii="SimHei" w:hAnsi="SimHei" w:eastAsia="SimHei" w:cs="SimHei"/>
          <w:color w:val="015DAC"/>
          <w:spacing w:val="18"/>
          <w:sz w:val="24"/>
          <w:szCs w:val="24"/>
        </w:rPr>
        <w:t>(</w:t>
      </w:r>
      <w:r>
        <w:rPr>
          <w:rFonts w:ascii="SimHei" w:hAnsi="SimHei" w:eastAsia="SimHei" w:cs="SimHei"/>
          <w:color w:val="015DAC"/>
          <w:spacing w:val="12"/>
          <w:sz w:val="24"/>
          <w:szCs w:val="24"/>
        </w:rPr>
        <w:t>一) 国际形势</w:t>
      </w:r>
    </w:p>
    <w:p>
      <w:pPr>
        <w:spacing w:line="265" w:lineRule="auto"/>
        <w:rPr>
          <w:rFonts w:ascii="Arial"/>
          <w:sz w:val="21"/>
        </w:rPr>
      </w:pPr>
    </w:p>
    <w:p>
      <w:pPr>
        <w:spacing w:before="71" w:line="217" w:lineRule="auto"/>
        <w:ind w:left="2463"/>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1. </w:t>
      </w:r>
      <w:r>
        <w:rPr>
          <w:rFonts w:ascii="KaiTi" w:hAnsi="KaiTi" w:eastAsia="KaiTi" w:cs="KaiTi"/>
          <w:color w:val="015DAC"/>
          <w:spacing w:val="-1"/>
          <w:sz w:val="22"/>
          <w:szCs w:val="22"/>
        </w:rPr>
        <w:t>全球经济呈现显著</w:t>
      </w:r>
      <w:r>
        <w:rPr>
          <w:rFonts w:ascii="KaiTi" w:hAnsi="KaiTi" w:eastAsia="KaiTi" w:cs="KaiTi"/>
          <w:color w:val="015DAC"/>
          <w:sz w:val="22"/>
          <w:szCs w:val="22"/>
        </w:rPr>
        <w:t>复苏态势</w:t>
      </w:r>
    </w:p>
    <w:p>
      <w:pPr>
        <w:spacing w:line="265" w:lineRule="auto"/>
        <w:rPr>
          <w:rFonts w:ascii="Arial"/>
          <w:sz w:val="21"/>
        </w:rPr>
      </w:pPr>
    </w:p>
    <w:p>
      <w:pPr>
        <w:spacing w:before="96" w:line="257" w:lineRule="auto"/>
        <w:ind w:left="1985" w:right="1982" w:firstLine="468"/>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 xml:space="preserve">受益于各国应对疫情采取的多项宏观刺激政策， </w:t>
      </w:r>
      <w:r>
        <w:rPr>
          <w:rFonts w:ascii="微软雅黑" w:hAnsi="微软雅黑" w:eastAsia="微软雅黑" w:cs="微软雅黑"/>
          <w:color w:val="231F20"/>
          <w:sz w:val="22"/>
          <w:szCs w:val="22"/>
        </w:rPr>
        <w:t xml:space="preserve"> 以及一些国家放松了疫情相关的 </w:t>
      </w:r>
      <w:r>
        <w:rPr>
          <w:rFonts w:ascii="微软雅黑" w:hAnsi="微软雅黑" w:eastAsia="微软雅黑" w:cs="微软雅黑"/>
          <w:color w:val="231F20"/>
          <w:spacing w:val="1"/>
          <w:sz w:val="22"/>
          <w:szCs w:val="22"/>
        </w:rPr>
        <w:t>管控封锁措施，</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年世界经济</w:t>
      </w:r>
      <w:r>
        <w:rPr>
          <w:rFonts w:ascii="微软雅黑" w:hAnsi="微软雅黑" w:eastAsia="微软雅黑" w:cs="微软雅黑"/>
          <w:color w:val="231F20"/>
          <w:sz w:val="22"/>
          <w:szCs w:val="22"/>
        </w:rPr>
        <w:t xml:space="preserve">一定程度上摆脱了新冠肺炎疫情的影响 ，实现了强劲 </w:t>
      </w:r>
      <w:r>
        <w:rPr>
          <w:rFonts w:ascii="微软雅黑" w:hAnsi="微软雅黑" w:eastAsia="微软雅黑" w:cs="微软雅黑"/>
          <w:color w:val="231F20"/>
          <w:spacing w:val="4"/>
          <w:sz w:val="22"/>
          <w:szCs w:val="22"/>
        </w:rPr>
        <w:t xml:space="preserve">复苏 </w:t>
      </w:r>
      <w:r>
        <w:rPr>
          <w:rFonts w:ascii="微软雅黑" w:hAnsi="微软雅黑" w:eastAsia="微软雅黑" w:cs="微软雅黑"/>
          <w:color w:val="231F20"/>
          <w:spacing w:val="3"/>
          <w:sz w:val="22"/>
          <w:szCs w:val="22"/>
        </w:rPr>
        <w:t>，</w:t>
      </w:r>
      <w:r>
        <w:rPr>
          <w:rFonts w:ascii="微软雅黑" w:hAnsi="微软雅黑" w:eastAsia="微软雅黑" w:cs="微软雅黑"/>
          <w:color w:val="231F20"/>
          <w:spacing w:val="2"/>
          <w:sz w:val="22"/>
          <w:szCs w:val="22"/>
        </w:rPr>
        <w:t xml:space="preserve">带动了全球跨国投资增长。国际货币基金组织 ( </w:t>
      </w:r>
      <w:r>
        <w:rPr>
          <w:rFonts w:ascii="Times New Roman" w:hAnsi="Times New Roman" w:eastAsia="Times New Roman" w:cs="Times New Roman"/>
          <w:color w:val="231F20"/>
          <w:sz w:val="22"/>
          <w:szCs w:val="22"/>
        </w:rPr>
        <w:t>IMF</w:t>
      </w:r>
      <w:r>
        <w:rPr>
          <w:rFonts w:ascii="Times New Roman" w:hAnsi="Times New Roman" w:eastAsia="Times New Roman" w:cs="Times New Roman"/>
          <w:color w:val="231F20"/>
          <w:spacing w:val="2"/>
          <w:sz w:val="22"/>
          <w:szCs w:val="22"/>
        </w:rPr>
        <w:t xml:space="preserve"> </w:t>
      </w:r>
      <w:r>
        <w:rPr>
          <w:rFonts w:ascii="微软雅黑" w:hAnsi="微软雅黑" w:eastAsia="微软雅黑" w:cs="微软雅黑"/>
          <w:color w:val="231F20"/>
          <w:spacing w:val="2"/>
          <w:sz w:val="22"/>
          <w:szCs w:val="22"/>
        </w:rPr>
        <w:t xml:space="preserve">) </w:t>
      </w:r>
      <w:r>
        <w:rPr>
          <w:rFonts w:ascii="Times New Roman" w:hAnsi="Times New Roman" w:eastAsia="Times New Roman" w:cs="Times New Roman"/>
          <w:color w:val="231F20"/>
          <w:spacing w:val="2"/>
          <w:sz w:val="22"/>
          <w:szCs w:val="22"/>
        </w:rPr>
        <w:t xml:space="preserve">2022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4 </w:t>
      </w:r>
      <w:r>
        <w:rPr>
          <w:rFonts w:ascii="微软雅黑" w:hAnsi="微软雅黑" w:eastAsia="微软雅黑" w:cs="微软雅黑"/>
          <w:color w:val="231F20"/>
          <w:spacing w:val="2"/>
          <w:sz w:val="22"/>
          <w:szCs w:val="22"/>
        </w:rPr>
        <w:t>月发布的《世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界经济展望》显示，</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年全球经济同比</w:t>
      </w:r>
      <w:r>
        <w:rPr>
          <w:rFonts w:ascii="微软雅黑" w:hAnsi="微软雅黑" w:eastAsia="微软雅黑" w:cs="微软雅黑"/>
          <w:color w:val="231F20"/>
          <w:spacing w:val="-1"/>
          <w:sz w:val="22"/>
          <w:szCs w:val="22"/>
        </w:rPr>
        <w:t xml:space="preserve">增长 </w:t>
      </w:r>
      <w:r>
        <w:rPr>
          <w:rFonts w:ascii="Times New Roman" w:hAnsi="Times New Roman" w:eastAsia="Times New Roman" w:cs="Times New Roman"/>
          <w:color w:val="231F20"/>
          <w:spacing w:val="-1"/>
          <w:sz w:val="22"/>
          <w:szCs w:val="22"/>
        </w:rPr>
        <w:t>6. 1%</w:t>
      </w:r>
      <w:r>
        <w:rPr>
          <w:rFonts w:ascii="微软雅黑" w:hAnsi="微软雅黑" w:eastAsia="微软雅黑" w:cs="微软雅黑"/>
          <w:color w:val="231F20"/>
          <w:spacing w:val="-1"/>
          <w:sz w:val="22"/>
          <w:szCs w:val="22"/>
        </w:rPr>
        <w:t xml:space="preserve">，较上年提高 </w:t>
      </w:r>
      <w:r>
        <w:rPr>
          <w:rFonts w:ascii="Times New Roman" w:hAnsi="Times New Roman" w:eastAsia="Times New Roman" w:cs="Times New Roman"/>
          <w:color w:val="231F20"/>
          <w:spacing w:val="-1"/>
          <w:sz w:val="22"/>
          <w:szCs w:val="22"/>
        </w:rPr>
        <w:t xml:space="preserve">9 </w:t>
      </w:r>
      <w:r>
        <w:rPr>
          <w:rFonts w:ascii="微软雅黑" w:hAnsi="微软雅黑" w:eastAsia="微软雅黑" w:cs="微软雅黑"/>
          <w:color w:val="231F20"/>
          <w:spacing w:val="-1"/>
          <w:sz w:val="22"/>
          <w:szCs w:val="22"/>
        </w:rPr>
        <w:t>个百分点。其中，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发达</w:t>
      </w:r>
      <w:r>
        <w:rPr>
          <w:rFonts w:ascii="微软雅黑" w:hAnsi="微软雅黑" w:eastAsia="微软雅黑" w:cs="微软雅黑"/>
          <w:color w:val="231F20"/>
          <w:spacing w:val="3"/>
          <w:sz w:val="22"/>
          <w:szCs w:val="22"/>
        </w:rPr>
        <w:t xml:space="preserve">经济体增长 </w:t>
      </w:r>
      <w:r>
        <w:rPr>
          <w:rFonts w:ascii="Times New Roman" w:hAnsi="Times New Roman" w:eastAsia="Times New Roman" w:cs="Times New Roman"/>
          <w:color w:val="231F20"/>
          <w:spacing w:val="3"/>
          <w:sz w:val="22"/>
          <w:szCs w:val="22"/>
        </w:rPr>
        <w:t xml:space="preserve">5.2% </w:t>
      </w:r>
      <w:r>
        <w:rPr>
          <w:rFonts w:ascii="微软雅黑" w:hAnsi="微软雅黑" w:eastAsia="微软雅黑" w:cs="微软雅黑"/>
          <w:color w:val="231F20"/>
          <w:spacing w:val="3"/>
          <w:sz w:val="22"/>
          <w:szCs w:val="22"/>
        </w:rPr>
        <w:t xml:space="preserve">，新兴市场和发展中经济体增长 </w:t>
      </w:r>
      <w:r>
        <w:rPr>
          <w:rFonts w:ascii="Times New Roman" w:hAnsi="Times New Roman" w:eastAsia="Times New Roman" w:cs="Times New Roman"/>
          <w:color w:val="231F20"/>
          <w:spacing w:val="3"/>
          <w:sz w:val="22"/>
          <w:szCs w:val="22"/>
        </w:rPr>
        <w:t>6.8%</w:t>
      </w:r>
      <w:r>
        <w:rPr>
          <w:rFonts w:ascii="微软雅黑" w:hAnsi="微软雅黑" w:eastAsia="微软雅黑" w:cs="微软雅黑"/>
          <w:color w:val="231F20"/>
          <w:spacing w:val="3"/>
          <w:sz w:val="22"/>
          <w:szCs w:val="22"/>
        </w:rPr>
        <w:t>。但全球经济仍没有完全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恢复常</w:t>
      </w:r>
      <w:r>
        <w:rPr>
          <w:rFonts w:ascii="微软雅黑" w:hAnsi="微软雅黑" w:eastAsia="微软雅黑" w:cs="微软雅黑"/>
          <w:color w:val="231F20"/>
          <w:sz w:val="22"/>
          <w:szCs w:val="22"/>
        </w:rPr>
        <w:t xml:space="preserve">态 ，仍存在潜在风险和不确定性因素 ，加之全球就业市场剧烈波动、全球性通 </w:t>
      </w:r>
      <w:r>
        <w:rPr>
          <w:rFonts w:ascii="微软雅黑" w:hAnsi="微软雅黑" w:eastAsia="微软雅黑" w:cs="微软雅黑"/>
          <w:color w:val="231F20"/>
          <w:spacing w:val="1"/>
          <w:sz w:val="22"/>
          <w:szCs w:val="22"/>
        </w:rPr>
        <w:t>胀风险加剧 ，</w:t>
      </w:r>
      <w:r>
        <w:rPr>
          <w:rFonts w:ascii="微软雅黑" w:hAnsi="微软雅黑" w:eastAsia="微软雅黑" w:cs="微软雅黑"/>
          <w:color w:val="231F20"/>
          <w:sz w:val="22"/>
          <w:szCs w:val="22"/>
        </w:rPr>
        <w:t>对全球跨国投资未来发展具有不利影响。</w:t>
      </w:r>
      <w:r>
        <w:rPr>
          <w:rFonts w:ascii="Times New Roman" w:hAnsi="Times New Roman" w:eastAsia="Times New Roman" w:cs="Times New Roman"/>
          <w:color w:val="231F20"/>
          <w:sz w:val="22"/>
          <w:szCs w:val="22"/>
        </w:rPr>
        <w:t xml:space="preserve">IMF </w:t>
      </w:r>
      <w:r>
        <w:rPr>
          <w:rFonts w:ascii="微软雅黑" w:hAnsi="微软雅黑" w:eastAsia="微软雅黑" w:cs="微软雅黑"/>
          <w:color w:val="231F20"/>
          <w:sz w:val="22"/>
          <w:szCs w:val="22"/>
        </w:rPr>
        <w:t>数据显示，</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年全球整 </w:t>
      </w:r>
      <w:r>
        <w:rPr>
          <w:rFonts w:ascii="微软雅黑" w:hAnsi="微软雅黑" w:eastAsia="微软雅黑" w:cs="微软雅黑"/>
          <w:color w:val="231F20"/>
          <w:spacing w:val="-1"/>
          <w:sz w:val="22"/>
          <w:szCs w:val="22"/>
        </w:rPr>
        <w:t xml:space="preserve">体的通胀率达到 </w:t>
      </w:r>
      <w:r>
        <w:rPr>
          <w:rFonts w:ascii="Times New Roman" w:hAnsi="Times New Roman" w:eastAsia="Times New Roman" w:cs="Times New Roman"/>
          <w:color w:val="231F20"/>
          <w:spacing w:val="-1"/>
          <w:sz w:val="22"/>
          <w:szCs w:val="22"/>
        </w:rPr>
        <w:t>4.8%</w:t>
      </w:r>
      <w:r>
        <w:rPr>
          <w:rFonts w:ascii="微软雅黑" w:hAnsi="微软雅黑" w:eastAsia="微软雅黑" w:cs="微软雅黑"/>
          <w:color w:val="231F20"/>
          <w:spacing w:val="-1"/>
          <w:sz w:val="22"/>
          <w:szCs w:val="22"/>
        </w:rPr>
        <w:t xml:space="preserve">，成为自 </w:t>
      </w:r>
      <w:r>
        <w:rPr>
          <w:rFonts w:ascii="Times New Roman" w:hAnsi="Times New Roman" w:eastAsia="Times New Roman" w:cs="Times New Roman"/>
          <w:color w:val="231F20"/>
          <w:spacing w:val="-1"/>
          <w:sz w:val="22"/>
          <w:szCs w:val="22"/>
        </w:rPr>
        <w:t xml:space="preserve">2007 </w:t>
      </w:r>
      <w:r>
        <w:rPr>
          <w:rFonts w:ascii="微软雅黑" w:hAnsi="微软雅黑" w:eastAsia="微软雅黑" w:cs="微软雅黑"/>
          <w:color w:val="231F20"/>
          <w:spacing w:val="-1"/>
          <w:sz w:val="22"/>
          <w:szCs w:val="22"/>
        </w:rPr>
        <w:t xml:space="preserve">年以来最高的一年 ，其中有 </w:t>
      </w:r>
      <w:r>
        <w:rPr>
          <w:rFonts w:ascii="Times New Roman" w:hAnsi="Times New Roman" w:eastAsia="Times New Roman" w:cs="Times New Roman"/>
          <w:color w:val="231F20"/>
          <w:spacing w:val="-1"/>
          <w:sz w:val="22"/>
          <w:szCs w:val="22"/>
        </w:rPr>
        <w:t>8</w:t>
      </w:r>
      <w:r>
        <w:rPr>
          <w:rFonts w:ascii="Times New Roman" w:hAnsi="Times New Roman" w:eastAsia="Times New Roman" w:cs="Times New Roman"/>
          <w:color w:val="231F20"/>
          <w:sz w:val="22"/>
          <w:szCs w:val="22"/>
        </w:rPr>
        <w:t xml:space="preserve">0 </w:t>
      </w:r>
      <w:r>
        <w:rPr>
          <w:rFonts w:ascii="微软雅黑" w:hAnsi="微软雅黑" w:eastAsia="微软雅黑" w:cs="微软雅黑"/>
          <w:color w:val="231F20"/>
          <w:sz w:val="22"/>
          <w:szCs w:val="22"/>
        </w:rPr>
        <w:t xml:space="preserve">多个国家和地区的 </w:t>
      </w:r>
      <w:r>
        <w:rPr>
          <w:rFonts w:ascii="微软雅黑" w:hAnsi="微软雅黑" w:eastAsia="微软雅黑" w:cs="微软雅黑"/>
          <w:color w:val="231F20"/>
          <w:spacing w:val="-1"/>
          <w:sz w:val="22"/>
          <w:szCs w:val="22"/>
        </w:rPr>
        <w:t>通胀率创下近</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5 </w:t>
      </w:r>
      <w:r>
        <w:rPr>
          <w:rFonts w:ascii="微软雅黑" w:hAnsi="微软雅黑" w:eastAsia="微软雅黑" w:cs="微软雅黑"/>
          <w:color w:val="231F20"/>
          <w:sz w:val="22"/>
          <w:szCs w:val="22"/>
        </w:rPr>
        <w:t>年新高。</w:t>
      </w:r>
    </w:p>
    <w:p>
      <w:pPr>
        <w:sectPr>
          <w:headerReference r:id="rId8" w:type="default"/>
          <w:pgSz w:w="12246" w:h="16498"/>
          <w:pgMar w:top="400" w:right="0" w:bottom="400" w:left="0" w:header="0" w:footer="0" w:gutter="0"/>
          <w:cols w:space="720" w:num="1"/>
        </w:sectPr>
      </w:pPr>
    </w:p>
    <w:p>
      <w:pPr>
        <w:spacing w:line="241" w:lineRule="auto"/>
        <w:rPr>
          <w:rFonts w:ascii="Arial"/>
          <w:sz w:val="21"/>
        </w:rPr>
      </w:pPr>
      <w:r>
        <w:pict>
          <v:rect id="_x0000_s1030" o:spid="_x0000_s1030" o:spt="1" style="position:absolute;left:0pt;margin-left:165.15pt;margin-top:321.05pt;height:181.45pt;width:0.3pt;mso-position-horizontal-relative:page;mso-position-vertical-relative:page;z-index:-251627520;mso-width-relative:page;mso-height-relative:page;" fillcolor="#231F20" filled="t" stroked="f" coordsize="21600,21600" o:allowincell="f">
            <v:path/>
            <v:fill on="t" focussize="0,0"/>
            <v:stroke on="f"/>
            <v:imagedata o:title=""/>
            <o:lock v:ext="edit"/>
          </v:rect>
        </w:pict>
      </w:r>
      <w:r>
        <w:pict>
          <v:rect id="_x0000_s1031" o:spid="_x0000_s1031" o:spt="1" style="position:absolute;left:0pt;margin-left:168.4pt;margin-top:324.2pt;height:0.7pt;width:311.8pt;mso-position-horizontal-relative:page;mso-position-vertical-relative:page;z-index:251691008;mso-width-relative:page;mso-height-relative:page;" fillcolor="#CDDAEC" filled="t" stroked="f" coordsize="21600,21600" o:allowincell="f">
            <v:path/>
            <v:fill on="t" focussize="0,0"/>
            <v:stroke on="f"/>
            <v:imagedata o:title=""/>
            <o:lock v:ext="edit"/>
          </v:rect>
        </w:pict>
      </w:r>
      <w:r>
        <w:drawing>
          <wp:anchor distT="0" distB="0" distL="0" distR="0" simplePos="0" relativeHeight="25168691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43"/>
                    <a:stretch>
                      <a:fillRect/>
                    </a:stretch>
                  </pic:blipFill>
                  <pic:spPr>
                    <a:xfrm>
                      <a:off x="0" y="0"/>
                      <a:ext cx="7775994" cy="422998"/>
                    </a:xfrm>
                    <a:prstGeom prst="rect">
                      <a:avLst/>
                    </a:prstGeom>
                  </pic:spPr>
                </pic:pic>
              </a:graphicData>
            </a:graphic>
          </wp:anchor>
        </w:drawing>
      </w:r>
      <w:r>
        <w:pict>
          <v:shape id="_x0000_s1032" o:spid="_x0000_s1032" o:spt="202" type="#_x0000_t202" style="position:absolute;left:0pt;margin-left:137.65pt;margin-top:339.5pt;height:166.8pt;width:28.5pt;mso-position-horizontal-relative:page;mso-position-vertical-relative:page;z-index:251689984;mso-width-relative:page;mso-height-relative:page;" filled="f" stroked="f" coordsize="21600,21600" o:allowincell="f">
            <v:path/>
            <v:fill on="f" focussize="0,0"/>
            <v:stroke on="f"/>
            <v:imagedata o:title=""/>
            <o:lock v:ext="edit" aspectratio="f"/>
            <v:textbox inset="0mm,0mm,0mm,0mm">
              <w:txbxContent>
                <w:p>
                  <w:pPr>
                    <w:spacing w:before="20" w:line="186" w:lineRule="auto"/>
                    <w:ind w:left="20"/>
                    <w:rPr>
                      <w:rFonts w:ascii="DengXian" w:hAnsi="DengXian" w:eastAsia="DengXian" w:cs="DengXian"/>
                      <w:sz w:val="18"/>
                      <w:szCs w:val="18"/>
                    </w:rPr>
                  </w:pPr>
                  <w:r>
                    <w:rPr>
                      <w:rFonts w:ascii="DengXian" w:hAnsi="DengXian" w:eastAsia="DengXian" w:cs="DengXian"/>
                      <w:color w:val="030303"/>
                      <w:spacing w:val="-1"/>
                      <w:sz w:val="18"/>
                      <w:szCs w:val="18"/>
                    </w:rPr>
                    <w:t>160</w:t>
                  </w:r>
                  <w:r>
                    <w:rPr>
                      <w:rFonts w:ascii="DengXian" w:hAnsi="DengXian" w:eastAsia="DengXian" w:cs="DengXian"/>
                      <w:color w:val="030303"/>
                      <w:sz w:val="18"/>
                      <w:szCs w:val="18"/>
                    </w:rPr>
                    <w:t>00</w:t>
                  </w:r>
                  <w:r>
                    <w:rPr>
                      <w:rFonts w:ascii="DengXian" w:hAnsi="DengXian" w:eastAsia="DengXian" w:cs="DengXian"/>
                      <w:strike/>
                      <w:color w:val="030303"/>
                      <w:sz w:val="18"/>
                      <w:szCs w:val="18"/>
                    </w:rPr>
                    <w:t xml:space="preserve"> </w:t>
                  </w:r>
                </w:p>
                <w:p>
                  <w:pPr>
                    <w:spacing w:before="199" w:line="186" w:lineRule="auto"/>
                    <w:ind w:left="20"/>
                    <w:rPr>
                      <w:rFonts w:ascii="DengXian" w:hAnsi="DengXian" w:eastAsia="DengXian" w:cs="DengXian"/>
                      <w:sz w:val="18"/>
                      <w:szCs w:val="18"/>
                    </w:rPr>
                  </w:pPr>
                  <w:r>
                    <w:rPr>
                      <w:rFonts w:ascii="DengXian" w:hAnsi="DengXian" w:eastAsia="DengXian" w:cs="DengXian"/>
                      <w:color w:val="030303"/>
                      <w:spacing w:val="-1"/>
                      <w:sz w:val="18"/>
                      <w:szCs w:val="18"/>
                    </w:rPr>
                    <w:t>140</w:t>
                  </w:r>
                  <w:r>
                    <w:rPr>
                      <w:rFonts w:ascii="DengXian" w:hAnsi="DengXian" w:eastAsia="DengXian" w:cs="DengXian"/>
                      <w:color w:val="030303"/>
                      <w:sz w:val="18"/>
                      <w:szCs w:val="18"/>
                    </w:rPr>
                    <w:t>00</w:t>
                  </w:r>
                  <w:r>
                    <w:rPr>
                      <w:rFonts w:ascii="DengXian" w:hAnsi="DengXian" w:eastAsia="DengXian" w:cs="DengXian"/>
                      <w:strike/>
                      <w:color w:val="030303"/>
                      <w:sz w:val="18"/>
                      <w:szCs w:val="18"/>
                    </w:rPr>
                    <w:t xml:space="preserve"> </w:t>
                  </w:r>
                </w:p>
                <w:p>
                  <w:pPr>
                    <w:spacing w:before="198" w:line="186" w:lineRule="auto"/>
                    <w:ind w:left="20"/>
                    <w:rPr>
                      <w:rFonts w:ascii="DengXian" w:hAnsi="DengXian" w:eastAsia="DengXian" w:cs="DengXian"/>
                      <w:sz w:val="18"/>
                      <w:szCs w:val="18"/>
                    </w:rPr>
                  </w:pPr>
                  <w:r>
                    <w:rPr>
                      <w:rFonts w:ascii="DengXian" w:hAnsi="DengXian" w:eastAsia="DengXian" w:cs="DengXian"/>
                      <w:color w:val="030303"/>
                      <w:spacing w:val="-1"/>
                      <w:sz w:val="18"/>
                      <w:szCs w:val="18"/>
                    </w:rPr>
                    <w:t>120</w:t>
                  </w:r>
                  <w:r>
                    <w:rPr>
                      <w:rFonts w:ascii="DengXian" w:hAnsi="DengXian" w:eastAsia="DengXian" w:cs="DengXian"/>
                      <w:color w:val="030303"/>
                      <w:sz w:val="18"/>
                      <w:szCs w:val="18"/>
                    </w:rPr>
                    <w:t>00</w:t>
                  </w:r>
                  <w:r>
                    <w:rPr>
                      <w:rFonts w:ascii="DengXian" w:hAnsi="DengXian" w:eastAsia="DengXian" w:cs="DengXian"/>
                      <w:strike/>
                      <w:color w:val="030303"/>
                      <w:sz w:val="18"/>
                      <w:szCs w:val="18"/>
                    </w:rPr>
                    <w:t xml:space="preserve"> </w:t>
                  </w:r>
                </w:p>
                <w:p>
                  <w:pPr>
                    <w:spacing w:before="199" w:line="186" w:lineRule="auto"/>
                    <w:ind w:left="20"/>
                    <w:rPr>
                      <w:rFonts w:ascii="DengXian" w:hAnsi="DengXian" w:eastAsia="DengXian" w:cs="DengXian"/>
                      <w:sz w:val="18"/>
                      <w:szCs w:val="18"/>
                    </w:rPr>
                  </w:pPr>
                  <w:r>
                    <w:rPr>
                      <w:rFonts w:ascii="DengXian" w:hAnsi="DengXian" w:eastAsia="DengXian" w:cs="DengXian"/>
                      <w:color w:val="030303"/>
                      <w:spacing w:val="-1"/>
                      <w:sz w:val="18"/>
                      <w:szCs w:val="18"/>
                    </w:rPr>
                    <w:t>100</w:t>
                  </w:r>
                  <w:r>
                    <w:rPr>
                      <w:rFonts w:ascii="DengXian" w:hAnsi="DengXian" w:eastAsia="DengXian" w:cs="DengXian"/>
                      <w:color w:val="030303"/>
                      <w:sz w:val="18"/>
                      <w:szCs w:val="18"/>
                    </w:rPr>
                    <w:t>00</w:t>
                  </w:r>
                  <w:r>
                    <w:rPr>
                      <w:rFonts w:ascii="DengXian" w:hAnsi="DengXian" w:eastAsia="DengXian" w:cs="DengXian"/>
                      <w:strike/>
                      <w:color w:val="030303"/>
                      <w:sz w:val="18"/>
                      <w:szCs w:val="18"/>
                    </w:rPr>
                    <w:t xml:space="preserve"> </w:t>
                  </w:r>
                </w:p>
                <w:p>
                  <w:pPr>
                    <w:spacing w:before="199" w:line="186" w:lineRule="auto"/>
                    <w:ind w:left="112"/>
                    <w:rPr>
                      <w:rFonts w:ascii="DengXian" w:hAnsi="DengXian" w:eastAsia="DengXian" w:cs="DengXian"/>
                      <w:sz w:val="18"/>
                      <w:szCs w:val="18"/>
                    </w:rPr>
                  </w:pPr>
                  <w:r>
                    <w:rPr>
                      <w:rFonts w:ascii="DengXian" w:hAnsi="DengXian" w:eastAsia="DengXian" w:cs="DengXian"/>
                      <w:color w:val="030303"/>
                      <w:spacing w:val="-1"/>
                      <w:sz w:val="18"/>
                      <w:szCs w:val="18"/>
                    </w:rPr>
                    <w:t>8</w:t>
                  </w:r>
                  <w:r>
                    <w:rPr>
                      <w:rFonts w:ascii="DengXian" w:hAnsi="DengXian" w:eastAsia="DengXian" w:cs="DengXian"/>
                      <w:color w:val="030303"/>
                      <w:sz w:val="18"/>
                      <w:szCs w:val="18"/>
                    </w:rPr>
                    <w:t>000</w:t>
                  </w:r>
                  <w:r>
                    <w:rPr>
                      <w:rFonts w:ascii="DengXian" w:hAnsi="DengXian" w:eastAsia="DengXian" w:cs="DengXian"/>
                      <w:strike/>
                      <w:color w:val="030303"/>
                      <w:sz w:val="18"/>
                      <w:szCs w:val="18"/>
                    </w:rPr>
                    <w:t xml:space="preserve"> </w:t>
                  </w:r>
                </w:p>
                <w:p>
                  <w:pPr>
                    <w:spacing w:before="199" w:line="186" w:lineRule="auto"/>
                    <w:ind w:left="114"/>
                    <w:rPr>
                      <w:rFonts w:ascii="DengXian" w:hAnsi="DengXian" w:eastAsia="DengXian" w:cs="DengXian"/>
                      <w:sz w:val="18"/>
                      <w:szCs w:val="18"/>
                    </w:rPr>
                  </w:pPr>
                  <w:r>
                    <w:rPr>
                      <w:rFonts w:ascii="DengXian" w:hAnsi="DengXian" w:eastAsia="DengXian" w:cs="DengXian"/>
                      <w:color w:val="030303"/>
                      <w:spacing w:val="-1"/>
                      <w:sz w:val="18"/>
                      <w:szCs w:val="18"/>
                    </w:rPr>
                    <w:t>60</w:t>
                  </w:r>
                  <w:r>
                    <w:rPr>
                      <w:rFonts w:ascii="DengXian" w:hAnsi="DengXian" w:eastAsia="DengXian" w:cs="DengXian"/>
                      <w:color w:val="030303"/>
                      <w:sz w:val="18"/>
                      <w:szCs w:val="18"/>
                    </w:rPr>
                    <w:t>00</w:t>
                  </w:r>
                  <w:r>
                    <w:rPr>
                      <w:rFonts w:ascii="DengXian" w:hAnsi="DengXian" w:eastAsia="DengXian" w:cs="DengXian"/>
                      <w:strike/>
                      <w:color w:val="030303"/>
                      <w:sz w:val="18"/>
                      <w:szCs w:val="18"/>
                    </w:rPr>
                    <w:t xml:space="preserve"> </w:t>
                  </w:r>
                </w:p>
                <w:p>
                  <w:pPr>
                    <w:spacing w:before="200" w:line="186" w:lineRule="auto"/>
                    <w:ind w:left="107"/>
                    <w:rPr>
                      <w:rFonts w:ascii="DengXian" w:hAnsi="DengXian" w:eastAsia="DengXian" w:cs="DengXian"/>
                      <w:sz w:val="18"/>
                      <w:szCs w:val="18"/>
                    </w:rPr>
                  </w:pPr>
                  <w:r>
                    <w:rPr>
                      <w:rFonts w:ascii="DengXian" w:hAnsi="DengXian" w:eastAsia="DengXian" w:cs="DengXian"/>
                      <w:color w:val="030303"/>
                      <w:spacing w:val="1"/>
                      <w:sz w:val="18"/>
                      <w:szCs w:val="18"/>
                    </w:rPr>
                    <w:t>4000</w:t>
                  </w:r>
                  <w:r>
                    <w:rPr>
                      <w:rFonts w:ascii="DengXian" w:hAnsi="DengXian" w:eastAsia="DengXian" w:cs="DengXian"/>
                      <w:strike/>
                      <w:color w:val="030303"/>
                      <w:sz w:val="18"/>
                      <w:szCs w:val="18"/>
                    </w:rPr>
                    <w:t xml:space="preserve"> </w:t>
                  </w:r>
                </w:p>
                <w:p>
                  <w:pPr>
                    <w:spacing w:before="199" w:line="186" w:lineRule="auto"/>
                    <w:ind w:left="113"/>
                    <w:rPr>
                      <w:rFonts w:ascii="DengXian" w:hAnsi="DengXian" w:eastAsia="DengXian" w:cs="DengXian"/>
                      <w:sz w:val="18"/>
                      <w:szCs w:val="18"/>
                    </w:rPr>
                  </w:pPr>
                  <w:r>
                    <w:rPr>
                      <w:rFonts w:ascii="DengXian" w:hAnsi="DengXian" w:eastAsia="DengXian" w:cs="DengXian"/>
                      <w:color w:val="030303"/>
                      <w:spacing w:val="-1"/>
                      <w:sz w:val="18"/>
                      <w:szCs w:val="18"/>
                    </w:rPr>
                    <w:t>20</w:t>
                  </w:r>
                  <w:r>
                    <w:rPr>
                      <w:rFonts w:ascii="DengXian" w:hAnsi="DengXian" w:eastAsia="DengXian" w:cs="DengXian"/>
                      <w:color w:val="030303"/>
                      <w:sz w:val="18"/>
                      <w:szCs w:val="18"/>
                    </w:rPr>
                    <w:t>00</w:t>
                  </w:r>
                  <w:r>
                    <w:rPr>
                      <w:rFonts w:ascii="DengXian" w:hAnsi="DengXian" w:eastAsia="DengXian" w:cs="DengXian"/>
                      <w:strike/>
                      <w:color w:val="030303"/>
                      <w:sz w:val="18"/>
                      <w:szCs w:val="18"/>
                    </w:rPr>
                    <w:t xml:space="preserve"> </w:t>
                  </w:r>
                </w:p>
                <w:p>
                  <w:pPr>
                    <w:spacing w:before="199" w:line="186" w:lineRule="auto"/>
                    <w:ind w:left="405"/>
                    <w:rPr>
                      <w:rFonts w:ascii="DengXian" w:hAnsi="DengXian" w:eastAsia="DengXian" w:cs="DengXian"/>
                      <w:sz w:val="18"/>
                      <w:szCs w:val="18"/>
                    </w:rPr>
                  </w:pPr>
                  <w:r>
                    <w:rPr>
                      <w:rFonts w:ascii="DengXian" w:hAnsi="DengXian" w:eastAsia="DengXian" w:cs="DengXian"/>
                      <w:color w:val="030303"/>
                      <w:sz w:val="18"/>
                      <w:szCs w:val="18"/>
                    </w:rPr>
                    <w:t>0</w:t>
                  </w:r>
                </w:p>
              </w:txbxContent>
            </v:textbox>
          </v:shape>
        </w:pict>
      </w:r>
    </w:p>
    <w:p>
      <w:pPr>
        <w:spacing w:line="242" w:lineRule="auto"/>
        <w:rPr>
          <w:rFonts w:ascii="Arial"/>
          <w:sz w:val="21"/>
        </w:rPr>
      </w:pPr>
    </w:p>
    <w:p>
      <w:pPr>
        <w:spacing w:line="242" w:lineRule="auto"/>
        <w:rPr>
          <w:rFonts w:ascii="Arial"/>
          <w:sz w:val="21"/>
        </w:rPr>
      </w:pPr>
    </w:p>
    <w:p>
      <w:pPr>
        <w:spacing w:before="68" w:line="281" w:lineRule="exact"/>
        <w:ind w:left="6355"/>
        <w:rPr>
          <w:rFonts w:ascii="Arial" w:hAnsi="Arial" w:eastAsia="Arial" w:cs="Arial"/>
          <w:sz w:val="20"/>
          <w:szCs w:val="20"/>
        </w:rPr>
      </w:pPr>
      <w:r>
        <w:rPr>
          <w:rFonts w:ascii="SimHei" w:hAnsi="SimHei" w:eastAsia="SimHei" w:cs="SimHei"/>
          <w:color w:val="1A67B3"/>
          <w:spacing w:val="26"/>
          <w:position w:val="1"/>
          <w:sz w:val="21"/>
          <w:szCs w:val="21"/>
          <w14:textOutline w14:w="3175" w14:cap="flat" w14:cmpd="sng">
            <w14:solidFill>
              <w14:srgbClr w14:val="1A67B3"/>
            </w14:solidFill>
            <w14:prstDash w14:val="solid"/>
            <w14:miter w14:val="0"/>
          </w14:textOutline>
        </w:rPr>
        <w:t>综合篇</w:t>
      </w:r>
      <w:r>
        <w:rPr>
          <w:rFonts w:ascii="SimHei" w:hAnsi="SimHei" w:eastAsia="SimHei" w:cs="SimHei"/>
          <w:color w:val="1A67B3"/>
          <w:spacing w:val="26"/>
          <w:position w:val="1"/>
          <w:sz w:val="21"/>
          <w:szCs w:val="21"/>
        </w:rPr>
        <w:t xml:space="preserve"> </w:t>
      </w:r>
      <w:r>
        <w:rPr>
          <w:position w:val="-3"/>
          <w:sz w:val="21"/>
          <w:szCs w:val="21"/>
        </w:rPr>
        <w:drawing>
          <wp:inline distT="0" distB="0" distL="0" distR="0">
            <wp:extent cx="3175" cy="14732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6"/>
          <w:position w:val="1"/>
          <w:sz w:val="21"/>
          <w:szCs w:val="21"/>
        </w:rPr>
        <w:t xml:space="preserve">  </w:t>
      </w:r>
      <w:r>
        <w:rPr>
          <w:rFonts w:ascii="宋体" w:hAnsi="宋体" w:eastAsia="宋体" w:cs="宋体"/>
          <w:color w:val="537DBF"/>
          <w:spacing w:val="26"/>
          <w:position w:val="1"/>
          <w:sz w:val="21"/>
          <w:szCs w:val="21"/>
        </w:rPr>
        <w:t xml:space="preserve">中国外商投资报告 2022  </w:t>
      </w:r>
      <w:r>
        <w:rPr>
          <w:position w:val="-3"/>
          <w:sz w:val="21"/>
          <w:szCs w:val="21"/>
        </w:rPr>
        <w:drawing>
          <wp:inline distT="0" distB="0" distL="0" distR="0">
            <wp:extent cx="3175" cy="147320"/>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6"/>
          <w:position w:val="1"/>
          <w:sz w:val="21"/>
          <w:szCs w:val="21"/>
        </w:rPr>
        <w:t xml:space="preserve">  </w:t>
      </w:r>
      <w:r>
        <w:rPr>
          <w:rFonts w:ascii="Arial" w:hAnsi="Arial" w:eastAsia="Arial" w:cs="Arial"/>
          <w:color w:val="231F20"/>
          <w:spacing w:val="22"/>
          <w:position w:val="1"/>
          <w:sz w:val="20"/>
          <w:szCs w:val="20"/>
        </w:rPr>
        <w:t>3</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216"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全球外商直接投</w:t>
      </w:r>
      <w:r>
        <w:rPr>
          <w:rFonts w:ascii="KaiTi" w:hAnsi="KaiTi" w:eastAsia="KaiTi" w:cs="KaiTi"/>
          <w:color w:val="015DAC"/>
          <w:sz w:val="22"/>
          <w:szCs w:val="22"/>
        </w:rPr>
        <w:t>资强劲反弹</w:t>
      </w:r>
    </w:p>
    <w:p>
      <w:pPr>
        <w:spacing w:line="266" w:lineRule="auto"/>
        <w:rPr>
          <w:rFonts w:ascii="Arial"/>
          <w:sz w:val="21"/>
        </w:rPr>
      </w:pPr>
    </w:p>
    <w:p>
      <w:pPr>
        <w:spacing w:before="94" w:line="202" w:lineRule="auto"/>
        <w:ind w:left="2442"/>
        <w:rPr>
          <w:rFonts w:ascii="微软雅黑" w:hAnsi="微软雅黑" w:eastAsia="微软雅黑" w:cs="微软雅黑"/>
          <w:sz w:val="22"/>
          <w:szCs w:val="22"/>
        </w:rPr>
      </w:pPr>
      <w:r>
        <w:rPr>
          <w:rFonts w:ascii="Times New Roman" w:hAnsi="Times New Roman" w:eastAsia="Times New Roman" w:cs="Times New Roman"/>
          <w:color w:val="231F20"/>
          <w:spacing w:val="10"/>
          <w:sz w:val="22"/>
          <w:szCs w:val="22"/>
        </w:rPr>
        <w:t>2</w:t>
      </w:r>
      <w:r>
        <w:rPr>
          <w:rFonts w:ascii="Times New Roman" w:hAnsi="Times New Roman" w:eastAsia="Times New Roman" w:cs="Times New Roman"/>
          <w:color w:val="231F20"/>
          <w:spacing w:val="6"/>
          <w:sz w:val="22"/>
          <w:szCs w:val="22"/>
        </w:rPr>
        <w:t xml:space="preserve">021 </w:t>
      </w:r>
      <w:r>
        <w:rPr>
          <w:rFonts w:ascii="微软雅黑" w:hAnsi="微软雅黑" w:eastAsia="微软雅黑" w:cs="微软雅黑"/>
          <w:color w:val="231F20"/>
          <w:spacing w:val="6"/>
          <w:sz w:val="22"/>
          <w:szCs w:val="22"/>
        </w:rPr>
        <w:t>年，  受益于宽松的融资和重大基础设施刺激计划，  以及跨境并购活动活</w:t>
      </w:r>
    </w:p>
    <w:p>
      <w:pPr>
        <w:spacing w:before="82" w:line="259" w:lineRule="auto"/>
        <w:ind w:left="1999" w:right="1978" w:hanging="5"/>
        <w:rPr>
          <w:rFonts w:ascii="微软雅黑" w:hAnsi="微软雅黑" w:eastAsia="微软雅黑" w:cs="微软雅黑"/>
          <w:sz w:val="22"/>
          <w:szCs w:val="22"/>
        </w:rPr>
      </w:pPr>
      <w:r>
        <w:rPr>
          <w:rFonts w:ascii="微软雅黑" w:hAnsi="微软雅黑" w:eastAsia="微软雅黑" w:cs="微软雅黑"/>
          <w:color w:val="231F20"/>
          <w:sz w:val="22"/>
          <w:szCs w:val="22"/>
        </w:rPr>
        <w:t xml:space="preserve">跃 ，全球外商直接投资大幅增长 ，规模超过疫情前的水平。联合国贸发会议统计数据 </w:t>
      </w:r>
      <w:r>
        <w:rPr>
          <w:rFonts w:ascii="微软雅黑" w:hAnsi="微软雅黑" w:eastAsia="微软雅黑" w:cs="微软雅黑"/>
          <w:color w:val="231F20"/>
          <w:spacing w:val="1"/>
          <w:sz w:val="22"/>
          <w:szCs w:val="22"/>
        </w:rPr>
        <w:t>显示，</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年全球外</w:t>
      </w:r>
      <w:r>
        <w:rPr>
          <w:rFonts w:ascii="微软雅黑" w:hAnsi="微软雅黑" w:eastAsia="微软雅黑" w:cs="微软雅黑"/>
          <w:color w:val="231F20"/>
          <w:sz w:val="22"/>
          <w:szCs w:val="22"/>
        </w:rPr>
        <w:t xml:space="preserve">商直接投资同比增长 </w:t>
      </w:r>
      <w:r>
        <w:rPr>
          <w:rFonts w:ascii="Times New Roman" w:hAnsi="Times New Roman" w:eastAsia="Times New Roman" w:cs="Times New Roman"/>
          <w:color w:val="231F20"/>
          <w:sz w:val="22"/>
          <w:szCs w:val="22"/>
        </w:rPr>
        <w:t xml:space="preserve">64% </w:t>
      </w:r>
      <w:r>
        <w:rPr>
          <w:rFonts w:ascii="微软雅黑" w:hAnsi="微软雅黑" w:eastAsia="微软雅黑" w:cs="微软雅黑"/>
          <w:color w:val="231F20"/>
          <w:sz w:val="22"/>
          <w:szCs w:val="22"/>
        </w:rPr>
        <w:t xml:space="preserve">，达到 </w:t>
      </w:r>
      <w:r>
        <w:rPr>
          <w:rFonts w:ascii="Times New Roman" w:hAnsi="Times New Roman" w:eastAsia="Times New Roman" w:cs="Times New Roman"/>
          <w:color w:val="231F20"/>
          <w:sz w:val="22"/>
          <w:szCs w:val="22"/>
        </w:rPr>
        <w:t xml:space="preserve">1.58 </w:t>
      </w:r>
      <w:r>
        <w:rPr>
          <w:rFonts w:ascii="微软雅黑" w:hAnsi="微软雅黑" w:eastAsia="微软雅黑" w:cs="微软雅黑"/>
          <w:color w:val="231F20"/>
          <w:sz w:val="22"/>
          <w:szCs w:val="22"/>
        </w:rPr>
        <w:t>万亿美元，  比疫情</w:t>
      </w:r>
      <w:r>
        <w:rPr>
          <w:rFonts w:hint="eastAsia" w:ascii="微软雅黑" w:hAnsi="微软雅黑" w:eastAsia="微软雅黑" w:cs="微软雅黑"/>
          <w:color w:val="231F20"/>
          <w:sz w:val="22"/>
          <w:szCs w:val="22"/>
          <w:lang w:eastAsia="zh-CN"/>
        </w:rPr>
        <w:t>暴</w:t>
      </w:r>
      <w:bookmarkStart w:id="102" w:name="_GoBack"/>
      <w:bookmarkEnd w:id="102"/>
      <w:r>
        <w:rPr>
          <w:rFonts w:ascii="微软雅黑" w:hAnsi="微软雅黑" w:eastAsia="微软雅黑" w:cs="微软雅黑"/>
          <w:color w:val="231F20"/>
          <w:sz w:val="22"/>
          <w:szCs w:val="22"/>
        </w:rPr>
        <w:t xml:space="preserve">发前 </w:t>
      </w:r>
      <w:r>
        <w:rPr>
          <w:rFonts w:ascii="微软雅黑" w:hAnsi="微软雅黑" w:eastAsia="微软雅黑" w:cs="微软雅黑"/>
          <w:color w:val="231F20"/>
          <w:spacing w:val="-1"/>
          <w:sz w:val="22"/>
          <w:szCs w:val="22"/>
        </w:rPr>
        <w:t xml:space="preserve">的 </w:t>
      </w:r>
      <w:r>
        <w:rPr>
          <w:rFonts w:ascii="Times New Roman" w:hAnsi="Times New Roman" w:eastAsia="Times New Roman" w:cs="Times New Roman"/>
          <w:color w:val="231F20"/>
          <w:spacing w:val="-1"/>
          <w:sz w:val="22"/>
          <w:szCs w:val="22"/>
        </w:rPr>
        <w:t xml:space="preserve">2019 </w:t>
      </w:r>
      <w:r>
        <w:rPr>
          <w:rFonts w:ascii="微软雅黑" w:hAnsi="微软雅黑" w:eastAsia="微软雅黑" w:cs="微软雅黑"/>
          <w:color w:val="231F20"/>
          <w:spacing w:val="-1"/>
          <w:sz w:val="22"/>
          <w:szCs w:val="22"/>
        </w:rPr>
        <w:t xml:space="preserve">年提升了 </w:t>
      </w:r>
      <w:r>
        <w:rPr>
          <w:rFonts w:ascii="Times New Roman" w:hAnsi="Times New Roman" w:eastAsia="Times New Roman" w:cs="Times New Roman"/>
          <w:color w:val="231F20"/>
          <w:spacing w:val="-1"/>
          <w:sz w:val="22"/>
          <w:szCs w:val="22"/>
        </w:rPr>
        <w:t>6.</w:t>
      </w:r>
      <w:r>
        <w:rPr>
          <w:rFonts w:ascii="Times New Roman" w:hAnsi="Times New Roman" w:eastAsia="Times New Roman" w:cs="Times New Roman"/>
          <w:color w:val="231F20"/>
          <w:sz w:val="22"/>
          <w:szCs w:val="22"/>
        </w:rPr>
        <w:t xml:space="preserve">9 </w:t>
      </w:r>
      <w:r>
        <w:rPr>
          <w:rFonts w:ascii="微软雅黑" w:hAnsi="微软雅黑" w:eastAsia="微软雅黑" w:cs="微软雅黑"/>
          <w:color w:val="231F20"/>
          <w:sz w:val="22"/>
          <w:szCs w:val="22"/>
        </w:rPr>
        <w:t xml:space="preserve">个百分点。其中 ，流入发达经济体的外商直接投资金额同比增长 </w:t>
      </w:r>
      <w:r>
        <w:rPr>
          <w:rFonts w:ascii="微软雅黑" w:hAnsi="微软雅黑" w:eastAsia="微软雅黑" w:cs="微软雅黑"/>
          <w:color w:val="231F20"/>
          <w:spacing w:val="-2"/>
          <w:sz w:val="22"/>
          <w:szCs w:val="22"/>
        </w:rPr>
        <w:t xml:space="preserve">了 </w:t>
      </w:r>
      <w:r>
        <w:rPr>
          <w:rFonts w:ascii="Times New Roman" w:hAnsi="Times New Roman" w:eastAsia="Times New Roman" w:cs="Times New Roman"/>
          <w:color w:val="231F20"/>
          <w:spacing w:val="-2"/>
          <w:sz w:val="22"/>
          <w:szCs w:val="22"/>
        </w:rPr>
        <w:t xml:space="preserve">133.6% </w:t>
      </w:r>
      <w:r>
        <w:rPr>
          <w:rFonts w:ascii="微软雅黑" w:hAnsi="微软雅黑" w:eastAsia="微软雅黑" w:cs="微软雅黑"/>
          <w:color w:val="231F20"/>
          <w:spacing w:val="-2"/>
          <w:sz w:val="22"/>
          <w:szCs w:val="22"/>
        </w:rPr>
        <w:t xml:space="preserve">，净增量达到 </w:t>
      </w:r>
      <w:r>
        <w:rPr>
          <w:rFonts w:ascii="Times New Roman" w:hAnsi="Times New Roman" w:eastAsia="Times New Roman" w:cs="Times New Roman"/>
          <w:color w:val="231F20"/>
          <w:spacing w:val="-2"/>
          <w:sz w:val="22"/>
          <w:szCs w:val="22"/>
        </w:rPr>
        <w:t xml:space="preserve">4265.5 </w:t>
      </w:r>
      <w:r>
        <w:rPr>
          <w:rFonts w:ascii="微软雅黑" w:hAnsi="微软雅黑" w:eastAsia="微软雅黑" w:cs="微软雅黑"/>
          <w:color w:val="231F20"/>
          <w:spacing w:val="-2"/>
          <w:sz w:val="22"/>
          <w:szCs w:val="22"/>
        </w:rPr>
        <w:t>亿美元；  流入发展中国家的金额增</w:t>
      </w:r>
      <w:r>
        <w:rPr>
          <w:rFonts w:ascii="微软雅黑" w:hAnsi="微软雅黑" w:eastAsia="微软雅黑" w:cs="微软雅黑"/>
          <w:color w:val="231F20"/>
          <w:spacing w:val="-1"/>
          <w:sz w:val="22"/>
          <w:szCs w:val="22"/>
        </w:rPr>
        <w:t xml:space="preserve">加了 </w:t>
      </w:r>
      <w:r>
        <w:rPr>
          <w:rFonts w:ascii="Times New Roman" w:hAnsi="Times New Roman" w:eastAsia="Times New Roman" w:cs="Times New Roman"/>
          <w:color w:val="231F20"/>
          <w:spacing w:val="-1"/>
          <w:sz w:val="22"/>
          <w:szCs w:val="22"/>
        </w:rPr>
        <w:t>29.9%</w:t>
      </w:r>
      <w:r>
        <w:rPr>
          <w:rFonts w:ascii="微软雅黑" w:hAnsi="微软雅黑" w:eastAsia="微软雅黑" w:cs="微软雅黑"/>
          <w:color w:val="231F20"/>
          <w:spacing w:val="-1"/>
          <w:sz w:val="22"/>
          <w:szCs w:val="22"/>
        </w:rPr>
        <w:t>，  达到</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8"/>
          <w:sz w:val="22"/>
          <w:szCs w:val="22"/>
        </w:rPr>
        <w:t>8</w:t>
      </w:r>
      <w:r>
        <w:rPr>
          <w:rFonts w:ascii="Times New Roman" w:hAnsi="Times New Roman" w:eastAsia="Times New Roman" w:cs="Times New Roman"/>
          <w:color w:val="231F20"/>
          <w:spacing w:val="-7"/>
          <w:sz w:val="22"/>
          <w:szCs w:val="22"/>
        </w:rPr>
        <w:t>3</w:t>
      </w:r>
      <w:r>
        <w:rPr>
          <w:rFonts w:ascii="Times New Roman" w:hAnsi="Times New Roman" w:eastAsia="Times New Roman" w:cs="Times New Roman"/>
          <w:color w:val="231F20"/>
          <w:spacing w:val="-4"/>
          <w:sz w:val="22"/>
          <w:szCs w:val="22"/>
        </w:rPr>
        <w:t xml:space="preserve">65.7 </w:t>
      </w:r>
      <w:r>
        <w:rPr>
          <w:rFonts w:ascii="微软雅黑" w:hAnsi="微软雅黑" w:eastAsia="微软雅黑" w:cs="微软雅黑"/>
          <w:color w:val="231F20"/>
          <w:spacing w:val="-4"/>
          <w:sz w:val="22"/>
          <w:szCs w:val="22"/>
        </w:rPr>
        <w:t>亿美元 ，为历史最高峰。  同时 ，从跨国投资方式看 ，跨境并购复苏强劲，</w:t>
      </w:r>
      <w:r>
        <w:rPr>
          <w:rFonts w:ascii="Times New Roman" w:hAnsi="Times New Roman" w:eastAsia="Times New Roman" w:cs="Times New Roman"/>
          <w:color w:val="231F20"/>
          <w:spacing w:val="-4"/>
          <w:sz w:val="22"/>
          <w:szCs w:val="22"/>
        </w:rPr>
        <w:t>2021</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5"/>
          <w:sz w:val="22"/>
          <w:szCs w:val="22"/>
        </w:rPr>
        <w:t xml:space="preserve">年全球跨境并购金额约为 </w:t>
      </w:r>
      <w:r>
        <w:rPr>
          <w:rFonts w:ascii="Times New Roman" w:hAnsi="Times New Roman" w:eastAsia="Times New Roman" w:cs="Times New Roman"/>
          <w:color w:val="231F20"/>
          <w:spacing w:val="-5"/>
          <w:sz w:val="22"/>
          <w:szCs w:val="22"/>
        </w:rPr>
        <w:t xml:space="preserve">8846 </w:t>
      </w:r>
      <w:r>
        <w:rPr>
          <w:rFonts w:ascii="微软雅黑" w:hAnsi="微软雅黑" w:eastAsia="微软雅黑" w:cs="微软雅黑"/>
          <w:color w:val="231F20"/>
          <w:spacing w:val="-5"/>
          <w:sz w:val="22"/>
          <w:szCs w:val="22"/>
        </w:rPr>
        <w:t xml:space="preserve">亿美元，  同比增长 </w:t>
      </w:r>
      <w:r>
        <w:rPr>
          <w:rFonts w:ascii="Times New Roman" w:hAnsi="Times New Roman" w:eastAsia="Times New Roman" w:cs="Times New Roman"/>
          <w:color w:val="231F20"/>
          <w:spacing w:val="-5"/>
          <w:sz w:val="22"/>
          <w:szCs w:val="22"/>
        </w:rPr>
        <w:t xml:space="preserve">43% </w:t>
      </w:r>
      <w:r>
        <w:rPr>
          <w:rFonts w:ascii="微软雅黑" w:hAnsi="微软雅黑" w:eastAsia="微软雅黑" w:cs="微软雅黑"/>
          <w:color w:val="231F20"/>
          <w:spacing w:val="-5"/>
          <w:sz w:val="22"/>
          <w:szCs w:val="22"/>
        </w:rPr>
        <w:t xml:space="preserve">，而绿地投资金额仅增长 </w:t>
      </w:r>
      <w:r>
        <w:rPr>
          <w:rFonts w:ascii="Times New Roman" w:hAnsi="Times New Roman" w:eastAsia="Times New Roman" w:cs="Times New Roman"/>
          <w:color w:val="231F20"/>
          <w:spacing w:val="-5"/>
          <w:sz w:val="22"/>
          <w:szCs w:val="22"/>
        </w:rPr>
        <w:t>15%</w:t>
      </w:r>
      <w:r>
        <w:rPr>
          <w:rFonts w:ascii="微软雅黑" w:hAnsi="微软雅黑" w:eastAsia="微软雅黑" w:cs="微软雅黑"/>
          <w:color w:val="231F20"/>
          <w:spacing w:val="-1"/>
          <w:sz w:val="22"/>
          <w:szCs w:val="22"/>
        </w:rPr>
        <w:t>。</w:t>
      </w:r>
    </w:p>
    <w:p>
      <w:pPr>
        <w:spacing w:before="127" w:line="222" w:lineRule="auto"/>
        <w:ind w:left="2729"/>
        <w:rPr>
          <w:rFonts w:ascii="宋体" w:hAnsi="宋体" w:eastAsia="宋体" w:cs="宋体"/>
          <w:sz w:val="18"/>
          <w:szCs w:val="18"/>
        </w:rPr>
      </w:pPr>
      <w:r>
        <w:rPr>
          <w:rFonts w:ascii="宋体" w:hAnsi="宋体" w:eastAsia="宋体" w:cs="宋体"/>
          <w:color w:val="030303"/>
          <w:spacing w:val="2"/>
          <w:sz w:val="18"/>
          <w:szCs w:val="18"/>
        </w:rPr>
        <w:t>亿美</w:t>
      </w:r>
      <w:r>
        <w:rPr>
          <w:rFonts w:ascii="宋体" w:hAnsi="宋体" w:eastAsia="宋体" w:cs="宋体"/>
          <w:color w:val="030303"/>
          <w:spacing w:val="1"/>
          <w:sz w:val="18"/>
          <w:szCs w:val="18"/>
        </w:rPr>
        <w:t>元</w:t>
      </w:r>
    </w:p>
    <w:p>
      <w:pPr>
        <w:spacing w:before="276" w:line="186" w:lineRule="auto"/>
        <w:ind w:left="2773"/>
        <w:rPr>
          <w:rFonts w:ascii="DengXian" w:hAnsi="DengXian" w:eastAsia="DengXian" w:cs="DengXian"/>
          <w:sz w:val="18"/>
          <w:szCs w:val="18"/>
        </w:rPr>
      </w:pPr>
      <w:r>
        <w:rPr>
          <w:rFonts w:ascii="DengXian" w:hAnsi="DengXian" w:eastAsia="DengXian" w:cs="DengXian"/>
          <w:color w:val="030303"/>
          <w:spacing w:val="-1"/>
          <w:sz w:val="18"/>
          <w:szCs w:val="18"/>
        </w:rPr>
        <w:t>180</w:t>
      </w:r>
      <w:r>
        <w:rPr>
          <w:rFonts w:ascii="DengXian" w:hAnsi="DengXian" w:eastAsia="DengXian" w:cs="DengXian"/>
          <w:color w:val="030303"/>
          <w:sz w:val="18"/>
          <w:szCs w:val="18"/>
        </w:rPr>
        <w:t>00</w:t>
      </w:r>
      <w:r>
        <w:rPr>
          <w:rFonts w:ascii="DengXian" w:hAnsi="DengXian" w:eastAsia="DengXian" w:cs="DengXian"/>
          <w:strike/>
          <w:color w:val="030303"/>
          <w:sz w:val="18"/>
          <w:szCs w:val="18"/>
        </w:rPr>
        <w:t xml:space="preserve"> </w:t>
      </w:r>
    </w:p>
    <w:p/>
    <w:p>
      <w:pPr>
        <w:spacing w:line="19" w:lineRule="exact"/>
      </w:pPr>
    </w:p>
    <w:tbl>
      <w:tblPr>
        <w:tblStyle w:val="4"/>
        <w:tblW w:w="6235" w:type="dxa"/>
        <w:tblInd w:w="3368"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6235"/>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88" w:hRule="atLeast"/>
        </w:trPr>
        <w:tc>
          <w:tcPr>
            <w:tcW w:w="6235" w:type="dxa"/>
            <w:tcBorders>
              <w:top w:val="dashed" w:color="CDDAEC" w:sz="2" w:space="0"/>
              <w:bottom w:val="dashed" w:color="CDDAEC"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82" w:hRule="atLeast"/>
        </w:trPr>
        <w:tc>
          <w:tcPr>
            <w:tcW w:w="6235" w:type="dxa"/>
            <w:tcBorders>
              <w:top w:val="dashed" w:color="CDDAEC" w:sz="2" w:space="0"/>
              <w:bottom w:val="dashed" w:color="CDDAEC" w:sz="2" w:space="0"/>
            </w:tcBorders>
            <w:vAlign w:val="top"/>
          </w:tcPr>
          <w:p>
            <w:pPr>
              <w:spacing w:before="80" w:line="172" w:lineRule="auto"/>
              <w:ind w:left="2350"/>
              <w:rPr>
                <w:rFonts w:ascii="微软雅黑" w:hAnsi="微软雅黑" w:eastAsia="微软雅黑" w:cs="微软雅黑"/>
                <w:sz w:val="22"/>
                <w:szCs w:val="22"/>
              </w:rPr>
            </w:pPr>
            <w:r>
              <w:drawing>
                <wp:anchor distT="0" distB="0" distL="0" distR="0" simplePos="0" relativeHeight="251687936" behindDoc="1" locked="0" layoutInCell="1" allowOverlap="1">
                  <wp:simplePos x="0" y="0"/>
                  <wp:positionH relativeFrom="column">
                    <wp:posOffset>1356360</wp:posOffset>
                  </wp:positionH>
                  <wp:positionV relativeFrom="paragraph">
                    <wp:posOffset>-173355</wp:posOffset>
                  </wp:positionV>
                  <wp:extent cx="966470" cy="60642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8"/>
                          <a:stretch>
                            <a:fillRect/>
                          </a:stretch>
                        </pic:blipFill>
                        <pic:spPr>
                          <a:xfrm>
                            <a:off x="0" y="0"/>
                            <a:ext cx="966215" cy="606552"/>
                          </a:xfrm>
                          <a:prstGeom prst="rect">
                            <a:avLst/>
                          </a:prstGeom>
                        </pic:spPr>
                      </pic:pic>
                    </a:graphicData>
                  </a:graphic>
                </wp:anchor>
              </w:drawing>
            </w:r>
            <w:r>
              <w:rPr>
                <w:rFonts w:ascii="微软雅黑" w:hAnsi="微软雅黑" w:eastAsia="微软雅黑" w:cs="微软雅黑"/>
                <w:color w:val="231F20"/>
                <w:spacing w:val="-3"/>
                <w:sz w:val="22"/>
                <w:szCs w:val="22"/>
              </w:rPr>
              <w:t>6</w:t>
            </w:r>
            <w:r>
              <w:rPr>
                <w:rFonts w:ascii="微软雅黑" w:hAnsi="微软雅黑" w:eastAsia="微软雅黑" w:cs="微软雅黑"/>
                <w:color w:val="231F20"/>
                <w:spacing w:val="-2"/>
                <w:sz w:val="22"/>
                <w:szCs w:val="22"/>
              </w:rPr>
              <w:t>4%</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88" w:hRule="atLeast"/>
        </w:trPr>
        <w:tc>
          <w:tcPr>
            <w:tcW w:w="6235" w:type="dxa"/>
            <w:tcBorders>
              <w:top w:val="dashed" w:color="CDDAEC" w:sz="2" w:space="0"/>
              <w:bottom w:val="dashed" w:color="CDDAEC" w:sz="2" w:space="0"/>
            </w:tcBorders>
            <w:vAlign w:val="top"/>
          </w:tcPr>
          <w:p>
            <w:pPr>
              <w:rPr>
                <w:rFonts w:ascii="Arial"/>
                <w:sz w:val="21"/>
              </w:rPr>
            </w:pPr>
          </w:p>
        </w:tc>
      </w:tr>
    </w:tbl>
    <w:p/>
    <w:p>
      <w:pPr>
        <w:spacing w:line="133" w:lineRule="exact"/>
      </w:pPr>
    </w:p>
    <w:tbl>
      <w:tblPr>
        <w:tblStyle w:val="4"/>
        <w:tblW w:w="6369" w:type="dxa"/>
        <w:tblInd w:w="3268"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6369"/>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89" w:hRule="atLeast"/>
        </w:trPr>
        <w:tc>
          <w:tcPr>
            <w:tcW w:w="6369" w:type="dxa"/>
            <w:tcBorders>
              <w:top w:val="dashed" w:color="CDDAEC" w:sz="2" w:space="0"/>
              <w:bottom w:val="dashed" w:color="CDDAEC"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82" w:hRule="atLeast"/>
        </w:trPr>
        <w:tc>
          <w:tcPr>
            <w:tcW w:w="6369" w:type="dxa"/>
            <w:tcBorders>
              <w:top w:val="dashed" w:color="CDDAEC" w:sz="2" w:space="0"/>
              <w:bottom w:val="dashed" w:color="CDDAEC"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82" w:hRule="atLeast"/>
        </w:trPr>
        <w:tc>
          <w:tcPr>
            <w:tcW w:w="6369" w:type="dxa"/>
            <w:tcBorders>
              <w:top w:val="dashed" w:color="CDDAEC" w:sz="2" w:space="0"/>
              <w:bottom w:val="dashed" w:color="CDDAEC"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82" w:hRule="atLeast"/>
        </w:trPr>
        <w:tc>
          <w:tcPr>
            <w:tcW w:w="6369" w:type="dxa"/>
            <w:tcBorders>
              <w:top w:val="dashed" w:color="CDDAEC" w:sz="2" w:space="0"/>
              <w:bottom w:val="single" w:color="231F20" w:sz="2" w:space="0"/>
            </w:tcBorders>
            <w:vAlign w:val="top"/>
          </w:tcPr>
          <w:p>
            <w:pPr>
              <w:rPr>
                <w:rFonts w:ascii="Arial"/>
                <w:sz w:val="21"/>
              </w:rPr>
            </w:pPr>
          </w:p>
        </w:tc>
      </w:tr>
    </w:tbl>
    <w:p>
      <w:pPr>
        <w:spacing w:before="163" w:line="186" w:lineRule="auto"/>
        <w:ind w:left="4741"/>
        <w:rPr>
          <w:rFonts w:ascii="DengXian" w:hAnsi="DengXian" w:eastAsia="DengXian" w:cs="DengXian"/>
          <w:sz w:val="18"/>
          <w:szCs w:val="18"/>
        </w:rPr>
      </w:pPr>
      <w:r>
        <w:rPr>
          <w:rFonts w:ascii="DengXian" w:hAnsi="DengXian" w:eastAsia="DengXian" w:cs="DengXian"/>
          <w:color w:val="030303"/>
          <w:spacing w:val="1"/>
          <w:sz w:val="18"/>
          <w:szCs w:val="18"/>
        </w:rPr>
        <w:t xml:space="preserve">2020                     </w:t>
      </w:r>
      <w:r>
        <w:rPr>
          <w:rFonts w:ascii="DengXian" w:hAnsi="DengXian" w:eastAsia="DengXian" w:cs="DengXian"/>
          <w:color w:val="030303"/>
          <w:sz w:val="18"/>
          <w:szCs w:val="18"/>
        </w:rPr>
        <w:t xml:space="preserve">                                  2021</w:t>
      </w:r>
    </w:p>
    <w:p>
      <w:pPr>
        <w:spacing w:before="131" w:line="227" w:lineRule="auto"/>
        <w:ind w:left="4233"/>
        <w:rPr>
          <w:rFonts w:ascii="SimHei" w:hAnsi="SimHei" w:eastAsia="SimHei" w:cs="SimHei"/>
          <w:sz w:val="20"/>
          <w:szCs w:val="20"/>
        </w:rPr>
      </w:pPr>
      <w:r>
        <w:rPr>
          <w:rFonts w:ascii="SimHei" w:hAnsi="SimHei" w:eastAsia="SimHei" w:cs="SimHei"/>
          <w:color w:val="231F20"/>
          <w:spacing w:val="1"/>
          <w:sz w:val="20"/>
          <w:szCs w:val="20"/>
        </w:rPr>
        <w:t xml:space="preserve">图 </w:t>
      </w:r>
      <w:r>
        <w:rPr>
          <w:rFonts w:ascii="Times New Roman" w:hAnsi="Times New Roman" w:eastAsia="Times New Roman" w:cs="Times New Roman"/>
          <w:color w:val="231F20"/>
          <w:spacing w:val="1"/>
          <w:sz w:val="20"/>
          <w:szCs w:val="20"/>
        </w:rPr>
        <w:t>1- 1 2020-202</w:t>
      </w:r>
      <w:r>
        <w:rPr>
          <w:rFonts w:ascii="Times New Roman" w:hAnsi="Times New Roman" w:eastAsia="Times New Roman" w:cs="Times New Roman"/>
          <w:color w:val="231F20"/>
          <w:sz w:val="20"/>
          <w:szCs w:val="20"/>
        </w:rPr>
        <w:t xml:space="preserve">1 </w:t>
      </w:r>
      <w:r>
        <w:rPr>
          <w:rFonts w:ascii="SimHei" w:hAnsi="SimHei" w:eastAsia="SimHei" w:cs="SimHei"/>
          <w:color w:val="231F20"/>
          <w:sz w:val="20"/>
          <w:szCs w:val="20"/>
        </w:rPr>
        <w:t>年全球外商直接投资情况</w:t>
      </w:r>
    </w:p>
    <w:p>
      <w:pPr>
        <w:spacing w:before="137" w:line="222" w:lineRule="auto"/>
        <w:ind w:left="1987"/>
        <w:rPr>
          <w:rFonts w:ascii="KaiTi" w:hAnsi="KaiTi" w:eastAsia="KaiTi" w:cs="KaiTi"/>
          <w:sz w:val="17"/>
          <w:szCs w:val="17"/>
        </w:rPr>
      </w:pPr>
      <w:r>
        <w:rPr>
          <w:rFonts w:ascii="KaiTi" w:hAnsi="KaiTi" w:eastAsia="KaiTi" w:cs="KaiTi"/>
          <w:color w:val="231F20"/>
          <w:spacing w:val="1"/>
          <w:sz w:val="17"/>
          <w:szCs w:val="17"/>
        </w:rPr>
        <w:t>数据来</w:t>
      </w:r>
      <w:r>
        <w:rPr>
          <w:rFonts w:ascii="KaiTi" w:hAnsi="KaiTi" w:eastAsia="KaiTi" w:cs="KaiTi"/>
          <w:color w:val="231F20"/>
          <w:sz w:val="17"/>
          <w:szCs w:val="17"/>
        </w:rPr>
        <w:t xml:space="preserve">源 </w:t>
      </w:r>
      <w:r>
        <w:rPr>
          <w:rFonts w:ascii="Times New Roman" w:hAnsi="Times New Roman" w:eastAsia="Times New Roman" w:cs="Times New Roman"/>
          <w:color w:val="231F20"/>
          <w:sz w:val="17"/>
          <w:szCs w:val="17"/>
        </w:rPr>
        <w:t>: UNCTAD</w:t>
      </w:r>
      <w:r>
        <w:rPr>
          <w:rFonts w:ascii="KaiTi" w:hAnsi="KaiTi" w:eastAsia="KaiTi" w:cs="KaiTi"/>
          <w:color w:val="231F20"/>
          <w:sz w:val="17"/>
          <w:szCs w:val="17"/>
        </w:rPr>
        <w:t>。</w:t>
      </w:r>
    </w:p>
    <w:p>
      <w:pPr>
        <w:spacing w:line="449" w:lineRule="auto"/>
        <w:rPr>
          <w:rFonts w:ascii="Arial"/>
          <w:sz w:val="21"/>
        </w:rPr>
      </w:pPr>
    </w:p>
    <w:p>
      <w:pPr>
        <w:spacing w:before="72" w:line="214" w:lineRule="auto"/>
        <w:ind w:left="2451"/>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不同经济</w:t>
      </w:r>
      <w:r>
        <w:rPr>
          <w:rFonts w:ascii="KaiTi" w:hAnsi="KaiTi" w:eastAsia="KaiTi" w:cs="KaiTi"/>
          <w:color w:val="015DAC"/>
          <w:sz w:val="22"/>
          <w:szCs w:val="22"/>
        </w:rPr>
        <w:t>体引资政策分化显著</w:t>
      </w:r>
    </w:p>
    <w:p>
      <w:pPr>
        <w:spacing w:line="269" w:lineRule="auto"/>
        <w:rPr>
          <w:rFonts w:ascii="Arial"/>
          <w:sz w:val="21"/>
        </w:rPr>
      </w:pPr>
    </w:p>
    <w:p>
      <w:pPr>
        <w:spacing w:before="95" w:line="259" w:lineRule="auto"/>
        <w:ind w:left="1994" w:right="1911" w:firstLine="459"/>
        <w:rPr>
          <w:rFonts w:ascii="微软雅黑" w:hAnsi="微软雅黑" w:eastAsia="微软雅黑" w:cs="微软雅黑"/>
          <w:sz w:val="22"/>
          <w:szCs w:val="22"/>
        </w:rPr>
      </w:pPr>
      <w:r>
        <w:rPr>
          <w:rFonts w:ascii="SimHei" w:hAnsi="SimHei" w:eastAsia="SimHei" w:cs="SimHei"/>
          <w:color w:val="231F20"/>
          <w:spacing w:val="-5"/>
          <w:sz w:val="22"/>
          <w:szCs w:val="22"/>
        </w:rPr>
        <w:t>发</w:t>
      </w:r>
      <w:r>
        <w:rPr>
          <w:rFonts w:ascii="SimHei" w:hAnsi="SimHei" w:eastAsia="SimHei" w:cs="SimHei"/>
          <w:color w:val="231F20"/>
          <w:spacing w:val="-4"/>
          <w:sz w:val="22"/>
          <w:szCs w:val="22"/>
        </w:rPr>
        <w:t xml:space="preserve">达经济体对外商投资安全审查和投资限制显著增多。 </w:t>
      </w:r>
      <w:r>
        <w:rPr>
          <w:rFonts w:ascii="微软雅黑" w:hAnsi="微软雅黑" w:eastAsia="微软雅黑" w:cs="微软雅黑"/>
          <w:color w:val="231F20"/>
          <w:spacing w:val="-4"/>
          <w:sz w:val="22"/>
          <w:szCs w:val="22"/>
        </w:rPr>
        <w:t>根据联合国贸发会议统计，</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8"/>
          <w:sz w:val="22"/>
          <w:szCs w:val="22"/>
        </w:rPr>
        <w:t>20</w:t>
      </w:r>
      <w:r>
        <w:rPr>
          <w:rFonts w:ascii="Times New Roman" w:hAnsi="Times New Roman" w:eastAsia="Times New Roman" w:cs="Times New Roman"/>
          <w:color w:val="231F20"/>
          <w:spacing w:val="5"/>
          <w:sz w:val="22"/>
          <w:szCs w:val="22"/>
        </w:rPr>
        <w:t>2</w:t>
      </w:r>
      <w:r>
        <w:rPr>
          <w:rFonts w:ascii="Times New Roman" w:hAnsi="Times New Roman" w:eastAsia="Times New Roman" w:cs="Times New Roman"/>
          <w:color w:val="231F20"/>
          <w:spacing w:val="4"/>
          <w:sz w:val="22"/>
          <w:szCs w:val="22"/>
        </w:rPr>
        <w:t xml:space="preserve">1 </w:t>
      </w:r>
      <w:r>
        <w:rPr>
          <w:rFonts w:ascii="微软雅黑" w:hAnsi="微软雅黑" w:eastAsia="微软雅黑" w:cs="微软雅黑"/>
          <w:color w:val="231F20"/>
          <w:spacing w:val="4"/>
          <w:sz w:val="22"/>
          <w:szCs w:val="22"/>
        </w:rPr>
        <w:t>年发达国家出台的</w:t>
      </w:r>
      <w:r>
        <w:rPr>
          <w:rFonts w:ascii="Times New Roman" w:hAnsi="Times New Roman" w:eastAsia="Times New Roman" w:cs="Times New Roman"/>
          <w:color w:val="231F20"/>
          <w:spacing w:val="4"/>
          <w:sz w:val="22"/>
          <w:szCs w:val="22"/>
        </w:rPr>
        <w:t xml:space="preserve">30 </w:t>
      </w:r>
      <w:r>
        <w:rPr>
          <w:rFonts w:ascii="微软雅黑" w:hAnsi="微软雅黑" w:eastAsia="微软雅黑" w:cs="微软雅黑"/>
          <w:color w:val="231F20"/>
          <w:spacing w:val="4"/>
          <w:sz w:val="22"/>
          <w:szCs w:val="22"/>
        </w:rPr>
        <w:t>项外资政策中 ，涉及安全审查、投资限制和禁止性的政策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达 </w:t>
      </w:r>
      <w:r>
        <w:rPr>
          <w:rFonts w:ascii="Times New Roman" w:hAnsi="Times New Roman" w:eastAsia="Times New Roman" w:cs="Times New Roman"/>
          <w:color w:val="231F20"/>
          <w:spacing w:val="-1"/>
          <w:sz w:val="22"/>
          <w:szCs w:val="22"/>
        </w:rPr>
        <w:t xml:space="preserve">20 </w:t>
      </w:r>
      <w:r>
        <w:rPr>
          <w:rFonts w:ascii="微软雅黑" w:hAnsi="微软雅黑" w:eastAsia="微软雅黑" w:cs="微软雅黑"/>
          <w:color w:val="231F20"/>
          <w:spacing w:val="-1"/>
          <w:sz w:val="22"/>
          <w:szCs w:val="22"/>
        </w:rPr>
        <w:t xml:space="preserve">项，  而投资便利化政策仅有 </w:t>
      </w:r>
      <w:r>
        <w:rPr>
          <w:rFonts w:ascii="Times New Roman" w:hAnsi="Times New Roman" w:eastAsia="Times New Roman" w:cs="Times New Roman"/>
          <w:color w:val="231F20"/>
          <w:spacing w:val="-1"/>
          <w:sz w:val="22"/>
          <w:szCs w:val="22"/>
        </w:rPr>
        <w:t xml:space="preserve">5 </w:t>
      </w:r>
      <w:r>
        <w:rPr>
          <w:rFonts w:ascii="微软雅黑" w:hAnsi="微软雅黑" w:eastAsia="微软雅黑" w:cs="微软雅黑"/>
          <w:color w:val="231F20"/>
          <w:spacing w:val="-1"/>
          <w:sz w:val="22"/>
          <w:szCs w:val="22"/>
        </w:rPr>
        <w:t>项。其中，  欧盟扩大了《外资审查条</w:t>
      </w:r>
      <w:r>
        <w:rPr>
          <w:rFonts w:ascii="微软雅黑" w:hAnsi="微软雅黑" w:eastAsia="微软雅黑" w:cs="微软雅黑"/>
          <w:color w:val="231F20"/>
          <w:sz w:val="22"/>
          <w:szCs w:val="22"/>
        </w:rPr>
        <w:t xml:space="preserve">例》适用项 </w:t>
      </w:r>
      <w:r>
        <w:rPr>
          <w:rFonts w:ascii="微软雅黑" w:hAnsi="微软雅黑" w:eastAsia="微软雅黑" w:cs="微软雅黑"/>
          <w:color w:val="231F20"/>
          <w:spacing w:val="2"/>
          <w:sz w:val="22"/>
          <w:szCs w:val="22"/>
        </w:rPr>
        <w:t>目的范围 ，增加了数字</w:t>
      </w:r>
      <w:r>
        <w:rPr>
          <w:rFonts w:ascii="微软雅黑" w:hAnsi="微软雅黑" w:eastAsia="微软雅黑" w:cs="微软雅黑"/>
          <w:color w:val="231F20"/>
          <w:spacing w:val="1"/>
          <w:sz w:val="22"/>
          <w:szCs w:val="22"/>
        </w:rPr>
        <w:t xml:space="preserve">欧洲、太空等 </w:t>
      </w:r>
      <w:r>
        <w:rPr>
          <w:rFonts w:ascii="Times New Roman" w:hAnsi="Times New Roman" w:eastAsia="Times New Roman" w:cs="Times New Roman"/>
          <w:color w:val="231F20"/>
          <w:spacing w:val="1"/>
          <w:sz w:val="22"/>
          <w:szCs w:val="22"/>
        </w:rPr>
        <w:t xml:space="preserve">4 </w:t>
      </w:r>
      <w:r>
        <w:rPr>
          <w:rFonts w:ascii="微软雅黑" w:hAnsi="微软雅黑" w:eastAsia="微软雅黑" w:cs="微软雅黑"/>
          <w:color w:val="231F20"/>
          <w:spacing w:val="1"/>
          <w:sz w:val="22"/>
          <w:szCs w:val="22"/>
        </w:rPr>
        <w:t>个项目。法国降低了触发外商投资安全审查的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门槛 ，要求收购法国企业股份达到 </w:t>
      </w:r>
      <w:r>
        <w:rPr>
          <w:rFonts w:ascii="Times New Roman" w:hAnsi="Times New Roman" w:eastAsia="Times New Roman" w:cs="Times New Roman"/>
          <w:color w:val="231F20"/>
          <w:spacing w:val="-1"/>
          <w:sz w:val="22"/>
          <w:szCs w:val="22"/>
        </w:rPr>
        <w:t xml:space="preserve">10% </w:t>
      </w:r>
      <w:r>
        <w:rPr>
          <w:rFonts w:ascii="微软雅黑" w:hAnsi="微软雅黑" w:eastAsia="微软雅黑" w:cs="微软雅黑"/>
          <w:color w:val="231F20"/>
          <w:spacing w:val="-1"/>
          <w:sz w:val="22"/>
          <w:szCs w:val="22"/>
        </w:rPr>
        <w:t>即需要审</w:t>
      </w:r>
      <w:r>
        <w:rPr>
          <w:rFonts w:ascii="微软雅黑" w:hAnsi="微软雅黑" w:eastAsia="微软雅黑" w:cs="微软雅黑"/>
          <w:color w:val="231F20"/>
          <w:sz w:val="22"/>
          <w:szCs w:val="22"/>
        </w:rPr>
        <w:t xml:space="preserve">查。美国、西班牙延长了投资限制的 </w:t>
      </w:r>
      <w:r>
        <w:rPr>
          <w:rFonts w:ascii="微软雅黑" w:hAnsi="微软雅黑" w:eastAsia="微软雅黑" w:cs="微软雅黑"/>
          <w:color w:val="231F20"/>
          <w:spacing w:val="-6"/>
          <w:sz w:val="22"/>
          <w:szCs w:val="22"/>
        </w:rPr>
        <w:t>时限，   日本、德国扩大了投资审查内容 ，对稀土、高科技等项目投资进一步限制</w:t>
      </w:r>
      <w:r>
        <w:rPr>
          <w:rFonts w:ascii="微软雅黑" w:hAnsi="微软雅黑" w:eastAsia="微软雅黑" w:cs="微软雅黑"/>
          <w:color w:val="231F20"/>
          <w:spacing w:val="-2"/>
          <w:sz w:val="22"/>
          <w:szCs w:val="22"/>
        </w:rPr>
        <w:t>。</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69203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0"/>
        <w:rPr>
          <w:rFonts w:ascii="SimHei" w:hAnsi="SimHei" w:eastAsia="SimHei" w:cs="SimHei"/>
          <w:sz w:val="21"/>
          <w:szCs w:val="21"/>
        </w:rPr>
      </w:pPr>
      <w:bookmarkStart w:id="6" w:name="_bookmark8"/>
      <w:bookmarkEnd w:id="6"/>
      <w:bookmarkStart w:id="7" w:name="_bookmark9"/>
      <w:bookmarkEnd w:id="7"/>
      <w:r>
        <w:rPr>
          <w:rFonts w:ascii="Arial" w:hAnsi="Arial" w:eastAsia="Arial" w:cs="Arial"/>
          <w:color w:val="231F20"/>
          <w:spacing w:val="25"/>
          <w:sz w:val="20"/>
          <w:szCs w:val="20"/>
        </w:rPr>
        <w:t>4</w:t>
      </w:r>
      <w:r>
        <w:rPr>
          <w:rFonts w:ascii="Arial" w:hAnsi="Arial" w:eastAsia="Arial" w:cs="Arial"/>
          <w:color w:val="231F20"/>
          <w:spacing w:val="21"/>
          <w:sz w:val="20"/>
          <w:szCs w:val="20"/>
        </w:rPr>
        <w:t xml:space="preserve">    </w:t>
      </w:r>
      <w:r>
        <w:rPr>
          <w:position w:val="-5"/>
          <w:sz w:val="20"/>
          <w:szCs w:val="20"/>
        </w:rPr>
        <w:drawing>
          <wp:inline distT="0" distB="0" distL="0" distR="0">
            <wp:extent cx="3175" cy="14732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综合篇</w: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94" w:line="257" w:lineRule="auto"/>
        <w:ind w:left="1986" w:right="1984" w:firstLine="461"/>
        <w:rPr>
          <w:rFonts w:ascii="微软雅黑" w:hAnsi="微软雅黑" w:eastAsia="微软雅黑" w:cs="微软雅黑"/>
          <w:sz w:val="22"/>
          <w:szCs w:val="22"/>
        </w:rPr>
      </w:pPr>
      <w:r>
        <w:rPr>
          <w:rFonts w:ascii="SimHei" w:hAnsi="SimHei" w:eastAsia="SimHei" w:cs="SimHei"/>
          <w:color w:val="231F20"/>
          <w:spacing w:val="2"/>
          <w:sz w:val="22"/>
          <w:szCs w:val="22"/>
        </w:rPr>
        <w:t>发展中经济体出台实施外商投资自由化便利</w:t>
      </w:r>
      <w:r>
        <w:rPr>
          <w:rFonts w:ascii="SimHei" w:hAnsi="SimHei" w:eastAsia="SimHei" w:cs="SimHei"/>
          <w:color w:val="231F20"/>
          <w:spacing w:val="1"/>
          <w:sz w:val="22"/>
          <w:szCs w:val="22"/>
        </w:rPr>
        <w:t>化政策。</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年发展中经济体出台的</w:t>
      </w:r>
      <w:r>
        <w:rPr>
          <w:rFonts w:ascii="微软雅黑" w:hAnsi="微软雅黑" w:eastAsia="微软雅黑" w:cs="微软雅黑"/>
          <w:color w:val="231F20"/>
          <w:sz w:val="22"/>
          <w:szCs w:val="22"/>
        </w:rPr>
        <w:t xml:space="preserve"> 近 </w:t>
      </w:r>
      <w:r>
        <w:rPr>
          <w:rFonts w:ascii="Times New Roman" w:hAnsi="Times New Roman" w:eastAsia="Times New Roman" w:cs="Times New Roman"/>
          <w:color w:val="231F20"/>
          <w:sz w:val="22"/>
          <w:szCs w:val="22"/>
        </w:rPr>
        <w:t xml:space="preserve">60 </w:t>
      </w:r>
      <w:r>
        <w:rPr>
          <w:rFonts w:ascii="微软雅黑" w:hAnsi="微软雅黑" w:eastAsia="微软雅黑" w:cs="微软雅黑"/>
          <w:color w:val="231F20"/>
          <w:sz w:val="22"/>
          <w:szCs w:val="22"/>
        </w:rPr>
        <w:t xml:space="preserve">项外资政策措施中 ，便利化措施占 </w:t>
      </w:r>
      <w:r>
        <w:rPr>
          <w:rFonts w:ascii="Times New Roman" w:hAnsi="Times New Roman" w:eastAsia="Times New Roman" w:cs="Times New Roman"/>
          <w:color w:val="231F20"/>
          <w:sz w:val="22"/>
          <w:szCs w:val="22"/>
        </w:rPr>
        <w:t xml:space="preserve">40% </w:t>
      </w:r>
      <w:r>
        <w:rPr>
          <w:rFonts w:ascii="微软雅黑" w:hAnsi="微软雅黑" w:eastAsia="微软雅黑" w:cs="微软雅黑"/>
          <w:color w:val="231F20"/>
          <w:sz w:val="22"/>
          <w:szCs w:val="22"/>
        </w:rPr>
        <w:t xml:space="preserve">，放宽投资限制类占 </w:t>
      </w:r>
      <w:r>
        <w:rPr>
          <w:rFonts w:ascii="Times New Roman" w:hAnsi="Times New Roman" w:eastAsia="Times New Roman" w:cs="Times New Roman"/>
          <w:color w:val="231F20"/>
          <w:sz w:val="22"/>
          <w:szCs w:val="22"/>
        </w:rPr>
        <w:t xml:space="preserve">30% </w:t>
      </w:r>
      <w:r>
        <w:rPr>
          <w:rFonts w:ascii="微软雅黑" w:hAnsi="微软雅黑" w:eastAsia="微软雅黑" w:cs="微软雅黑"/>
          <w:color w:val="231F20"/>
          <w:sz w:val="22"/>
          <w:szCs w:val="22"/>
        </w:rPr>
        <w:t xml:space="preserve">，投资激励政 </w:t>
      </w:r>
      <w:r>
        <w:rPr>
          <w:rFonts w:ascii="微软雅黑" w:hAnsi="微软雅黑" w:eastAsia="微软雅黑" w:cs="微软雅黑"/>
          <w:color w:val="231F20"/>
          <w:spacing w:val="-4"/>
          <w:sz w:val="22"/>
          <w:szCs w:val="22"/>
        </w:rPr>
        <w:t xml:space="preserve">策占 </w:t>
      </w:r>
      <w:r>
        <w:rPr>
          <w:rFonts w:ascii="Times New Roman" w:hAnsi="Times New Roman" w:eastAsia="Times New Roman" w:cs="Times New Roman"/>
          <w:color w:val="231F20"/>
          <w:spacing w:val="-4"/>
          <w:sz w:val="22"/>
          <w:szCs w:val="22"/>
        </w:rPr>
        <w:t>20</w:t>
      </w:r>
      <w:r>
        <w:rPr>
          <w:rFonts w:ascii="Times New Roman" w:hAnsi="Times New Roman" w:eastAsia="Times New Roman" w:cs="Times New Roman"/>
          <w:color w:val="231F20"/>
          <w:spacing w:val="-2"/>
          <w:sz w:val="22"/>
          <w:szCs w:val="22"/>
        </w:rPr>
        <w:t>%</w:t>
      </w:r>
      <w:r>
        <w:rPr>
          <w:rFonts w:ascii="微软雅黑" w:hAnsi="微软雅黑" w:eastAsia="微软雅黑" w:cs="微软雅黑"/>
          <w:color w:val="231F20"/>
          <w:spacing w:val="-2"/>
          <w:sz w:val="22"/>
          <w:szCs w:val="22"/>
        </w:rPr>
        <w:t>。如印度建立了全国单一窗 口系统 ，方便投资者审批申请 ，允许外商独资即</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4"/>
          <w:sz w:val="22"/>
          <w:szCs w:val="22"/>
        </w:rPr>
        <w:t xml:space="preserve">100% </w:t>
      </w:r>
      <w:r>
        <w:rPr>
          <w:rFonts w:ascii="微软雅黑" w:hAnsi="微软雅黑" w:eastAsia="微软雅黑" w:cs="微软雅黑"/>
          <w:color w:val="231F20"/>
          <w:spacing w:val="4"/>
          <w:sz w:val="22"/>
          <w:szCs w:val="22"/>
        </w:rPr>
        <w:t>投资印度所有电信服务行业和电信基础行业 ，将外商投资保险公司的持股比</w:t>
      </w:r>
      <w:r>
        <w:rPr>
          <w:rFonts w:ascii="微软雅黑" w:hAnsi="微软雅黑" w:eastAsia="微软雅黑" w:cs="微软雅黑"/>
          <w:color w:val="231F20"/>
          <w:spacing w:val="3"/>
          <w:sz w:val="22"/>
          <w:szCs w:val="22"/>
        </w:rPr>
        <w:t>例</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上限由 </w:t>
      </w:r>
      <w:r>
        <w:rPr>
          <w:rFonts w:ascii="Times New Roman" w:hAnsi="Times New Roman" w:eastAsia="Times New Roman" w:cs="Times New Roman"/>
          <w:color w:val="231F20"/>
          <w:spacing w:val="-2"/>
          <w:sz w:val="22"/>
          <w:szCs w:val="22"/>
        </w:rPr>
        <w:t xml:space="preserve">49% </w:t>
      </w:r>
      <w:r>
        <w:rPr>
          <w:rFonts w:ascii="微软雅黑" w:hAnsi="微软雅黑" w:eastAsia="微软雅黑" w:cs="微软雅黑"/>
          <w:color w:val="231F20"/>
          <w:spacing w:val="-2"/>
          <w:sz w:val="22"/>
          <w:szCs w:val="22"/>
        </w:rPr>
        <w:t xml:space="preserve">上调至 </w:t>
      </w:r>
      <w:r>
        <w:rPr>
          <w:rFonts w:ascii="Times New Roman" w:hAnsi="Times New Roman" w:eastAsia="Times New Roman" w:cs="Times New Roman"/>
          <w:color w:val="231F20"/>
          <w:spacing w:val="-2"/>
          <w:sz w:val="22"/>
          <w:szCs w:val="22"/>
        </w:rPr>
        <w:t xml:space="preserve">74% </w:t>
      </w:r>
      <w:r>
        <w:rPr>
          <w:rFonts w:ascii="微软雅黑" w:hAnsi="微软雅黑" w:eastAsia="微软雅黑" w:cs="微软雅黑"/>
          <w:color w:val="231F20"/>
          <w:spacing w:val="-2"/>
          <w:sz w:val="22"/>
          <w:szCs w:val="22"/>
        </w:rPr>
        <w:t>等</w:t>
      </w:r>
      <w:r>
        <w:rPr>
          <w:rFonts w:ascii="微软雅黑" w:hAnsi="微软雅黑" w:eastAsia="微软雅黑" w:cs="微软雅黑"/>
          <w:color w:val="231F20"/>
          <w:spacing w:val="-1"/>
          <w:sz w:val="22"/>
          <w:szCs w:val="22"/>
        </w:rPr>
        <w:t xml:space="preserve">。越南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年实施了新投资法，  引入了外商投资准入负面</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清单管</w:t>
      </w:r>
      <w:r>
        <w:rPr>
          <w:rFonts w:ascii="微软雅黑" w:hAnsi="微软雅黑" w:eastAsia="微软雅黑" w:cs="微软雅黑"/>
          <w:color w:val="231F20"/>
          <w:spacing w:val="-3"/>
          <w:sz w:val="22"/>
          <w:szCs w:val="22"/>
        </w:rPr>
        <w:t>理制度，  弱化了外资监管和审查 ，重新发布了高新技术企业认定标准 ，对投资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额超过 </w:t>
      </w:r>
      <w:r>
        <w:rPr>
          <w:rFonts w:ascii="Times New Roman" w:hAnsi="Times New Roman" w:eastAsia="Times New Roman" w:cs="Times New Roman"/>
          <w:color w:val="231F20"/>
          <w:spacing w:val="2"/>
          <w:sz w:val="22"/>
          <w:szCs w:val="22"/>
        </w:rPr>
        <w:t xml:space="preserve">1000 </w:t>
      </w:r>
      <w:r>
        <w:rPr>
          <w:rFonts w:ascii="微软雅黑" w:hAnsi="微软雅黑" w:eastAsia="微软雅黑" w:cs="微软雅黑"/>
          <w:color w:val="231F20"/>
          <w:spacing w:val="2"/>
          <w:sz w:val="22"/>
          <w:szCs w:val="22"/>
        </w:rPr>
        <w:t>亿越南盾 ( 约合</w:t>
      </w:r>
      <w:r>
        <w:rPr>
          <w:rFonts w:ascii="Times New Roman" w:hAnsi="Times New Roman" w:eastAsia="Times New Roman" w:cs="Times New Roman"/>
          <w:color w:val="231F20"/>
          <w:spacing w:val="2"/>
          <w:sz w:val="22"/>
          <w:szCs w:val="22"/>
        </w:rPr>
        <w:t xml:space="preserve">3000 </w:t>
      </w:r>
      <w:r>
        <w:rPr>
          <w:rFonts w:ascii="微软雅黑" w:hAnsi="微软雅黑" w:eastAsia="微软雅黑" w:cs="微软雅黑"/>
          <w:color w:val="231F20"/>
          <w:spacing w:val="2"/>
          <w:sz w:val="22"/>
          <w:szCs w:val="22"/>
        </w:rPr>
        <w:t xml:space="preserve">万人民币 ) </w:t>
      </w:r>
      <w:r>
        <w:rPr>
          <w:rFonts w:ascii="微软雅黑" w:hAnsi="微软雅黑" w:eastAsia="微软雅黑" w:cs="微软雅黑"/>
          <w:color w:val="231F20"/>
          <w:spacing w:val="1"/>
          <w:sz w:val="22"/>
          <w:szCs w:val="22"/>
        </w:rPr>
        <w:t xml:space="preserve"> 的企业降低了要求 ，着力吸引跨国企业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到</w:t>
      </w:r>
      <w:r>
        <w:rPr>
          <w:rFonts w:ascii="微软雅黑" w:hAnsi="微软雅黑" w:eastAsia="微软雅黑" w:cs="微软雅黑"/>
          <w:color w:val="231F20"/>
          <w:sz w:val="22"/>
          <w:szCs w:val="22"/>
        </w:rPr>
        <w:t>越南投资布局。</w:t>
      </w:r>
    </w:p>
    <w:p>
      <w:pPr>
        <w:spacing w:before="204" w:line="214" w:lineRule="auto"/>
        <w:ind w:left="2438"/>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4. </w:t>
      </w:r>
      <w:r>
        <w:rPr>
          <w:rFonts w:ascii="KaiTi" w:hAnsi="KaiTi" w:eastAsia="KaiTi" w:cs="KaiTi"/>
          <w:color w:val="015DAC"/>
          <w:spacing w:val="1"/>
          <w:sz w:val="22"/>
          <w:szCs w:val="22"/>
        </w:rPr>
        <w:t>全球产业链供应链</w:t>
      </w:r>
      <w:r>
        <w:rPr>
          <w:rFonts w:ascii="KaiTi" w:hAnsi="KaiTi" w:eastAsia="KaiTi" w:cs="KaiTi"/>
          <w:color w:val="015DAC"/>
          <w:sz w:val="22"/>
          <w:szCs w:val="22"/>
        </w:rPr>
        <w:t>加速调整</w:t>
      </w:r>
    </w:p>
    <w:p>
      <w:pPr>
        <w:spacing w:line="264" w:lineRule="auto"/>
        <w:rPr>
          <w:rFonts w:ascii="Arial"/>
          <w:sz w:val="21"/>
        </w:rPr>
      </w:pPr>
    </w:p>
    <w:p>
      <w:pPr>
        <w:spacing w:before="94" w:line="257" w:lineRule="auto"/>
        <w:ind w:left="1987" w:right="1897" w:firstLine="460"/>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疫情发生</w:t>
      </w:r>
      <w:r>
        <w:rPr>
          <w:rFonts w:ascii="微软雅黑" w:hAnsi="微软雅黑" w:eastAsia="微软雅黑" w:cs="微软雅黑"/>
          <w:color w:val="231F20"/>
          <w:spacing w:val="-2"/>
          <w:sz w:val="22"/>
          <w:szCs w:val="22"/>
        </w:rPr>
        <w:t>以来 ，全球多个地区工厂无法开工 ，产能不足 、运输能力下降以及库存</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短缺造成供应不足，  同时全球贸易保护主义升</w:t>
      </w:r>
      <w:r>
        <w:rPr>
          <w:rFonts w:ascii="微软雅黑" w:hAnsi="微软雅黑" w:eastAsia="微软雅黑" w:cs="微软雅黑"/>
          <w:color w:val="231F20"/>
          <w:spacing w:val="-1"/>
          <w:sz w:val="22"/>
          <w:szCs w:val="22"/>
        </w:rPr>
        <w:t>温致使国际经贸合作受阻 ，对产业链供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应</w:t>
      </w:r>
      <w:r>
        <w:rPr>
          <w:rFonts w:ascii="微软雅黑" w:hAnsi="微软雅黑" w:eastAsia="微软雅黑" w:cs="微软雅黑"/>
          <w:color w:val="231F20"/>
          <w:sz w:val="22"/>
          <w:szCs w:val="22"/>
        </w:rPr>
        <w:t>链造成严重干扰 ，供应链“断链”问题频发 ，推动全球产业链供应链加速调整。</w:t>
      </w:r>
      <w:r>
        <w:rPr>
          <w:rFonts w:ascii="SimHei" w:hAnsi="SimHei" w:eastAsia="SimHei" w:cs="SimHei"/>
          <w:color w:val="231F20"/>
          <w:sz w:val="22"/>
          <w:szCs w:val="22"/>
        </w:rPr>
        <w:t xml:space="preserve">一 </w:t>
      </w:r>
      <w:r>
        <w:rPr>
          <w:rFonts w:ascii="SimHei" w:hAnsi="SimHei" w:eastAsia="SimHei" w:cs="SimHei"/>
          <w:color w:val="231F20"/>
          <w:spacing w:val="-6"/>
          <w:sz w:val="22"/>
          <w:szCs w:val="22"/>
        </w:rPr>
        <w:t>是突发</w:t>
      </w:r>
      <w:r>
        <w:rPr>
          <w:rFonts w:ascii="SimHei" w:hAnsi="SimHei" w:eastAsia="SimHei" w:cs="SimHei"/>
          <w:color w:val="231F20"/>
          <w:spacing w:val="-3"/>
          <w:sz w:val="22"/>
          <w:szCs w:val="22"/>
        </w:rPr>
        <w:t xml:space="preserve">事件加剧全球供应链紧张局面。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年苏伊士运河堵塞 、寒潮袭击北美大陆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美国供应链大拥</w:t>
      </w:r>
      <w:r>
        <w:rPr>
          <w:rFonts w:ascii="微软雅黑" w:hAnsi="微软雅黑" w:eastAsia="微软雅黑" w:cs="微软雅黑"/>
          <w:color w:val="231F20"/>
          <w:spacing w:val="5"/>
          <w:sz w:val="22"/>
          <w:szCs w:val="22"/>
        </w:rPr>
        <w:t>堵</w:t>
      </w:r>
      <w:r>
        <w:rPr>
          <w:rFonts w:ascii="微软雅黑" w:hAnsi="微软雅黑" w:eastAsia="微软雅黑" w:cs="微软雅黑"/>
          <w:color w:val="231F20"/>
          <w:spacing w:val="3"/>
          <w:sz w:val="22"/>
          <w:szCs w:val="22"/>
        </w:rPr>
        <w:t>等各类“黑天鹅”事件令供应链紧绷状况进一步恶化。</w:t>
      </w:r>
      <w:r>
        <w:rPr>
          <w:rFonts w:ascii="SimHei" w:hAnsi="SimHei" w:eastAsia="SimHei" w:cs="SimHei"/>
          <w:color w:val="231F20"/>
          <w:spacing w:val="3"/>
          <w:sz w:val="22"/>
          <w:szCs w:val="22"/>
        </w:rPr>
        <w:t>二是主要发</w:t>
      </w:r>
      <w:r>
        <w:rPr>
          <w:rFonts w:ascii="SimHei" w:hAnsi="SimHei" w:eastAsia="SimHei" w:cs="SimHei"/>
          <w:color w:val="231F20"/>
          <w:sz w:val="22"/>
          <w:szCs w:val="22"/>
        </w:rPr>
        <w:t xml:space="preserve"> </w:t>
      </w:r>
      <w:r>
        <w:rPr>
          <w:rFonts w:ascii="SimHei" w:hAnsi="SimHei" w:eastAsia="SimHei" w:cs="SimHei"/>
          <w:color w:val="231F20"/>
          <w:spacing w:val="2"/>
          <w:sz w:val="22"/>
          <w:szCs w:val="22"/>
        </w:rPr>
        <w:t>达国家和地区推动供应链本土化、多元化。</w:t>
      </w:r>
      <w:r>
        <w:rPr>
          <w:rFonts w:ascii="微软雅黑" w:hAnsi="微软雅黑" w:eastAsia="微软雅黑" w:cs="微软雅黑"/>
          <w:color w:val="231F20"/>
          <w:spacing w:val="2"/>
          <w:sz w:val="22"/>
          <w:szCs w:val="22"/>
        </w:rPr>
        <w:t>主要发达国家和地区采取补贴政策</w:t>
      </w:r>
      <w:r>
        <w:rPr>
          <w:rFonts w:ascii="微软雅黑" w:hAnsi="微软雅黑" w:eastAsia="微软雅黑" w:cs="微软雅黑"/>
          <w:color w:val="231F20"/>
          <w:spacing w:val="1"/>
          <w:sz w:val="22"/>
          <w:szCs w:val="22"/>
        </w:rPr>
        <w:t xml:space="preserve"> </w:t>
      </w:r>
      <w:r>
        <w:rPr>
          <w:rFonts w:ascii="微软雅黑" w:hAnsi="微软雅黑" w:eastAsia="微软雅黑" w:cs="微软雅黑"/>
          <w:color w:val="231F20"/>
          <w:sz w:val="22"/>
          <w:szCs w:val="22"/>
        </w:rPr>
        <w:t xml:space="preserve">，鼓励 </w:t>
      </w:r>
      <w:r>
        <w:rPr>
          <w:rFonts w:ascii="微软雅黑" w:hAnsi="微软雅黑" w:eastAsia="微软雅黑" w:cs="微软雅黑"/>
          <w:color w:val="231F20"/>
          <w:spacing w:val="14"/>
          <w:sz w:val="22"/>
          <w:szCs w:val="22"/>
        </w:rPr>
        <w:t>和支</w:t>
      </w:r>
      <w:r>
        <w:rPr>
          <w:rFonts w:ascii="微软雅黑" w:hAnsi="微软雅黑" w:eastAsia="微软雅黑" w:cs="微软雅黑"/>
          <w:color w:val="231F20"/>
          <w:spacing w:val="9"/>
          <w:sz w:val="22"/>
          <w:szCs w:val="22"/>
        </w:rPr>
        <w:t>持</w:t>
      </w:r>
      <w:r>
        <w:rPr>
          <w:rFonts w:ascii="微软雅黑" w:hAnsi="微软雅黑" w:eastAsia="微软雅黑" w:cs="微软雅黑"/>
          <w:color w:val="231F20"/>
          <w:spacing w:val="7"/>
          <w:sz w:val="22"/>
          <w:szCs w:val="22"/>
        </w:rPr>
        <w:t xml:space="preserve">企业将供应链转移到本国或区域内邻近的国家以及盟友和伙伴国家。如 </w:t>
      </w:r>
      <w:r>
        <w:rPr>
          <w:rFonts w:ascii="Times New Roman" w:hAnsi="Times New Roman" w:eastAsia="Times New Roman" w:cs="Times New Roman"/>
          <w:color w:val="231F20"/>
          <w:spacing w:val="7"/>
          <w:sz w:val="22"/>
          <w:szCs w:val="22"/>
        </w:rPr>
        <w:t>2021</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8 </w:t>
      </w:r>
      <w:r>
        <w:rPr>
          <w:rFonts w:ascii="微软雅黑" w:hAnsi="微软雅黑" w:eastAsia="微软雅黑" w:cs="微软雅黑"/>
          <w:color w:val="231F20"/>
          <w:spacing w:val="-1"/>
          <w:sz w:val="22"/>
          <w:szCs w:val="22"/>
        </w:rPr>
        <w:t>月美国公布的供</w:t>
      </w:r>
      <w:r>
        <w:rPr>
          <w:rFonts w:ascii="微软雅黑" w:hAnsi="微软雅黑" w:eastAsia="微软雅黑" w:cs="微软雅黑"/>
          <w:color w:val="231F20"/>
          <w:sz w:val="22"/>
          <w:szCs w:val="22"/>
        </w:rPr>
        <w:t xml:space="preserve">应链百日审查报告表明，未来将进一步提高半导体、新能源电池、 </w:t>
      </w:r>
      <w:r>
        <w:rPr>
          <w:rFonts w:ascii="微软雅黑" w:hAnsi="微软雅黑" w:eastAsia="微软雅黑" w:cs="微软雅黑"/>
          <w:color w:val="231F20"/>
          <w:spacing w:val="1"/>
          <w:sz w:val="22"/>
          <w:szCs w:val="22"/>
        </w:rPr>
        <w:t>关键矿</w:t>
      </w:r>
      <w:r>
        <w:rPr>
          <w:rFonts w:ascii="微软雅黑" w:hAnsi="微软雅黑" w:eastAsia="微软雅黑" w:cs="微软雅黑"/>
          <w:color w:val="231F20"/>
          <w:sz w:val="22"/>
          <w:szCs w:val="22"/>
        </w:rPr>
        <w:t>物和医药用品四大关键领域的自主供应能力。</w:t>
      </w:r>
      <w:r>
        <w:rPr>
          <w:rFonts w:ascii="Times New Roman" w:hAnsi="Times New Roman" w:eastAsia="Times New Roman" w:cs="Times New Roman"/>
          <w:color w:val="231F20"/>
          <w:sz w:val="22"/>
          <w:szCs w:val="22"/>
        </w:rPr>
        <w:t xml:space="preserve">2022 </w:t>
      </w:r>
      <w:r>
        <w:rPr>
          <w:rFonts w:ascii="微软雅黑" w:hAnsi="微软雅黑" w:eastAsia="微软雅黑" w:cs="微软雅黑"/>
          <w:color w:val="231F20"/>
          <w:sz w:val="22"/>
          <w:szCs w:val="22"/>
        </w:rPr>
        <w:t xml:space="preserve">年 </w:t>
      </w:r>
      <w:r>
        <w:rPr>
          <w:rFonts w:ascii="Times New Roman" w:hAnsi="Times New Roman" w:eastAsia="Times New Roman" w:cs="Times New Roman"/>
          <w:color w:val="231F20"/>
          <w:sz w:val="22"/>
          <w:szCs w:val="22"/>
        </w:rPr>
        <w:t xml:space="preserve">5 </w:t>
      </w:r>
      <w:r>
        <w:rPr>
          <w:rFonts w:ascii="微软雅黑" w:hAnsi="微软雅黑" w:eastAsia="微软雅黑" w:cs="微软雅黑"/>
          <w:color w:val="231F20"/>
          <w:sz w:val="22"/>
          <w:szCs w:val="22"/>
        </w:rPr>
        <w:t xml:space="preserve">月 日本国会参议院通过 </w:t>
      </w:r>
      <w:r>
        <w:rPr>
          <w:rFonts w:ascii="微软雅黑" w:hAnsi="微软雅黑" w:eastAsia="微软雅黑" w:cs="微软雅黑"/>
          <w:color w:val="231F20"/>
          <w:spacing w:val="2"/>
          <w:sz w:val="22"/>
          <w:szCs w:val="22"/>
        </w:rPr>
        <w:t>的《经济安全保障推进法》指出 ，将通过设立政府援助制度以增强重要物资</w:t>
      </w:r>
      <w:r>
        <w:rPr>
          <w:rFonts w:ascii="微软雅黑" w:hAnsi="微软雅黑" w:eastAsia="微软雅黑" w:cs="微软雅黑"/>
          <w:color w:val="231F20"/>
          <w:spacing w:val="1"/>
          <w:sz w:val="22"/>
          <w:szCs w:val="22"/>
        </w:rPr>
        <w:t>在</w:t>
      </w:r>
      <w:r>
        <w:rPr>
          <w:rFonts w:ascii="微软雅黑" w:hAnsi="微软雅黑" w:eastAsia="微软雅黑" w:cs="微软雅黑"/>
          <w:color w:val="231F20"/>
          <w:sz w:val="22"/>
          <w:szCs w:val="22"/>
        </w:rPr>
        <w:t xml:space="preserve">日本国 </w:t>
      </w:r>
      <w:r>
        <w:rPr>
          <w:rFonts w:ascii="微软雅黑" w:hAnsi="微软雅黑" w:eastAsia="微软雅黑" w:cs="微软雅黑"/>
          <w:color w:val="231F20"/>
          <w:spacing w:val="1"/>
          <w:sz w:val="22"/>
          <w:szCs w:val="22"/>
        </w:rPr>
        <w:t>内生产的能</w:t>
      </w:r>
      <w:r>
        <w:rPr>
          <w:rFonts w:ascii="微软雅黑" w:hAnsi="微软雅黑" w:eastAsia="微软雅黑" w:cs="微软雅黑"/>
          <w:color w:val="231F20"/>
          <w:sz w:val="22"/>
          <w:szCs w:val="22"/>
        </w:rPr>
        <w:t>力 ，采取加强从同盟国 、友好国家采购等措施。</w:t>
      </w:r>
      <w:r>
        <w:rPr>
          <w:rFonts w:ascii="SimHei" w:hAnsi="SimHei" w:eastAsia="SimHei" w:cs="SimHei"/>
          <w:color w:val="231F20"/>
          <w:sz w:val="22"/>
          <w:szCs w:val="22"/>
        </w:rPr>
        <w:t xml:space="preserve">三是跨国公司追求效率与 </w:t>
      </w:r>
      <w:r>
        <w:rPr>
          <w:rFonts w:ascii="SimHei" w:hAnsi="SimHei" w:eastAsia="SimHei" w:cs="SimHei"/>
          <w:color w:val="231F20"/>
          <w:spacing w:val="2"/>
          <w:sz w:val="22"/>
          <w:szCs w:val="22"/>
        </w:rPr>
        <w:t>安全的平衡，推动供应链近岸化、多元化布局。</w:t>
      </w:r>
      <w:r>
        <w:rPr>
          <w:rFonts w:ascii="微软雅黑" w:hAnsi="微软雅黑" w:eastAsia="微软雅黑" w:cs="微软雅黑"/>
          <w:color w:val="231F20"/>
          <w:spacing w:val="2"/>
          <w:sz w:val="22"/>
          <w:szCs w:val="22"/>
        </w:rPr>
        <w:t>如针对芯片短缺问题 ，一些</w:t>
      </w:r>
      <w:r>
        <w:rPr>
          <w:rFonts w:ascii="微软雅黑" w:hAnsi="微软雅黑" w:eastAsia="微软雅黑" w:cs="微软雅黑"/>
          <w:color w:val="231F20"/>
          <w:spacing w:val="1"/>
          <w:sz w:val="22"/>
          <w:szCs w:val="22"/>
        </w:rPr>
        <w:t>跨</w:t>
      </w:r>
      <w:r>
        <w:rPr>
          <w:rFonts w:ascii="微软雅黑" w:hAnsi="微软雅黑" w:eastAsia="微软雅黑" w:cs="微软雅黑"/>
          <w:color w:val="231F20"/>
          <w:sz w:val="22"/>
          <w:szCs w:val="22"/>
        </w:rPr>
        <w:t xml:space="preserve">国企业 </w:t>
      </w:r>
      <w:r>
        <w:rPr>
          <w:rFonts w:ascii="微软雅黑" w:hAnsi="微软雅黑" w:eastAsia="微软雅黑" w:cs="微软雅黑"/>
          <w:color w:val="231F20"/>
          <w:spacing w:val="-1"/>
          <w:sz w:val="22"/>
          <w:szCs w:val="22"/>
        </w:rPr>
        <w:t>通</w:t>
      </w:r>
      <w:r>
        <w:rPr>
          <w:rFonts w:ascii="微软雅黑" w:hAnsi="微软雅黑" w:eastAsia="微软雅黑" w:cs="微软雅黑"/>
          <w:color w:val="231F20"/>
          <w:sz w:val="22"/>
          <w:szCs w:val="22"/>
        </w:rPr>
        <w:t xml:space="preserve">过增加供应商进行多元化采购，实施供应链多元化、分散化战略，调整供应链布局， </w:t>
      </w:r>
      <w:r>
        <w:rPr>
          <w:rFonts w:ascii="微软雅黑" w:hAnsi="微软雅黑" w:eastAsia="微软雅黑" w:cs="微软雅黑"/>
          <w:color w:val="231F20"/>
          <w:spacing w:val="2"/>
          <w:sz w:val="22"/>
          <w:szCs w:val="22"/>
        </w:rPr>
        <w:t>降低</w:t>
      </w:r>
      <w:r>
        <w:rPr>
          <w:rFonts w:ascii="微软雅黑" w:hAnsi="微软雅黑" w:eastAsia="微软雅黑" w:cs="微软雅黑"/>
          <w:color w:val="231F20"/>
          <w:spacing w:val="1"/>
          <w:sz w:val="22"/>
          <w:szCs w:val="22"/>
        </w:rPr>
        <w:t>供应链风险。</w:t>
      </w:r>
    </w:p>
    <w:p>
      <w:pPr>
        <w:spacing w:before="179" w:line="222" w:lineRule="auto"/>
        <w:ind w:left="2462"/>
        <w:rPr>
          <w:rFonts w:ascii="SimHei" w:hAnsi="SimHei" w:eastAsia="SimHei" w:cs="SimHei"/>
          <w:sz w:val="24"/>
          <w:szCs w:val="24"/>
        </w:rPr>
      </w:pPr>
      <w:r>
        <w:rPr>
          <w:rFonts w:ascii="SimHei" w:hAnsi="SimHei" w:eastAsia="SimHei" w:cs="SimHei"/>
          <w:color w:val="015DAC"/>
          <w:spacing w:val="18"/>
          <w:sz w:val="24"/>
          <w:szCs w:val="24"/>
        </w:rPr>
        <w:t>(</w:t>
      </w:r>
      <w:r>
        <w:rPr>
          <w:rFonts w:ascii="SimHei" w:hAnsi="SimHei" w:eastAsia="SimHei" w:cs="SimHei"/>
          <w:color w:val="015DAC"/>
          <w:spacing w:val="12"/>
          <w:sz w:val="24"/>
          <w:szCs w:val="24"/>
        </w:rPr>
        <w:t>二) 国内形势</w:t>
      </w:r>
    </w:p>
    <w:p>
      <w:pPr>
        <w:spacing w:line="265" w:lineRule="auto"/>
        <w:rPr>
          <w:rFonts w:ascii="Arial"/>
          <w:sz w:val="21"/>
        </w:rPr>
      </w:pPr>
    </w:p>
    <w:p>
      <w:pPr>
        <w:spacing w:before="72" w:line="215" w:lineRule="auto"/>
        <w:ind w:left="2463"/>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1. </w:t>
      </w:r>
      <w:r>
        <w:rPr>
          <w:rFonts w:ascii="KaiTi" w:hAnsi="KaiTi" w:eastAsia="KaiTi" w:cs="KaiTi"/>
          <w:color w:val="015DAC"/>
          <w:spacing w:val="-1"/>
          <w:sz w:val="22"/>
          <w:szCs w:val="22"/>
        </w:rPr>
        <w:t>对外开放水平进一步</w:t>
      </w:r>
      <w:r>
        <w:rPr>
          <w:rFonts w:ascii="KaiTi" w:hAnsi="KaiTi" w:eastAsia="KaiTi" w:cs="KaiTi"/>
          <w:color w:val="015DAC"/>
          <w:sz w:val="22"/>
          <w:szCs w:val="22"/>
        </w:rPr>
        <w:t>提高</w:t>
      </w:r>
    </w:p>
    <w:p>
      <w:pPr>
        <w:spacing w:line="266" w:lineRule="auto"/>
        <w:rPr>
          <w:rFonts w:ascii="Arial"/>
          <w:sz w:val="21"/>
        </w:rPr>
      </w:pPr>
    </w:p>
    <w:p>
      <w:pPr>
        <w:spacing w:before="94" w:line="202" w:lineRule="auto"/>
        <w:ind w:left="2442"/>
        <w:rPr>
          <w:rFonts w:ascii="微软雅黑" w:hAnsi="微软雅黑" w:eastAsia="微软雅黑" w:cs="微软雅黑"/>
          <w:sz w:val="22"/>
          <w:szCs w:val="22"/>
        </w:rPr>
      </w:pPr>
      <w:r>
        <w:rPr>
          <w:rFonts w:ascii="Times New Roman" w:hAnsi="Times New Roman" w:eastAsia="Times New Roman" w:cs="Times New Roman"/>
          <w:color w:val="231F20"/>
          <w:spacing w:val="-8"/>
          <w:sz w:val="22"/>
          <w:szCs w:val="22"/>
        </w:rPr>
        <w:t xml:space="preserve">2021 </w:t>
      </w:r>
      <w:r>
        <w:rPr>
          <w:rFonts w:ascii="微软雅黑" w:hAnsi="微软雅黑" w:eastAsia="微软雅黑" w:cs="微软雅黑"/>
          <w:color w:val="231F20"/>
          <w:spacing w:val="-8"/>
          <w:sz w:val="22"/>
          <w:szCs w:val="22"/>
        </w:rPr>
        <w:t>年，</w:t>
      </w:r>
      <w:r>
        <w:rPr>
          <w:rFonts w:ascii="微软雅黑" w:hAnsi="微软雅黑" w:eastAsia="微软雅黑" w:cs="微软雅黑"/>
          <w:color w:val="231F20"/>
          <w:spacing w:val="-7"/>
          <w:sz w:val="22"/>
          <w:szCs w:val="22"/>
        </w:rPr>
        <w:t xml:space="preserve"> </w:t>
      </w:r>
      <w:r>
        <w:rPr>
          <w:rFonts w:ascii="微软雅黑" w:hAnsi="微软雅黑" w:eastAsia="微软雅黑" w:cs="微软雅黑"/>
          <w:color w:val="231F20"/>
          <w:spacing w:val="-4"/>
          <w:sz w:val="22"/>
          <w:szCs w:val="22"/>
        </w:rPr>
        <w:t xml:space="preserve"> 中国坚持扩大高水平对外开放 ，对外开放范围 、领域和层次持续拓展，</w:t>
      </w:r>
    </w:p>
    <w:p>
      <w:pPr>
        <w:spacing w:before="83" w:line="272" w:lineRule="auto"/>
        <w:ind w:left="1992" w:right="1984" w:firstLine="1"/>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高水平开放型经济新体制加快形成。</w:t>
      </w:r>
      <w:r>
        <w:rPr>
          <w:rFonts w:ascii="SimHei" w:hAnsi="SimHei" w:eastAsia="SimHei" w:cs="SimHei"/>
          <w:color w:val="231F20"/>
          <w:spacing w:val="-1"/>
          <w:sz w:val="22"/>
          <w:szCs w:val="22"/>
        </w:rPr>
        <w:t xml:space="preserve">一是制度型开放持续优化。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年全国和自</w:t>
      </w:r>
      <w:r>
        <w:rPr>
          <w:rFonts w:ascii="微软雅黑" w:hAnsi="微软雅黑" w:eastAsia="微软雅黑" w:cs="微软雅黑"/>
          <w:color w:val="231F20"/>
          <w:sz w:val="22"/>
          <w:szCs w:val="22"/>
        </w:rPr>
        <w:t xml:space="preserve">贸试 </w:t>
      </w:r>
      <w:r>
        <w:rPr>
          <w:rFonts w:ascii="微软雅黑" w:hAnsi="微软雅黑" w:eastAsia="微软雅黑" w:cs="微软雅黑"/>
          <w:color w:val="231F20"/>
          <w:spacing w:val="4"/>
          <w:sz w:val="22"/>
          <w:szCs w:val="22"/>
        </w:rPr>
        <w:t>验区外资准入</w:t>
      </w:r>
      <w:r>
        <w:rPr>
          <w:rFonts w:ascii="微软雅黑" w:hAnsi="微软雅黑" w:eastAsia="微软雅黑" w:cs="微软雅黑"/>
          <w:color w:val="231F20"/>
          <w:spacing w:val="3"/>
          <w:sz w:val="22"/>
          <w:szCs w:val="22"/>
        </w:rPr>
        <w:t>负</w:t>
      </w:r>
      <w:r>
        <w:rPr>
          <w:rFonts w:ascii="微软雅黑" w:hAnsi="微软雅黑" w:eastAsia="微软雅黑" w:cs="微软雅黑"/>
          <w:color w:val="231F20"/>
          <w:spacing w:val="2"/>
          <w:sz w:val="22"/>
          <w:szCs w:val="22"/>
        </w:rPr>
        <w:t xml:space="preserve">面清单分别缩减至 </w:t>
      </w:r>
      <w:r>
        <w:rPr>
          <w:rFonts w:ascii="Times New Roman" w:hAnsi="Times New Roman" w:eastAsia="Times New Roman" w:cs="Times New Roman"/>
          <w:color w:val="231F20"/>
          <w:spacing w:val="2"/>
          <w:sz w:val="22"/>
          <w:szCs w:val="22"/>
        </w:rPr>
        <w:t xml:space="preserve">31 </w:t>
      </w:r>
      <w:r>
        <w:rPr>
          <w:rFonts w:ascii="微软雅黑" w:hAnsi="微软雅黑" w:eastAsia="微软雅黑" w:cs="微软雅黑"/>
          <w:color w:val="231F20"/>
          <w:spacing w:val="2"/>
          <w:sz w:val="22"/>
          <w:szCs w:val="22"/>
        </w:rPr>
        <w:t xml:space="preserve">条和 </w:t>
      </w:r>
      <w:r>
        <w:rPr>
          <w:rFonts w:ascii="Times New Roman" w:hAnsi="Times New Roman" w:eastAsia="Times New Roman" w:cs="Times New Roman"/>
          <w:color w:val="231F20"/>
          <w:spacing w:val="2"/>
          <w:sz w:val="22"/>
          <w:szCs w:val="22"/>
        </w:rPr>
        <w:t>27</w:t>
      </w:r>
      <w:r>
        <w:rPr>
          <w:rFonts w:ascii="微软雅黑" w:hAnsi="微软雅黑" w:eastAsia="微软雅黑" w:cs="微软雅黑"/>
          <w:color w:val="231F20"/>
          <w:spacing w:val="2"/>
          <w:sz w:val="22"/>
          <w:szCs w:val="22"/>
        </w:rPr>
        <w:t>条 ，实现自贸试验区负面清单制造业条</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69305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5"/>
        <w:rPr>
          <w:rFonts w:ascii="Arial" w:hAnsi="Arial" w:eastAsia="Arial" w:cs="Arial"/>
          <w:sz w:val="20"/>
          <w:szCs w:val="20"/>
        </w:rPr>
      </w:pPr>
      <w:r>
        <w:rPr>
          <w:rFonts w:ascii="SimHei" w:hAnsi="SimHei" w:eastAsia="SimHei" w:cs="SimHei"/>
          <w:color w:val="1A67B3"/>
          <w:spacing w:val="26"/>
          <w:position w:val="1"/>
          <w:sz w:val="21"/>
          <w:szCs w:val="21"/>
          <w14:textOutline w14:w="3175" w14:cap="flat" w14:cmpd="sng">
            <w14:solidFill>
              <w14:srgbClr w14:val="1A67B3"/>
            </w14:solidFill>
            <w14:prstDash w14:val="solid"/>
            <w14:miter w14:val="0"/>
          </w14:textOutline>
        </w:rPr>
        <w:t>综合篇</w:t>
      </w:r>
      <w:r>
        <w:rPr>
          <w:rFonts w:ascii="SimHei" w:hAnsi="SimHei" w:eastAsia="SimHei" w:cs="SimHei"/>
          <w:color w:val="1A67B3"/>
          <w:spacing w:val="26"/>
          <w:position w:val="1"/>
          <w:sz w:val="21"/>
          <w:szCs w:val="21"/>
        </w:rPr>
        <w:t xml:space="preserve"> </w:t>
      </w:r>
      <w:r>
        <w:rPr>
          <w:position w:val="-3"/>
          <w:sz w:val="21"/>
          <w:szCs w:val="21"/>
        </w:rPr>
        <w:drawing>
          <wp:inline distT="0" distB="0" distL="0" distR="0">
            <wp:extent cx="3175" cy="147320"/>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6"/>
          <w:position w:val="1"/>
          <w:sz w:val="21"/>
          <w:szCs w:val="21"/>
        </w:rPr>
        <w:t xml:space="preserve">  </w:t>
      </w:r>
      <w:r>
        <w:rPr>
          <w:rFonts w:ascii="宋体" w:hAnsi="宋体" w:eastAsia="宋体" w:cs="宋体"/>
          <w:color w:val="537DBF"/>
          <w:spacing w:val="26"/>
          <w:position w:val="1"/>
          <w:sz w:val="21"/>
          <w:szCs w:val="21"/>
        </w:rPr>
        <w:t xml:space="preserve">中国外商投资报告 2022  </w:t>
      </w:r>
      <w:r>
        <w:rPr>
          <w:position w:val="-3"/>
          <w:sz w:val="21"/>
          <w:szCs w:val="21"/>
        </w:rPr>
        <w:drawing>
          <wp:inline distT="0" distB="0" distL="0" distR="0">
            <wp:extent cx="3175" cy="14732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6"/>
          <w:position w:val="1"/>
          <w:sz w:val="21"/>
          <w:szCs w:val="21"/>
        </w:rPr>
        <w:t xml:space="preserve">  </w:t>
      </w:r>
      <w:r>
        <w:rPr>
          <w:rFonts w:ascii="Arial" w:hAnsi="Arial" w:eastAsia="Arial" w:cs="Arial"/>
          <w:color w:val="231F20"/>
          <w:spacing w:val="22"/>
          <w:position w:val="1"/>
          <w:sz w:val="20"/>
          <w:szCs w:val="20"/>
        </w:rPr>
        <w:t>5</w:t>
      </w: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tabs>
          <w:tab w:val="left" w:pos="2086"/>
        </w:tabs>
        <w:spacing w:before="95" w:line="256" w:lineRule="auto"/>
        <w:ind w:left="1976" w:right="1862" w:firstLine="51"/>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目清零。出台《海南自由</w:t>
      </w:r>
      <w:r>
        <w:rPr>
          <w:rFonts w:ascii="微软雅黑" w:hAnsi="微软雅黑" w:eastAsia="微软雅黑" w:cs="微软雅黑"/>
          <w:color w:val="231F20"/>
          <w:spacing w:val="-3"/>
          <w:sz w:val="22"/>
          <w:szCs w:val="22"/>
        </w:rPr>
        <w:t xml:space="preserve">贸易港跨境服务贸易特别管理措施( 负面清单 )(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年版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在 </w:t>
      </w:r>
      <w:r>
        <w:rPr>
          <w:rFonts w:ascii="Times New Roman" w:hAnsi="Times New Roman" w:eastAsia="Times New Roman" w:cs="Times New Roman"/>
          <w:color w:val="231F20"/>
          <w:spacing w:val="-1"/>
          <w:sz w:val="22"/>
          <w:szCs w:val="22"/>
        </w:rPr>
        <w:t xml:space="preserve">11 </w:t>
      </w:r>
      <w:r>
        <w:rPr>
          <w:rFonts w:ascii="微软雅黑" w:hAnsi="微软雅黑" w:eastAsia="微软雅黑" w:cs="微软雅黑"/>
          <w:color w:val="231F20"/>
          <w:spacing w:val="-1"/>
          <w:sz w:val="22"/>
          <w:szCs w:val="22"/>
        </w:rPr>
        <w:t>个</w:t>
      </w:r>
      <w:r>
        <w:rPr>
          <w:rFonts w:ascii="微软雅黑" w:hAnsi="微软雅黑" w:eastAsia="微软雅黑" w:cs="微软雅黑"/>
          <w:color w:val="231F20"/>
          <w:sz w:val="22"/>
          <w:szCs w:val="22"/>
        </w:rPr>
        <w:t>门类列出</w:t>
      </w:r>
      <w:r>
        <w:rPr>
          <w:rFonts w:ascii="Times New Roman" w:hAnsi="Times New Roman" w:eastAsia="Times New Roman" w:cs="Times New Roman"/>
          <w:color w:val="231F20"/>
          <w:sz w:val="22"/>
          <w:szCs w:val="22"/>
        </w:rPr>
        <w:t xml:space="preserve">70 </w:t>
      </w:r>
      <w:r>
        <w:rPr>
          <w:rFonts w:ascii="微软雅黑" w:hAnsi="微软雅黑" w:eastAsia="微软雅黑" w:cs="微软雅黑"/>
          <w:color w:val="231F20"/>
          <w:sz w:val="22"/>
          <w:szCs w:val="22"/>
        </w:rPr>
        <w:t xml:space="preserve">项特别管理措施 ，清单之外的领域 ，在海南自由贸易港内 ，对境  </w:t>
      </w:r>
      <w:r>
        <w:rPr>
          <w:rFonts w:ascii="微软雅黑" w:hAnsi="微软雅黑" w:eastAsia="微软雅黑" w:cs="微软雅黑"/>
          <w:color w:val="231F20"/>
          <w:spacing w:val="-2"/>
          <w:sz w:val="22"/>
          <w:szCs w:val="22"/>
        </w:rPr>
        <w:t>内外服务提供者一视同仁</w:t>
      </w:r>
      <w:r>
        <w:rPr>
          <w:rFonts w:ascii="微软雅黑" w:hAnsi="微软雅黑" w:eastAsia="微软雅黑" w:cs="微软雅黑"/>
          <w:color w:val="231F20"/>
          <w:spacing w:val="-1"/>
          <w:sz w:val="22"/>
          <w:szCs w:val="22"/>
        </w:rPr>
        <w:t xml:space="preserve"> 、平等准入 ，大大提高服务贸易的开放度 、透明度和可预见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度</w:t>
      </w:r>
      <w:r>
        <w:rPr>
          <w:rFonts w:ascii="微软雅黑" w:hAnsi="微软雅黑" w:eastAsia="微软雅黑" w:cs="微软雅黑"/>
          <w:color w:val="231F20"/>
          <w:spacing w:val="2"/>
          <w:sz w:val="22"/>
          <w:szCs w:val="22"/>
        </w:rPr>
        <w:t xml:space="preserve"> ，对服务贸易管理模式实现了重大突破。</w:t>
      </w:r>
      <w:r>
        <w:rPr>
          <w:rFonts w:ascii="SimHei" w:hAnsi="SimHei" w:eastAsia="SimHei" w:cs="SimHei"/>
          <w:color w:val="231F20"/>
          <w:spacing w:val="2"/>
          <w:sz w:val="22"/>
          <w:szCs w:val="22"/>
        </w:rPr>
        <w:t>二是开放平台功能进一步增强。</w:t>
      </w:r>
      <w:r>
        <w:rPr>
          <w:rFonts w:ascii="微软雅黑" w:hAnsi="微软雅黑" w:eastAsia="微软雅黑" w:cs="微软雅黑"/>
          <w:color w:val="231F20"/>
          <w:spacing w:val="2"/>
          <w:sz w:val="22"/>
          <w:szCs w:val="22"/>
        </w:rPr>
        <w:t>出台《关</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于推进自由贸易试验区贸易投资便利化改革创新的若干措施》，提出</w:t>
      </w:r>
      <w:r>
        <w:rPr>
          <w:rFonts w:ascii="Times New Roman" w:hAnsi="Times New Roman" w:eastAsia="Times New Roman" w:cs="Times New Roman"/>
          <w:color w:val="231F20"/>
          <w:spacing w:val="-2"/>
          <w:sz w:val="22"/>
          <w:szCs w:val="22"/>
        </w:rPr>
        <w:t xml:space="preserve">19 </w:t>
      </w:r>
      <w:r>
        <w:rPr>
          <w:rFonts w:ascii="微软雅黑" w:hAnsi="微软雅黑" w:eastAsia="微软雅黑" w:cs="微软雅黑"/>
          <w:color w:val="231F20"/>
          <w:spacing w:val="-1"/>
          <w:sz w:val="22"/>
          <w:szCs w:val="22"/>
        </w:rPr>
        <w:t>项便利化措施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进一步加强对外开放深层次探索试验。经国务院同意，修订印发《国家级经济技</w:t>
      </w:r>
      <w:r>
        <w:rPr>
          <w:rFonts w:ascii="微软雅黑" w:hAnsi="微软雅黑" w:eastAsia="微软雅黑" w:cs="微软雅黑"/>
          <w:color w:val="231F20"/>
          <w:spacing w:val="3"/>
          <w:sz w:val="22"/>
          <w:szCs w:val="22"/>
        </w:rPr>
        <w:t>术</w:t>
      </w:r>
      <w:r>
        <w:rPr>
          <w:rFonts w:ascii="微软雅黑" w:hAnsi="微软雅黑" w:eastAsia="微软雅黑" w:cs="微软雅黑"/>
          <w:color w:val="231F20"/>
          <w:sz w:val="22"/>
          <w:szCs w:val="22"/>
        </w:rPr>
        <w:t xml:space="preserve">开  </w:t>
      </w:r>
      <w:r>
        <w:rPr>
          <w:rFonts w:ascii="微软雅黑" w:hAnsi="微软雅黑" w:eastAsia="微软雅黑" w:cs="微软雅黑"/>
          <w:color w:val="231F20"/>
          <w:spacing w:val="-2"/>
          <w:sz w:val="22"/>
          <w:szCs w:val="22"/>
        </w:rPr>
        <w:t xml:space="preserve">发区综合发展水平考核评价办法 (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年版 ) </w:t>
      </w:r>
      <w:r>
        <w:rPr>
          <w:rFonts w:ascii="微软雅黑" w:hAnsi="微软雅黑" w:eastAsia="微软雅黑" w:cs="微软雅黑"/>
          <w:color w:val="231F20"/>
          <w:spacing w:val="-1"/>
          <w:sz w:val="22"/>
          <w:szCs w:val="22"/>
        </w:rPr>
        <w:t xml:space="preserve"> 》  ，强化高质量发展和改革开放发展目</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标导向，  引导国家级经开区为</w:t>
      </w:r>
      <w:r>
        <w:rPr>
          <w:rFonts w:ascii="微软雅黑" w:hAnsi="微软雅黑" w:eastAsia="微软雅黑" w:cs="微软雅黑"/>
          <w:color w:val="231F20"/>
          <w:sz w:val="22"/>
          <w:szCs w:val="22"/>
        </w:rPr>
        <w:t xml:space="preserve">稳外贸稳外资做出更大贡献。新增河北张家口经济技术  </w:t>
      </w:r>
      <w:r>
        <w:rPr>
          <w:rFonts w:ascii="微软雅黑" w:hAnsi="微软雅黑" w:eastAsia="微软雅黑" w:cs="微软雅黑"/>
          <w:color w:val="231F20"/>
          <w:spacing w:val="-16"/>
          <w:sz w:val="22"/>
          <w:szCs w:val="22"/>
        </w:rPr>
        <w:t>开</w:t>
      </w:r>
      <w:r>
        <w:rPr>
          <w:rFonts w:ascii="微软雅黑" w:hAnsi="微软雅黑" w:eastAsia="微软雅黑" w:cs="微软雅黑"/>
          <w:color w:val="231F20"/>
          <w:spacing w:val="-15"/>
          <w:sz w:val="22"/>
          <w:szCs w:val="22"/>
        </w:rPr>
        <w:t>发</w:t>
      </w:r>
      <w:r>
        <w:rPr>
          <w:rFonts w:ascii="微软雅黑" w:hAnsi="微软雅黑" w:eastAsia="微软雅黑" w:cs="微软雅黑"/>
          <w:color w:val="231F20"/>
          <w:spacing w:val="-8"/>
          <w:sz w:val="22"/>
          <w:szCs w:val="22"/>
        </w:rPr>
        <w:t xml:space="preserve">区等 </w:t>
      </w:r>
      <w:r>
        <w:rPr>
          <w:rFonts w:ascii="Times New Roman" w:hAnsi="Times New Roman" w:eastAsia="Times New Roman" w:cs="Times New Roman"/>
          <w:color w:val="231F20"/>
          <w:spacing w:val="-8"/>
          <w:sz w:val="22"/>
          <w:szCs w:val="22"/>
        </w:rPr>
        <w:t xml:space="preserve">13 </w:t>
      </w:r>
      <w:r>
        <w:rPr>
          <w:rFonts w:ascii="微软雅黑" w:hAnsi="微软雅黑" w:eastAsia="微软雅黑" w:cs="微软雅黑"/>
          <w:color w:val="231F20"/>
          <w:spacing w:val="-8"/>
          <w:sz w:val="22"/>
          <w:szCs w:val="22"/>
        </w:rPr>
        <w:t>家国家级经济技术开发区，支持地方增加开放平台。增设天津、上海、海南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重庆等 </w:t>
      </w:r>
      <w:r>
        <w:rPr>
          <w:rFonts w:ascii="Times New Roman" w:hAnsi="Times New Roman" w:eastAsia="Times New Roman" w:cs="Times New Roman"/>
          <w:color w:val="231F20"/>
          <w:spacing w:val="-1"/>
          <w:sz w:val="22"/>
          <w:szCs w:val="22"/>
        </w:rPr>
        <w:t xml:space="preserve">4 </w:t>
      </w:r>
      <w:r>
        <w:rPr>
          <w:rFonts w:ascii="微软雅黑" w:hAnsi="微软雅黑" w:eastAsia="微软雅黑" w:cs="微软雅黑"/>
          <w:color w:val="231F20"/>
          <w:spacing w:val="-1"/>
          <w:sz w:val="22"/>
          <w:szCs w:val="22"/>
        </w:rPr>
        <w:t>个服务业扩大开放综合试点，支持北京建设国家服务</w:t>
      </w:r>
      <w:r>
        <w:rPr>
          <w:rFonts w:ascii="微软雅黑" w:hAnsi="微软雅黑" w:eastAsia="微软雅黑" w:cs="微软雅黑"/>
          <w:color w:val="231F20"/>
          <w:sz w:val="22"/>
          <w:szCs w:val="22"/>
        </w:rPr>
        <w:t xml:space="preserve">业扩大开放综合示范区 ， </w:t>
      </w:r>
      <w:r>
        <w:rPr>
          <w:rFonts w:ascii="微软雅黑" w:hAnsi="微软雅黑" w:eastAsia="微软雅黑" w:cs="微软雅黑"/>
          <w:color w:val="231F20"/>
          <w:spacing w:val="1"/>
          <w:sz w:val="22"/>
          <w:szCs w:val="22"/>
        </w:rPr>
        <w:t>在更大</w:t>
      </w:r>
      <w:r>
        <w:rPr>
          <w:rFonts w:ascii="微软雅黑" w:hAnsi="微软雅黑" w:eastAsia="微软雅黑" w:cs="微软雅黑"/>
          <w:color w:val="231F20"/>
          <w:sz w:val="22"/>
          <w:szCs w:val="22"/>
        </w:rPr>
        <w:t xml:space="preserve">范围 、更宽领域 、更深层次扩大对外开放。成功举办第 </w:t>
      </w:r>
      <w:r>
        <w:rPr>
          <w:rFonts w:ascii="Times New Roman" w:hAnsi="Times New Roman" w:eastAsia="Times New Roman" w:cs="Times New Roman"/>
          <w:color w:val="231F20"/>
          <w:sz w:val="22"/>
          <w:szCs w:val="22"/>
        </w:rPr>
        <w:t xml:space="preserve">4 </w:t>
      </w:r>
      <w:r>
        <w:rPr>
          <w:rFonts w:ascii="微软雅黑" w:hAnsi="微软雅黑" w:eastAsia="微软雅黑" w:cs="微软雅黑"/>
          <w:color w:val="231F20"/>
          <w:sz w:val="22"/>
          <w:szCs w:val="22"/>
        </w:rPr>
        <w:t xml:space="preserve">届中国国际进口博览  </w:t>
      </w:r>
      <w:r>
        <w:rPr>
          <w:rFonts w:ascii="微软雅黑" w:hAnsi="微软雅黑" w:eastAsia="微软雅黑" w:cs="微软雅黑"/>
          <w:color w:val="231F20"/>
          <w:spacing w:val="-2"/>
          <w:sz w:val="22"/>
          <w:szCs w:val="22"/>
        </w:rPr>
        <w:t>会 、首届中国国际消费</w:t>
      </w:r>
      <w:r>
        <w:rPr>
          <w:rFonts w:ascii="微软雅黑" w:hAnsi="微软雅黑" w:eastAsia="微软雅黑" w:cs="微软雅黑"/>
          <w:color w:val="231F20"/>
          <w:spacing w:val="-1"/>
          <w:sz w:val="22"/>
          <w:szCs w:val="22"/>
        </w:rPr>
        <w:t>品博览会 、中国国际服务贸易交易会 、中国国际投资贸易洽谈</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会</w:t>
      </w:r>
      <w:r>
        <w:rPr>
          <w:rFonts w:ascii="微软雅黑" w:hAnsi="微软雅黑" w:eastAsia="微软雅黑" w:cs="微软雅黑"/>
          <w:color w:val="231F20"/>
          <w:spacing w:val="3"/>
          <w:sz w:val="22"/>
          <w:szCs w:val="22"/>
        </w:rPr>
        <w:t>等</w:t>
      </w:r>
      <w:r>
        <w:rPr>
          <w:rFonts w:ascii="微软雅黑" w:hAnsi="微软雅黑" w:eastAsia="微软雅黑" w:cs="微软雅黑"/>
          <w:color w:val="231F20"/>
          <w:spacing w:val="2"/>
          <w:sz w:val="22"/>
          <w:szCs w:val="22"/>
        </w:rPr>
        <w:t>重大展会 ，主动向世界开放中国市场。</w:t>
      </w:r>
      <w:r>
        <w:rPr>
          <w:rFonts w:ascii="SimHei" w:hAnsi="SimHei" w:eastAsia="SimHei" w:cs="SimHei"/>
          <w:color w:val="231F20"/>
          <w:spacing w:val="2"/>
          <w:sz w:val="22"/>
          <w:szCs w:val="22"/>
        </w:rPr>
        <w:t>三是多双边经贸合作深入推进。</w:t>
      </w:r>
      <w:r>
        <w:rPr>
          <w:rFonts w:ascii="微软雅黑" w:hAnsi="微软雅黑" w:eastAsia="微软雅黑" w:cs="微软雅黑"/>
          <w:color w:val="231F20"/>
          <w:spacing w:val="2"/>
          <w:sz w:val="22"/>
          <w:szCs w:val="22"/>
        </w:rPr>
        <w:t>提升投资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贸易合作水平，  已与 </w:t>
      </w:r>
      <w:r>
        <w:rPr>
          <w:rFonts w:ascii="Times New Roman" w:hAnsi="Times New Roman" w:eastAsia="Times New Roman" w:cs="Times New Roman"/>
          <w:color w:val="231F20"/>
          <w:spacing w:val="-2"/>
          <w:sz w:val="22"/>
          <w:szCs w:val="22"/>
        </w:rPr>
        <w:t xml:space="preserve">26 </w:t>
      </w:r>
      <w:r>
        <w:rPr>
          <w:rFonts w:ascii="微软雅黑" w:hAnsi="微软雅黑" w:eastAsia="微软雅黑" w:cs="微软雅黑"/>
          <w:color w:val="231F20"/>
          <w:spacing w:val="-2"/>
          <w:sz w:val="22"/>
          <w:szCs w:val="22"/>
        </w:rPr>
        <w:t xml:space="preserve">个国家和地区签署 </w:t>
      </w:r>
      <w:r>
        <w:rPr>
          <w:rFonts w:ascii="Times New Roman" w:hAnsi="Times New Roman" w:eastAsia="Times New Roman" w:cs="Times New Roman"/>
          <w:color w:val="231F20"/>
          <w:spacing w:val="-2"/>
          <w:sz w:val="22"/>
          <w:szCs w:val="22"/>
        </w:rPr>
        <w:t xml:space="preserve">19 </w:t>
      </w:r>
      <w:r>
        <w:rPr>
          <w:rFonts w:ascii="微软雅黑" w:hAnsi="微软雅黑" w:eastAsia="微软雅黑" w:cs="微软雅黑"/>
          <w:color w:val="231F20"/>
          <w:spacing w:val="-2"/>
          <w:sz w:val="22"/>
          <w:szCs w:val="22"/>
        </w:rPr>
        <w:t xml:space="preserve">个自贸协定 </w:t>
      </w:r>
      <w:r>
        <w:rPr>
          <w:rFonts w:ascii="微软雅黑" w:hAnsi="微软雅黑" w:eastAsia="微软雅黑" w:cs="微软雅黑"/>
          <w:color w:val="231F20"/>
          <w:spacing w:val="-1"/>
          <w:sz w:val="22"/>
          <w:szCs w:val="22"/>
        </w:rPr>
        <w:t xml:space="preserve">，和 </w:t>
      </w:r>
      <w:r>
        <w:rPr>
          <w:rFonts w:ascii="Times New Roman" w:hAnsi="Times New Roman" w:eastAsia="Times New Roman" w:cs="Times New Roman"/>
          <w:color w:val="231F20"/>
          <w:spacing w:val="-1"/>
          <w:sz w:val="22"/>
          <w:szCs w:val="22"/>
        </w:rPr>
        <w:t xml:space="preserve">108 </w:t>
      </w:r>
      <w:r>
        <w:rPr>
          <w:rFonts w:ascii="微软雅黑" w:hAnsi="微软雅黑" w:eastAsia="微软雅黑" w:cs="微软雅黑"/>
          <w:color w:val="231F20"/>
          <w:spacing w:val="-1"/>
          <w:sz w:val="22"/>
          <w:szCs w:val="22"/>
        </w:rPr>
        <w:t>个国家之间有生效</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的双边投资协定 ，推动《区域全面经济伙伴关系协定》   ( </w:t>
      </w:r>
      <w:r>
        <w:rPr>
          <w:rFonts w:ascii="Times New Roman" w:hAnsi="Times New Roman" w:eastAsia="Times New Roman" w:cs="Times New Roman"/>
          <w:color w:val="231F20"/>
          <w:sz w:val="22"/>
          <w:szCs w:val="22"/>
        </w:rPr>
        <w:t xml:space="preserve">RCEP </w:t>
      </w:r>
      <w:r>
        <w:rPr>
          <w:rFonts w:ascii="微软雅黑" w:hAnsi="微软雅黑" w:eastAsia="微软雅黑" w:cs="微软雅黑"/>
          <w:color w:val="231F20"/>
          <w:sz w:val="22"/>
          <w:szCs w:val="22"/>
        </w:rPr>
        <w:t xml:space="preserve">) 如期生效实施，  正  </w:t>
      </w:r>
      <w:r>
        <w:rPr>
          <w:rFonts w:ascii="微软雅黑" w:hAnsi="微软雅黑" w:eastAsia="微软雅黑" w:cs="微软雅黑"/>
          <w:color w:val="231F20"/>
          <w:spacing w:val="1"/>
          <w:sz w:val="22"/>
          <w:szCs w:val="22"/>
        </w:rPr>
        <w:t>式申请加入《全面与进步</w:t>
      </w:r>
      <w:r>
        <w:rPr>
          <w:rFonts w:ascii="微软雅黑" w:hAnsi="微软雅黑" w:eastAsia="微软雅黑" w:cs="微软雅黑"/>
          <w:color w:val="231F20"/>
          <w:sz w:val="22"/>
          <w:szCs w:val="22"/>
        </w:rPr>
        <w:t xml:space="preserve">跨太平伙伴关系协定》( </w:t>
      </w:r>
      <w:r>
        <w:rPr>
          <w:rFonts w:ascii="Times New Roman" w:hAnsi="Times New Roman" w:eastAsia="Times New Roman" w:cs="Times New Roman"/>
          <w:color w:val="231F20"/>
          <w:sz w:val="22"/>
          <w:szCs w:val="22"/>
        </w:rPr>
        <w:t xml:space="preserve">CPTPP </w:t>
      </w:r>
      <w:r>
        <w:rPr>
          <w:rFonts w:ascii="微软雅黑" w:hAnsi="微软雅黑" w:eastAsia="微软雅黑" w:cs="微软雅黑"/>
          <w:color w:val="231F20"/>
          <w:sz w:val="22"/>
          <w:szCs w:val="22"/>
        </w:rPr>
        <w:t xml:space="preserve">)和《数字经济伙伴关系协定》 </w:t>
      </w:r>
      <w:r>
        <w:rPr>
          <w:rFonts w:ascii="微软雅黑" w:hAnsi="微软雅黑" w:eastAsia="微软雅黑" w:cs="微软雅黑"/>
          <w:color w:val="231F20"/>
          <w:sz w:val="22"/>
          <w:szCs w:val="22"/>
        </w:rPr>
        <w:tab/>
      </w:r>
      <w:r>
        <w:rPr>
          <w:rFonts w:ascii="微软雅黑" w:hAnsi="微软雅黑" w:eastAsia="微软雅黑" w:cs="微软雅黑"/>
          <w:color w:val="231F20"/>
          <w:spacing w:val="-1"/>
          <w:sz w:val="22"/>
          <w:szCs w:val="22"/>
        </w:rPr>
        <w:t xml:space="preserve">( </w:t>
      </w:r>
      <w:r>
        <w:rPr>
          <w:rFonts w:ascii="Times New Roman" w:hAnsi="Times New Roman" w:eastAsia="Times New Roman" w:cs="Times New Roman"/>
          <w:color w:val="231F20"/>
          <w:sz w:val="22"/>
          <w:szCs w:val="22"/>
        </w:rPr>
        <w:t>DEPA</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  ，  与新西兰正式签署自贸协定升级议定书。持续深化对外投资合</w:t>
      </w:r>
      <w:r>
        <w:rPr>
          <w:rFonts w:ascii="微软雅黑" w:hAnsi="微软雅黑" w:eastAsia="微软雅黑" w:cs="微软雅黑"/>
          <w:color w:val="231F20"/>
          <w:sz w:val="22"/>
          <w:szCs w:val="22"/>
        </w:rPr>
        <w:t xml:space="preserve">作 ，据初  </w:t>
      </w:r>
      <w:r>
        <w:rPr>
          <w:rFonts w:ascii="微软雅黑" w:hAnsi="微软雅黑" w:eastAsia="微软雅黑" w:cs="微软雅黑"/>
          <w:color w:val="231F20"/>
          <w:spacing w:val="-2"/>
          <w:sz w:val="22"/>
          <w:szCs w:val="22"/>
        </w:rPr>
        <w:t>步统计，</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年中国对外全行业直接投资 </w:t>
      </w:r>
      <w:r>
        <w:rPr>
          <w:rFonts w:ascii="Times New Roman" w:hAnsi="Times New Roman" w:eastAsia="Times New Roman" w:cs="Times New Roman"/>
          <w:color w:val="231F20"/>
          <w:spacing w:val="-2"/>
          <w:sz w:val="22"/>
          <w:szCs w:val="22"/>
        </w:rPr>
        <w:t xml:space="preserve">1452 </w:t>
      </w:r>
      <w:r>
        <w:rPr>
          <w:rFonts w:ascii="微软雅黑" w:hAnsi="微软雅黑" w:eastAsia="微软雅黑" w:cs="微软雅黑"/>
          <w:color w:val="231F20"/>
          <w:spacing w:val="-2"/>
          <w:sz w:val="22"/>
          <w:szCs w:val="22"/>
        </w:rPr>
        <w:t>亿美元，  同比</w:t>
      </w:r>
      <w:r>
        <w:rPr>
          <w:rFonts w:ascii="微软雅黑" w:hAnsi="微软雅黑" w:eastAsia="微软雅黑" w:cs="微软雅黑"/>
          <w:color w:val="231F20"/>
          <w:spacing w:val="-1"/>
          <w:sz w:val="22"/>
          <w:szCs w:val="22"/>
        </w:rPr>
        <w:t xml:space="preserve">增长 </w:t>
      </w:r>
      <w:r>
        <w:rPr>
          <w:rFonts w:ascii="Times New Roman" w:hAnsi="Times New Roman" w:eastAsia="Times New Roman" w:cs="Times New Roman"/>
          <w:color w:val="231F20"/>
          <w:spacing w:val="-1"/>
          <w:sz w:val="22"/>
          <w:szCs w:val="22"/>
        </w:rPr>
        <w:t xml:space="preserve">9.2% </w:t>
      </w:r>
      <w:r>
        <w:rPr>
          <w:rFonts w:ascii="微软雅黑" w:hAnsi="微软雅黑" w:eastAsia="微软雅黑" w:cs="微软雅黑"/>
          <w:color w:val="231F20"/>
          <w:spacing w:val="-1"/>
          <w:sz w:val="22"/>
          <w:szCs w:val="22"/>
        </w:rPr>
        <w:t>，对外承包工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程业务新签合同额 </w:t>
      </w:r>
      <w:r>
        <w:rPr>
          <w:rFonts w:ascii="Times New Roman" w:hAnsi="Times New Roman" w:eastAsia="Times New Roman" w:cs="Times New Roman"/>
          <w:color w:val="231F20"/>
          <w:spacing w:val="-1"/>
          <w:sz w:val="22"/>
          <w:szCs w:val="22"/>
        </w:rPr>
        <w:t xml:space="preserve">2585 </w:t>
      </w:r>
      <w:r>
        <w:rPr>
          <w:rFonts w:ascii="微软雅黑" w:hAnsi="微软雅黑" w:eastAsia="微软雅黑" w:cs="微软雅黑"/>
          <w:color w:val="231F20"/>
          <w:spacing w:val="-1"/>
          <w:sz w:val="22"/>
          <w:szCs w:val="22"/>
        </w:rPr>
        <w:t xml:space="preserve">亿美元，  同比增长 </w:t>
      </w:r>
      <w:r>
        <w:rPr>
          <w:rFonts w:ascii="Times New Roman" w:hAnsi="Times New Roman" w:eastAsia="Times New Roman" w:cs="Times New Roman"/>
          <w:color w:val="231F20"/>
          <w:spacing w:val="-1"/>
          <w:sz w:val="22"/>
          <w:szCs w:val="22"/>
        </w:rPr>
        <w:t>1.2%</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 xml:space="preserve">。中国对外持续释放扩大开放的积极  </w:t>
      </w:r>
      <w:r>
        <w:rPr>
          <w:rFonts w:ascii="微软雅黑" w:hAnsi="微软雅黑" w:eastAsia="微软雅黑" w:cs="微软雅黑"/>
          <w:color w:val="231F20"/>
          <w:spacing w:val="-4"/>
          <w:sz w:val="22"/>
          <w:szCs w:val="22"/>
        </w:rPr>
        <w:t>信</w:t>
      </w:r>
      <w:r>
        <w:rPr>
          <w:rFonts w:ascii="微软雅黑" w:hAnsi="微软雅黑" w:eastAsia="微软雅黑" w:cs="微软雅黑"/>
          <w:color w:val="231F20"/>
          <w:spacing w:val="-2"/>
          <w:sz w:val="22"/>
          <w:szCs w:val="22"/>
        </w:rPr>
        <w:t>号 ，使广大外国投资者看到更多市场机遇 ，加大了在华投资力度。</w:t>
      </w:r>
    </w:p>
    <w:p>
      <w:pPr>
        <w:spacing w:before="184" w:line="215" w:lineRule="auto"/>
        <w:ind w:left="2437"/>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经济发展保</w:t>
      </w:r>
      <w:r>
        <w:rPr>
          <w:rFonts w:ascii="KaiTi" w:hAnsi="KaiTi" w:eastAsia="KaiTi" w:cs="KaiTi"/>
          <w:color w:val="015DAC"/>
          <w:sz w:val="22"/>
          <w:szCs w:val="22"/>
        </w:rPr>
        <w:t>持恢复态势</w:t>
      </w:r>
    </w:p>
    <w:p>
      <w:pPr>
        <w:spacing w:line="269" w:lineRule="auto"/>
        <w:rPr>
          <w:rFonts w:ascii="Arial"/>
          <w:sz w:val="21"/>
        </w:rPr>
      </w:pPr>
    </w:p>
    <w:p>
      <w:pPr>
        <w:spacing w:before="95" w:line="257" w:lineRule="auto"/>
        <w:ind w:left="1984" w:right="1984" w:firstLine="453"/>
        <w:rPr>
          <w:rFonts w:ascii="微软雅黑" w:hAnsi="微软雅黑" w:eastAsia="微软雅黑" w:cs="微软雅黑"/>
          <w:sz w:val="22"/>
          <w:szCs w:val="22"/>
        </w:rPr>
      </w:pPr>
      <w:r>
        <w:rPr>
          <w:rFonts w:ascii="Times New Roman" w:hAnsi="Times New Roman" w:eastAsia="Times New Roman" w:cs="Times New Roman"/>
          <w:color w:val="231F20"/>
          <w:spacing w:val="-6"/>
          <w:sz w:val="22"/>
          <w:szCs w:val="22"/>
        </w:rPr>
        <w:t xml:space="preserve">2021 </w:t>
      </w:r>
      <w:r>
        <w:rPr>
          <w:rFonts w:ascii="微软雅黑" w:hAnsi="微软雅黑" w:eastAsia="微软雅黑" w:cs="微软雅黑"/>
          <w:color w:val="231F20"/>
          <w:spacing w:val="-6"/>
          <w:sz w:val="22"/>
          <w:szCs w:val="22"/>
        </w:rPr>
        <w:t xml:space="preserve">年，  中国经济持续恢复 ，发展预期目标较好完成，  国内生产总值突破 </w:t>
      </w:r>
      <w:r>
        <w:rPr>
          <w:rFonts w:ascii="Times New Roman" w:hAnsi="Times New Roman" w:eastAsia="Times New Roman" w:cs="Times New Roman"/>
          <w:color w:val="231F20"/>
          <w:spacing w:val="-6"/>
          <w:sz w:val="22"/>
          <w:szCs w:val="22"/>
        </w:rPr>
        <w:t xml:space="preserve">110 </w:t>
      </w:r>
      <w:r>
        <w:rPr>
          <w:rFonts w:ascii="微软雅黑" w:hAnsi="微软雅黑" w:eastAsia="微软雅黑" w:cs="微软雅黑"/>
          <w:color w:val="231F20"/>
          <w:spacing w:val="-3"/>
          <w:sz w:val="22"/>
          <w:szCs w:val="22"/>
        </w:rPr>
        <w:t>万</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2"/>
          <w:sz w:val="22"/>
          <w:szCs w:val="22"/>
        </w:rPr>
        <w:t>亿元 ，</w:t>
      </w:r>
      <w:r>
        <w:rPr>
          <w:rFonts w:ascii="微软雅黑" w:hAnsi="微软雅黑" w:eastAsia="微软雅黑" w:cs="微软雅黑"/>
          <w:color w:val="231F20"/>
          <w:spacing w:val="-8"/>
          <w:sz w:val="22"/>
          <w:szCs w:val="22"/>
        </w:rPr>
        <w:t>达</w:t>
      </w:r>
      <w:r>
        <w:rPr>
          <w:rFonts w:ascii="微软雅黑" w:hAnsi="微软雅黑" w:eastAsia="微软雅黑" w:cs="微软雅黑"/>
          <w:color w:val="231F20"/>
          <w:spacing w:val="-6"/>
          <w:sz w:val="22"/>
          <w:szCs w:val="22"/>
        </w:rPr>
        <w:t xml:space="preserve">到 </w:t>
      </w:r>
      <w:r>
        <w:rPr>
          <w:rFonts w:ascii="Times New Roman" w:hAnsi="Times New Roman" w:eastAsia="Times New Roman" w:cs="Times New Roman"/>
          <w:color w:val="231F20"/>
          <w:spacing w:val="-6"/>
          <w:sz w:val="22"/>
          <w:szCs w:val="22"/>
        </w:rPr>
        <w:t xml:space="preserve">114.4 </w:t>
      </w:r>
      <w:r>
        <w:rPr>
          <w:rFonts w:ascii="微软雅黑" w:hAnsi="微软雅黑" w:eastAsia="微软雅黑" w:cs="微软雅黑"/>
          <w:color w:val="231F20"/>
          <w:spacing w:val="-6"/>
          <w:sz w:val="22"/>
          <w:szCs w:val="22"/>
        </w:rPr>
        <w:t xml:space="preserve">万亿元 ( 折合 </w:t>
      </w:r>
      <w:r>
        <w:rPr>
          <w:rFonts w:ascii="Times New Roman" w:hAnsi="Times New Roman" w:eastAsia="Times New Roman" w:cs="Times New Roman"/>
          <w:color w:val="231F20"/>
          <w:spacing w:val="-6"/>
          <w:sz w:val="22"/>
          <w:szCs w:val="22"/>
        </w:rPr>
        <w:t xml:space="preserve">17.7 </w:t>
      </w:r>
      <w:r>
        <w:rPr>
          <w:rFonts w:ascii="微软雅黑" w:hAnsi="微软雅黑" w:eastAsia="微软雅黑" w:cs="微软雅黑"/>
          <w:color w:val="231F20"/>
          <w:spacing w:val="-6"/>
          <w:sz w:val="22"/>
          <w:szCs w:val="22"/>
        </w:rPr>
        <w:t xml:space="preserve">万亿美元 )  ，  同比增长 </w:t>
      </w:r>
      <w:r>
        <w:rPr>
          <w:rFonts w:ascii="Times New Roman" w:hAnsi="Times New Roman" w:eastAsia="Times New Roman" w:cs="Times New Roman"/>
          <w:color w:val="231F20"/>
          <w:spacing w:val="-6"/>
          <w:sz w:val="22"/>
          <w:szCs w:val="22"/>
        </w:rPr>
        <w:t>8. 1%</w:t>
      </w:r>
      <w:r>
        <w:rPr>
          <w:rFonts w:ascii="微软雅黑" w:hAnsi="微软雅黑" w:eastAsia="微软雅黑" w:cs="微软雅黑"/>
          <w:color w:val="231F20"/>
          <w:spacing w:val="-6"/>
          <w:sz w:val="22"/>
          <w:szCs w:val="22"/>
        </w:rPr>
        <w:t>，  占世界经济比重约</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为 </w:t>
      </w:r>
      <w:r>
        <w:rPr>
          <w:rFonts w:ascii="Times New Roman" w:hAnsi="Times New Roman" w:eastAsia="Times New Roman" w:cs="Times New Roman"/>
          <w:color w:val="231F20"/>
          <w:spacing w:val="2"/>
          <w:sz w:val="22"/>
          <w:szCs w:val="22"/>
        </w:rPr>
        <w:t xml:space="preserve">18% </w:t>
      </w:r>
      <w:r>
        <w:rPr>
          <w:rFonts w:ascii="微软雅黑" w:hAnsi="微软雅黑" w:eastAsia="微软雅黑" w:cs="微软雅黑"/>
          <w:color w:val="231F20"/>
          <w:spacing w:val="2"/>
          <w:sz w:val="22"/>
          <w:szCs w:val="22"/>
        </w:rPr>
        <w:t xml:space="preserve">，对世界经济增长的贡献率达到 </w:t>
      </w:r>
      <w:r>
        <w:rPr>
          <w:rFonts w:ascii="Times New Roman" w:hAnsi="Times New Roman" w:eastAsia="Times New Roman" w:cs="Times New Roman"/>
          <w:color w:val="231F20"/>
          <w:spacing w:val="2"/>
          <w:sz w:val="22"/>
          <w:szCs w:val="22"/>
        </w:rPr>
        <w:t>2</w:t>
      </w:r>
      <w:r>
        <w:rPr>
          <w:rFonts w:ascii="Times New Roman" w:hAnsi="Times New Roman" w:eastAsia="Times New Roman" w:cs="Times New Roman"/>
          <w:color w:val="231F20"/>
          <w:spacing w:val="1"/>
          <w:sz w:val="22"/>
          <w:szCs w:val="22"/>
        </w:rPr>
        <w:t xml:space="preserve">5% </w:t>
      </w:r>
      <w:r>
        <w:rPr>
          <w:rFonts w:ascii="微软雅黑" w:hAnsi="微软雅黑" w:eastAsia="微软雅黑" w:cs="微软雅黑"/>
          <w:color w:val="231F20"/>
          <w:spacing w:val="1"/>
          <w:sz w:val="22"/>
          <w:szCs w:val="22"/>
        </w:rPr>
        <w:t xml:space="preserve">，连续 </w:t>
      </w:r>
      <w:r>
        <w:rPr>
          <w:rFonts w:ascii="Times New Roman" w:hAnsi="Times New Roman" w:eastAsia="Times New Roman" w:cs="Times New Roman"/>
          <w:color w:val="231F20"/>
          <w:spacing w:val="1"/>
          <w:sz w:val="22"/>
          <w:szCs w:val="22"/>
        </w:rPr>
        <w:t xml:space="preserve">12 </w:t>
      </w:r>
      <w:r>
        <w:rPr>
          <w:rFonts w:ascii="微软雅黑" w:hAnsi="微软雅黑" w:eastAsia="微软雅黑" w:cs="微软雅黑"/>
          <w:color w:val="231F20"/>
          <w:spacing w:val="1"/>
          <w:sz w:val="22"/>
          <w:szCs w:val="22"/>
        </w:rPr>
        <w:t>年成为世界第二大经济体。经</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 xml:space="preserve">济结构持续优化 ，全国规模以上工业增加值同比增长 </w:t>
      </w:r>
      <w:r>
        <w:rPr>
          <w:rFonts w:ascii="Times New Roman" w:hAnsi="Times New Roman" w:eastAsia="Times New Roman" w:cs="Times New Roman"/>
          <w:color w:val="231F20"/>
          <w:spacing w:val="3"/>
          <w:sz w:val="22"/>
          <w:szCs w:val="22"/>
        </w:rPr>
        <w:t xml:space="preserve">9.6% </w:t>
      </w:r>
      <w:r>
        <w:rPr>
          <w:rFonts w:ascii="微软雅黑" w:hAnsi="微软雅黑" w:eastAsia="微软雅黑" w:cs="微软雅黑"/>
          <w:color w:val="231F20"/>
          <w:spacing w:val="3"/>
          <w:sz w:val="22"/>
          <w:szCs w:val="22"/>
        </w:rPr>
        <w:t xml:space="preserve">，快于 </w:t>
      </w:r>
      <w:r>
        <w:rPr>
          <w:rFonts w:ascii="Times New Roman" w:hAnsi="Times New Roman" w:eastAsia="Times New Roman" w:cs="Times New Roman"/>
          <w:color w:val="231F20"/>
          <w:sz w:val="22"/>
          <w:szCs w:val="22"/>
        </w:rPr>
        <w:t>GDP</w:t>
      </w:r>
      <w:r>
        <w:rPr>
          <w:rFonts w:ascii="微软雅黑" w:hAnsi="微软雅黑" w:eastAsia="微软雅黑" w:cs="微软雅黑"/>
          <w:color w:val="231F20"/>
          <w:spacing w:val="3"/>
          <w:sz w:val="22"/>
          <w:szCs w:val="22"/>
        </w:rPr>
        <w:t xml:space="preserve">增速 </w:t>
      </w:r>
      <w:r>
        <w:rPr>
          <w:rFonts w:ascii="Times New Roman" w:hAnsi="Times New Roman" w:eastAsia="Times New Roman" w:cs="Times New Roman"/>
          <w:color w:val="231F20"/>
          <w:spacing w:val="3"/>
          <w:sz w:val="22"/>
          <w:szCs w:val="22"/>
        </w:rPr>
        <w:t xml:space="preserve">1.5 </w:t>
      </w:r>
      <w:r>
        <w:rPr>
          <w:rFonts w:ascii="微软雅黑" w:hAnsi="微软雅黑" w:eastAsia="微软雅黑" w:cs="微软雅黑"/>
          <w:color w:val="231F20"/>
          <w:spacing w:val="3"/>
          <w:sz w:val="22"/>
          <w:szCs w:val="22"/>
        </w:rPr>
        <w:t>个百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分点 ，较</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2020 </w:t>
      </w:r>
      <w:r>
        <w:rPr>
          <w:rFonts w:ascii="微软雅黑" w:hAnsi="微软雅黑" w:eastAsia="微软雅黑" w:cs="微软雅黑"/>
          <w:color w:val="231F20"/>
          <w:sz w:val="22"/>
          <w:szCs w:val="22"/>
        </w:rPr>
        <w:t xml:space="preserve">年也加快 </w:t>
      </w:r>
      <w:r>
        <w:rPr>
          <w:rFonts w:ascii="Times New Roman" w:hAnsi="Times New Roman" w:eastAsia="Times New Roman" w:cs="Times New Roman"/>
          <w:color w:val="231F20"/>
          <w:sz w:val="22"/>
          <w:szCs w:val="22"/>
        </w:rPr>
        <w:t xml:space="preserve">6.8 </w:t>
      </w:r>
      <w:r>
        <w:rPr>
          <w:rFonts w:ascii="微软雅黑" w:hAnsi="微软雅黑" w:eastAsia="微软雅黑" w:cs="微软雅黑"/>
          <w:color w:val="231F20"/>
          <w:sz w:val="22"/>
          <w:szCs w:val="22"/>
        </w:rPr>
        <w:t xml:space="preserve">个百分点。最终消费支出、资本形成额、净出口分别拉动 </w:t>
      </w:r>
      <w:r>
        <w:rPr>
          <w:rFonts w:ascii="微软雅黑" w:hAnsi="微软雅黑" w:eastAsia="微软雅黑" w:cs="微软雅黑"/>
          <w:color w:val="231F20"/>
          <w:spacing w:val="-1"/>
          <w:sz w:val="22"/>
          <w:szCs w:val="22"/>
        </w:rPr>
        <w:t>国内生产</w:t>
      </w:r>
      <w:r>
        <w:rPr>
          <w:rFonts w:ascii="微软雅黑" w:hAnsi="微软雅黑" w:eastAsia="微软雅黑" w:cs="微软雅黑"/>
          <w:color w:val="231F20"/>
          <w:sz w:val="22"/>
          <w:szCs w:val="22"/>
        </w:rPr>
        <w:t xml:space="preserve">总值增长 </w:t>
      </w:r>
      <w:r>
        <w:rPr>
          <w:rFonts w:ascii="Times New Roman" w:hAnsi="Times New Roman" w:eastAsia="Times New Roman" w:cs="Times New Roman"/>
          <w:color w:val="231F20"/>
          <w:sz w:val="22"/>
          <w:szCs w:val="22"/>
        </w:rPr>
        <w:t xml:space="preserve">5.3 </w:t>
      </w:r>
      <w:r>
        <w:rPr>
          <w:rFonts w:ascii="微软雅黑" w:hAnsi="微软雅黑" w:eastAsia="微软雅黑" w:cs="微软雅黑"/>
          <w:color w:val="231F20"/>
          <w:sz w:val="22"/>
          <w:szCs w:val="22"/>
        </w:rPr>
        <w:t>、</w:t>
      </w:r>
      <w:r>
        <w:rPr>
          <w:rFonts w:ascii="Times New Roman" w:hAnsi="Times New Roman" w:eastAsia="Times New Roman" w:cs="Times New Roman"/>
          <w:color w:val="231F20"/>
          <w:sz w:val="22"/>
          <w:szCs w:val="22"/>
        </w:rPr>
        <w:t xml:space="preserve">1. 1 </w:t>
      </w:r>
      <w:r>
        <w:rPr>
          <w:rFonts w:ascii="微软雅黑" w:hAnsi="微软雅黑" w:eastAsia="微软雅黑" w:cs="微软雅黑"/>
          <w:color w:val="231F20"/>
          <w:sz w:val="22"/>
          <w:szCs w:val="22"/>
        </w:rPr>
        <w:t xml:space="preserve">和 </w:t>
      </w:r>
      <w:r>
        <w:rPr>
          <w:rFonts w:ascii="Times New Roman" w:hAnsi="Times New Roman" w:eastAsia="Times New Roman" w:cs="Times New Roman"/>
          <w:color w:val="231F20"/>
          <w:sz w:val="22"/>
          <w:szCs w:val="22"/>
        </w:rPr>
        <w:t xml:space="preserve">1.7 </w:t>
      </w:r>
      <w:r>
        <w:rPr>
          <w:rFonts w:ascii="微软雅黑" w:hAnsi="微软雅黑" w:eastAsia="微软雅黑" w:cs="微软雅黑"/>
          <w:color w:val="231F20"/>
          <w:sz w:val="22"/>
          <w:szCs w:val="22"/>
        </w:rPr>
        <w:t xml:space="preserve">个百分点。通货膨胀率保持低位 ，就业保持稳定， </w:t>
      </w:r>
      <w:r>
        <w:rPr>
          <w:rFonts w:ascii="微软雅黑" w:hAnsi="微软雅黑" w:eastAsia="微软雅黑" w:cs="微软雅黑"/>
          <w:color w:val="231F20"/>
          <w:spacing w:val="6"/>
          <w:sz w:val="22"/>
          <w:szCs w:val="22"/>
        </w:rPr>
        <w:t xml:space="preserve">全年新增就业人数达 </w:t>
      </w:r>
      <w:r>
        <w:rPr>
          <w:rFonts w:ascii="Times New Roman" w:hAnsi="Times New Roman" w:eastAsia="Times New Roman" w:cs="Times New Roman"/>
          <w:color w:val="231F20"/>
          <w:spacing w:val="6"/>
          <w:sz w:val="22"/>
          <w:szCs w:val="22"/>
        </w:rPr>
        <w:t xml:space="preserve">1269 </w:t>
      </w:r>
      <w:r>
        <w:rPr>
          <w:rFonts w:ascii="微软雅黑" w:hAnsi="微软雅黑" w:eastAsia="微软雅黑" w:cs="微软雅黑"/>
          <w:color w:val="231F20"/>
          <w:spacing w:val="6"/>
          <w:sz w:val="22"/>
          <w:szCs w:val="22"/>
        </w:rPr>
        <w:t>万人。中国经济全面复苏为外商投资创造了良好的环境</w:t>
      </w:r>
      <w:r>
        <w:rPr>
          <w:rFonts w:ascii="微软雅黑" w:hAnsi="微软雅黑" w:eastAsia="微软雅黑" w:cs="微软雅黑"/>
          <w:color w:val="231F20"/>
          <w:spacing w:val="2"/>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增强了外商投资信心，促进了外商投资稳定增长。</w:t>
      </w:r>
    </w:p>
    <w:p>
      <w:pPr>
        <w:sectPr>
          <w:pgSz w:w="12246" w:h="16498"/>
          <w:pgMar w:top="400" w:right="0" w:bottom="400" w:left="0" w:header="0" w:footer="0" w:gutter="0"/>
          <w:cols w:space="720" w:num="1"/>
        </w:sectPr>
      </w:pPr>
    </w:p>
    <w:p>
      <w:pPr>
        <w:spacing w:line="357" w:lineRule="auto"/>
        <w:rPr>
          <w:rFonts w:ascii="Arial"/>
          <w:sz w:val="21"/>
        </w:rPr>
      </w:pPr>
      <w:r>
        <w:pict>
          <v:rect id="_x0000_s1033" o:spid="_x0000_s1033" o:spt="1" style="position:absolute;left:0pt;margin-left:139.25pt;margin-top:439.9pt;height:132.85pt;width:0.3pt;mso-position-horizontal-relative:page;mso-position-vertical-relative:page;z-index:251705344;mso-width-relative:page;mso-height-relative:page;" fillcolor="#231F20" filled="t" stroked="f" coordsize="21600,21600" o:allowincell="f">
            <v:path/>
            <v:fill on="t" focussize="0,0"/>
            <v:stroke on="f"/>
            <v:imagedata o:title=""/>
            <o:lock v:ext="edit"/>
          </v:rect>
        </w:pict>
      </w:r>
      <w:r>
        <w:pict>
          <v:rect id="_x0000_s1034" o:spid="_x0000_s1034" o:spt="1" style="position:absolute;left:0pt;margin-left:141.95pt;margin-top:529.05pt;height:0.75pt;width:356.95pt;mso-position-horizontal-relative:page;mso-position-vertical-relative:page;z-index:251699200;mso-width-relative:page;mso-height-relative:page;" fillcolor="#CDDAEC" filled="t" stroked="f" coordsize="21600,21600" o:allowincell="f">
            <v:path/>
            <v:fill on="t" focussize="0,0"/>
            <v:stroke on="f"/>
            <v:imagedata o:title=""/>
            <o:lock v:ext="edit"/>
          </v:rect>
        </w:pict>
      </w:r>
      <w:r>
        <w:pict>
          <v:rect id="_x0000_s1035" o:spid="_x0000_s1035" o:spt="1" style="position:absolute;left:0pt;margin-left:141.95pt;margin-top:550pt;height:0.75pt;width:356.95pt;mso-position-horizontal-relative:page;mso-position-vertical-relative:page;z-index:251695104;mso-width-relative:page;mso-height-relative:page;" fillcolor="#CDDAEC" filled="t" stroked="f" coordsize="21600,21600" o:allowincell="f">
            <v:path/>
            <v:fill on="t" focussize="0,0"/>
            <v:stroke on="f"/>
            <v:imagedata o:title=""/>
            <o:lock v:ext="edit"/>
          </v:rect>
        </w:pict>
      </w:r>
      <w:r>
        <w:pict>
          <v:rect id="_x0000_s1036" o:spid="_x0000_s1036" o:spt="1" style="position:absolute;left:0pt;margin-left:141.95pt;margin-top:466.3pt;height:0.75pt;width:356.95pt;mso-position-horizontal-relative:page;mso-position-vertical-relative:page;z-index:251698176;mso-width-relative:page;mso-height-relative:page;" fillcolor="#CDDAEC" filled="t" stroked="f" coordsize="21600,21600" o:allowincell="f">
            <v:path/>
            <v:fill on="t" focussize="0,0"/>
            <v:stroke on="f"/>
            <v:imagedata o:title=""/>
            <o:lock v:ext="edit"/>
          </v:rect>
        </w:pict>
      </w:r>
      <w:r>
        <w:pict>
          <v:rect id="_x0000_s1037" o:spid="_x0000_s1037" o:spt="1" style="position:absolute;left:0pt;margin-left:141.95pt;margin-top:487.2pt;height:0.75pt;width:356.95pt;mso-position-horizontal-relative:page;mso-position-vertical-relative:page;z-index:251700224;mso-width-relative:page;mso-height-relative:page;" fillcolor="#CDDAEC" filled="t" stroked="f" coordsize="21600,21600" o:allowincell="f">
            <v:path/>
            <v:fill on="t" focussize="0,0"/>
            <v:stroke on="f"/>
            <v:imagedata o:title=""/>
            <o:lock v:ext="edit"/>
          </v:rect>
        </w:pict>
      </w:r>
      <w:r>
        <w:pict>
          <v:rect id="_x0000_s1038" o:spid="_x0000_s1038" o:spt="1" style="position:absolute;left:0pt;margin-left:141.95pt;margin-top:508.15pt;height:0.75pt;width:356.95pt;mso-position-horizontal-relative:page;mso-position-vertical-relative:page;z-index:251697152;mso-width-relative:page;mso-height-relative:page;" fillcolor="#CDDAEC" filled="t" stroked="f" coordsize="21600,21600" o:allowincell="f">
            <v:path/>
            <v:fill on="t" focussize="0,0"/>
            <v:stroke on="f"/>
            <v:imagedata o:title=""/>
            <o:lock v:ext="edit"/>
          </v:rect>
        </w:pict>
      </w:r>
      <w:r>
        <w:pict>
          <v:shape id="_x0000_s1039" o:spid="_x0000_s1039" style="position:absolute;left:0pt;margin-left:141.95pt;margin-top:445.35pt;height:0.75pt;width:356.95pt;mso-position-horizontal-relative:page;mso-position-vertical-relative:page;z-index:251704320;mso-width-relative:page;mso-height-relative:page;" filled="f" stroked="t" coordsize="7139,15" o:allowincell="f" path="m0,7l7138,7e">
            <v:fill on="f" focussize="0,0"/>
            <v:stroke weight="0.72pt" color="#CDDAEC" miterlimit="10" dashstyle="dash"/>
            <v:imagedata o:title=""/>
            <o:lock v:ext="edit"/>
          </v:shape>
        </w:pict>
      </w:r>
      <w:r>
        <w:drawing>
          <wp:anchor distT="0" distB="0" distL="0" distR="0" simplePos="0" relativeHeight="251696128" behindDoc="0" locked="0" layoutInCell="0" allowOverlap="1">
            <wp:simplePos x="0" y="0"/>
            <wp:positionH relativeFrom="page">
              <wp:posOffset>1746885</wp:posOffset>
            </wp:positionH>
            <wp:positionV relativeFrom="page">
              <wp:posOffset>7245985</wp:posOffset>
            </wp:positionV>
            <wp:extent cx="4768850" cy="6350"/>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49"/>
                    <a:stretch>
                      <a:fillRect/>
                    </a:stretch>
                  </pic:blipFill>
                  <pic:spPr>
                    <a:xfrm>
                      <a:off x="0" y="0"/>
                      <a:ext cx="4768798" cy="6350"/>
                    </a:xfrm>
                    <a:prstGeom prst="rect">
                      <a:avLst/>
                    </a:prstGeom>
                  </pic:spPr>
                </pic:pic>
              </a:graphicData>
            </a:graphic>
          </wp:anchor>
        </w:drawing>
      </w:r>
      <w:r>
        <w:drawing>
          <wp:anchor distT="0" distB="0" distL="0" distR="0" simplePos="0" relativeHeight="25169408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0"/>
                    <a:stretch>
                      <a:fillRect/>
                    </a:stretch>
                  </pic:blipFill>
                  <pic:spPr>
                    <a:xfrm>
                      <a:off x="0" y="0"/>
                      <a:ext cx="7775994" cy="422998"/>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4855845</wp:posOffset>
            </wp:positionH>
            <wp:positionV relativeFrom="page">
              <wp:posOffset>5927090</wp:posOffset>
            </wp:positionV>
            <wp:extent cx="666115" cy="1353820"/>
            <wp:effectExtent l="0" t="0" r="0" b="0"/>
            <wp:wrapNone/>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50"/>
                    <a:stretch>
                      <a:fillRect/>
                    </a:stretch>
                  </pic:blipFill>
                  <pic:spPr>
                    <a:xfrm>
                      <a:off x="0" y="0"/>
                      <a:ext cx="666000" cy="1353591"/>
                    </a:xfrm>
                    <a:prstGeom prst="rect">
                      <a:avLst/>
                    </a:prstGeom>
                  </pic:spPr>
                </pic:pic>
              </a:graphicData>
            </a:graphic>
          </wp:anchor>
        </w:drawing>
      </w:r>
      <w:r>
        <w:drawing>
          <wp:anchor distT="0" distB="0" distL="0" distR="0" simplePos="0" relativeHeight="251702272" behindDoc="0" locked="0" layoutInCell="0" allowOverlap="1">
            <wp:simplePos x="0" y="0"/>
            <wp:positionH relativeFrom="page">
              <wp:posOffset>3239770</wp:posOffset>
            </wp:positionH>
            <wp:positionV relativeFrom="page">
              <wp:posOffset>5975985</wp:posOffset>
            </wp:positionV>
            <wp:extent cx="1327150" cy="64706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51"/>
                    <a:stretch>
                      <a:fillRect/>
                    </a:stretch>
                  </pic:blipFill>
                  <pic:spPr>
                    <a:xfrm>
                      <a:off x="0" y="0"/>
                      <a:ext cx="1327086" cy="64717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2636520</wp:posOffset>
            </wp:positionH>
            <wp:positionV relativeFrom="page">
              <wp:posOffset>6633210</wp:posOffset>
            </wp:positionV>
            <wp:extent cx="666115" cy="647065"/>
            <wp:effectExtent l="0" t="0" r="0" b="0"/>
            <wp:wrapNone/>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52"/>
                    <a:stretch>
                      <a:fillRect/>
                    </a:stretch>
                  </pic:blipFill>
                  <pic:spPr>
                    <a:xfrm>
                      <a:off x="0" y="0"/>
                      <a:ext cx="665988" cy="647179"/>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r>
        <w:rPr>
          <w:rFonts w:ascii="Arial" w:hAnsi="Arial" w:eastAsia="Arial" w:cs="Arial"/>
          <w:color w:val="231F20"/>
          <w:spacing w:val="21"/>
          <w:sz w:val="20"/>
          <w:szCs w:val="20"/>
        </w:rPr>
        <w:t xml:space="preserve">6    </w:t>
      </w:r>
      <w:r>
        <w:rPr>
          <w:position w:val="-5"/>
          <w:sz w:val="20"/>
          <w:szCs w:val="20"/>
        </w:rPr>
        <w:drawing>
          <wp:inline distT="0" distB="0" distL="0" distR="0">
            <wp:extent cx="3175" cy="14732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综合</w:t>
      </w:r>
      <w:r>
        <w:rPr>
          <w:rFonts w:ascii="SimHei" w:hAnsi="SimHei" w:eastAsia="SimHei" w:cs="SimHei"/>
          <w:color w:val="1A67B3"/>
          <w:spacing w:val="20"/>
          <w:sz w:val="21"/>
          <w:szCs w:val="21"/>
          <w14:textOutline w14:w="3175" w14:cap="flat" w14:cmpd="sng">
            <w14:solidFill>
              <w14:srgbClr w14:val="1A67B3"/>
            </w14:solidFill>
            <w14:prstDash w14:val="solid"/>
            <w14:miter w14:val="0"/>
          </w14:textOutline>
        </w:rPr>
        <w:t>篇</w:t>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2" w:line="216"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国</w:t>
      </w:r>
      <w:r>
        <w:rPr>
          <w:rFonts w:ascii="KaiTi" w:hAnsi="KaiTi" w:eastAsia="KaiTi" w:cs="KaiTi"/>
          <w:color w:val="015DAC"/>
          <w:sz w:val="22"/>
          <w:szCs w:val="22"/>
        </w:rPr>
        <w:t>内市场潜力不断释放</w:t>
      </w:r>
    </w:p>
    <w:p>
      <w:pPr>
        <w:spacing w:line="268" w:lineRule="auto"/>
        <w:rPr>
          <w:rFonts w:ascii="Arial"/>
          <w:sz w:val="21"/>
        </w:rPr>
      </w:pPr>
    </w:p>
    <w:p>
      <w:pPr>
        <w:spacing w:before="95" w:line="256" w:lineRule="auto"/>
        <w:ind w:left="1986" w:right="1905" w:firstLine="460"/>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在党中央国务院和各地出台一系列促消费、培育壮大国内市场</w:t>
      </w:r>
      <w:r>
        <w:rPr>
          <w:rFonts w:ascii="微软雅黑" w:hAnsi="微软雅黑" w:eastAsia="微软雅黑" w:cs="微软雅黑"/>
          <w:color w:val="231F20"/>
          <w:sz w:val="22"/>
          <w:szCs w:val="22"/>
        </w:rPr>
        <w:t xml:space="preserve">政策措施的推动下， </w:t>
      </w:r>
      <w:r>
        <w:rPr>
          <w:rFonts w:ascii="微软雅黑" w:hAnsi="微软雅黑" w:eastAsia="微软雅黑" w:cs="微软雅黑"/>
          <w:color w:val="231F20"/>
          <w:spacing w:val="-1"/>
          <w:sz w:val="22"/>
          <w:szCs w:val="22"/>
        </w:rPr>
        <w:t>中国消费市场持续恢复，  国内市场逐步由大向强迈</w:t>
      </w:r>
      <w:r>
        <w:rPr>
          <w:rFonts w:ascii="微软雅黑" w:hAnsi="微软雅黑" w:eastAsia="微软雅黑" w:cs="微软雅黑"/>
          <w:color w:val="231F20"/>
          <w:sz w:val="22"/>
          <w:szCs w:val="22"/>
        </w:rPr>
        <w:t>进。</w:t>
      </w:r>
      <w:r>
        <w:rPr>
          <w:rFonts w:ascii="SimHei" w:hAnsi="SimHei" w:eastAsia="SimHei" w:cs="SimHei"/>
          <w:color w:val="231F20"/>
          <w:sz w:val="22"/>
          <w:szCs w:val="22"/>
        </w:rPr>
        <w:t xml:space="preserve">一是国内消费规模持续扩大。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 ，全国社会消费品零售总额同</w:t>
      </w:r>
      <w:r>
        <w:rPr>
          <w:rFonts w:ascii="微软雅黑" w:hAnsi="微软雅黑" w:eastAsia="微软雅黑" w:cs="微软雅黑"/>
          <w:color w:val="231F20"/>
          <w:sz w:val="22"/>
          <w:szCs w:val="22"/>
        </w:rPr>
        <w:t xml:space="preserve">比增长 </w:t>
      </w:r>
      <w:r>
        <w:rPr>
          <w:rFonts w:ascii="Times New Roman" w:hAnsi="Times New Roman" w:eastAsia="Times New Roman" w:cs="Times New Roman"/>
          <w:color w:val="231F20"/>
          <w:sz w:val="22"/>
          <w:szCs w:val="22"/>
        </w:rPr>
        <w:t xml:space="preserve">12.5% </w:t>
      </w:r>
      <w:r>
        <w:rPr>
          <w:rFonts w:ascii="微软雅黑" w:hAnsi="微软雅黑" w:eastAsia="微软雅黑" w:cs="微软雅黑"/>
          <w:color w:val="231F20"/>
          <w:sz w:val="22"/>
          <w:szCs w:val="22"/>
        </w:rPr>
        <w:t xml:space="preserve">，达到 </w:t>
      </w:r>
      <w:r>
        <w:rPr>
          <w:rFonts w:ascii="Times New Roman" w:hAnsi="Times New Roman" w:eastAsia="Times New Roman" w:cs="Times New Roman"/>
          <w:color w:val="231F20"/>
          <w:sz w:val="22"/>
          <w:szCs w:val="22"/>
        </w:rPr>
        <w:t xml:space="preserve">44. 1 </w:t>
      </w:r>
      <w:r>
        <w:rPr>
          <w:rFonts w:ascii="微软雅黑" w:hAnsi="微软雅黑" w:eastAsia="微软雅黑" w:cs="微软雅黑"/>
          <w:color w:val="231F20"/>
          <w:sz w:val="22"/>
          <w:szCs w:val="22"/>
        </w:rPr>
        <w:t xml:space="preserve">万亿元 ，最终消费支 </w:t>
      </w:r>
      <w:r>
        <w:rPr>
          <w:rFonts w:ascii="微软雅黑" w:hAnsi="微软雅黑" w:eastAsia="微软雅黑" w:cs="微软雅黑"/>
          <w:color w:val="231F20"/>
          <w:spacing w:val="-1"/>
          <w:sz w:val="22"/>
          <w:szCs w:val="22"/>
        </w:rPr>
        <w:t xml:space="preserve">出对经济增长贡献率为 </w:t>
      </w:r>
      <w:r>
        <w:rPr>
          <w:rFonts w:ascii="Times New Roman" w:hAnsi="Times New Roman" w:eastAsia="Times New Roman" w:cs="Times New Roman"/>
          <w:color w:val="231F20"/>
          <w:spacing w:val="-1"/>
          <w:sz w:val="22"/>
          <w:szCs w:val="22"/>
        </w:rPr>
        <w:t xml:space="preserve">65.4% </w:t>
      </w:r>
      <w:r>
        <w:rPr>
          <w:rFonts w:ascii="微软雅黑" w:hAnsi="微软雅黑" w:eastAsia="微软雅黑" w:cs="微软雅黑"/>
          <w:color w:val="231F20"/>
          <w:spacing w:val="-1"/>
          <w:sz w:val="22"/>
          <w:szCs w:val="22"/>
        </w:rPr>
        <w:t>，达到近年来最高</w:t>
      </w:r>
      <w:r>
        <w:rPr>
          <w:rFonts w:ascii="微软雅黑" w:hAnsi="微软雅黑" w:eastAsia="微软雅黑" w:cs="微软雅黑"/>
          <w:color w:val="231F20"/>
          <w:sz w:val="22"/>
          <w:szCs w:val="22"/>
        </w:rPr>
        <w:t xml:space="preserve">水平。其中 ，新型消费 、绿色消费快 </w:t>
      </w:r>
      <w:r>
        <w:rPr>
          <w:rFonts w:ascii="微软雅黑" w:hAnsi="微软雅黑" w:eastAsia="微软雅黑" w:cs="微软雅黑"/>
          <w:color w:val="231F20"/>
          <w:spacing w:val="-3"/>
          <w:sz w:val="22"/>
          <w:szCs w:val="22"/>
        </w:rPr>
        <w:t xml:space="preserve">速发展，  实物商品网上零售额 、新能源汽车销量分别同比增长 </w:t>
      </w:r>
      <w:r>
        <w:rPr>
          <w:rFonts w:ascii="Times New Roman" w:hAnsi="Times New Roman" w:eastAsia="Times New Roman" w:cs="Times New Roman"/>
          <w:color w:val="231F20"/>
          <w:spacing w:val="-3"/>
          <w:sz w:val="22"/>
          <w:szCs w:val="22"/>
        </w:rPr>
        <w:t xml:space="preserve">12% </w:t>
      </w:r>
      <w:r>
        <w:rPr>
          <w:rFonts w:ascii="微软雅黑" w:hAnsi="微软雅黑" w:eastAsia="微软雅黑" w:cs="微软雅黑"/>
          <w:color w:val="231F20"/>
          <w:spacing w:val="-3"/>
          <w:sz w:val="22"/>
          <w:szCs w:val="22"/>
        </w:rPr>
        <w:t>、</w:t>
      </w:r>
      <w:r>
        <w:rPr>
          <w:rFonts w:ascii="Times New Roman" w:hAnsi="Times New Roman" w:eastAsia="Times New Roman" w:cs="Times New Roman"/>
          <w:color w:val="231F20"/>
          <w:spacing w:val="-3"/>
          <w:sz w:val="22"/>
          <w:szCs w:val="22"/>
        </w:rPr>
        <w:t>160%</w:t>
      </w:r>
      <w:r>
        <w:rPr>
          <w:rFonts w:ascii="微软雅黑" w:hAnsi="微软雅黑" w:eastAsia="微软雅黑" w:cs="微软雅黑"/>
          <w:color w:val="231F20"/>
          <w:spacing w:val="-3"/>
          <w:sz w:val="22"/>
          <w:szCs w:val="22"/>
        </w:rPr>
        <w:t xml:space="preserve">，  </w:t>
      </w:r>
      <w:r>
        <w:rPr>
          <w:rFonts w:ascii="微软雅黑" w:hAnsi="微软雅黑" w:eastAsia="微软雅黑" w:cs="微软雅黑"/>
          <w:color w:val="231F20"/>
          <w:spacing w:val="-1"/>
          <w:sz w:val="22"/>
          <w:szCs w:val="22"/>
        </w:rPr>
        <w:t>升</w:t>
      </w:r>
      <w:r>
        <w:rPr>
          <w:rFonts w:ascii="微软雅黑" w:hAnsi="微软雅黑" w:eastAsia="微软雅黑" w:cs="微软雅黑"/>
          <w:color w:val="231F20"/>
          <w:sz w:val="22"/>
          <w:szCs w:val="22"/>
        </w:rPr>
        <w:t xml:space="preserve">级类 </w:t>
      </w:r>
      <w:r>
        <w:rPr>
          <w:rFonts w:ascii="微软雅黑" w:hAnsi="微软雅黑" w:eastAsia="微软雅黑" w:cs="微软雅黑"/>
          <w:color w:val="231F20"/>
          <w:spacing w:val="-1"/>
          <w:sz w:val="22"/>
          <w:szCs w:val="22"/>
        </w:rPr>
        <w:t>消费需求更加</w:t>
      </w:r>
      <w:r>
        <w:rPr>
          <w:rFonts w:ascii="微软雅黑" w:hAnsi="微软雅黑" w:eastAsia="微软雅黑" w:cs="微软雅黑"/>
          <w:color w:val="231F20"/>
          <w:sz w:val="22"/>
          <w:szCs w:val="22"/>
        </w:rPr>
        <w:t>旺盛，体育健身等消费品零售保持两位数增长。</w:t>
      </w:r>
      <w:r>
        <w:rPr>
          <w:rFonts w:ascii="SimHei" w:hAnsi="SimHei" w:eastAsia="SimHei" w:cs="SimHei"/>
          <w:color w:val="231F20"/>
          <w:sz w:val="22"/>
          <w:szCs w:val="22"/>
        </w:rPr>
        <w:t xml:space="preserve">二是消费能力持续增强。 </w:t>
      </w:r>
      <w:r>
        <w:rPr>
          <w:rFonts w:ascii="Times New Roman" w:hAnsi="Times New Roman" w:eastAsia="Times New Roman" w:cs="Times New Roman"/>
          <w:color w:val="231F20"/>
          <w:spacing w:val="-10"/>
          <w:sz w:val="22"/>
          <w:szCs w:val="22"/>
        </w:rPr>
        <w:t xml:space="preserve">2021 </w:t>
      </w:r>
      <w:r>
        <w:rPr>
          <w:rFonts w:ascii="微软雅黑" w:hAnsi="微软雅黑" w:eastAsia="微软雅黑" w:cs="微软雅黑"/>
          <w:color w:val="231F20"/>
          <w:spacing w:val="-10"/>
          <w:sz w:val="22"/>
          <w:szCs w:val="22"/>
        </w:rPr>
        <w:t>年，</w:t>
      </w:r>
      <w:r>
        <w:rPr>
          <w:rFonts w:ascii="微软雅黑" w:hAnsi="微软雅黑" w:eastAsia="微软雅黑" w:cs="微软雅黑"/>
          <w:color w:val="231F20"/>
          <w:spacing w:val="-8"/>
          <w:sz w:val="22"/>
          <w:szCs w:val="22"/>
        </w:rPr>
        <w:t xml:space="preserve"> </w:t>
      </w:r>
      <w:r>
        <w:rPr>
          <w:rFonts w:ascii="微软雅黑" w:hAnsi="微软雅黑" w:eastAsia="微软雅黑" w:cs="微软雅黑"/>
          <w:color w:val="231F20"/>
          <w:spacing w:val="-5"/>
          <w:sz w:val="22"/>
          <w:szCs w:val="22"/>
        </w:rPr>
        <w:t xml:space="preserve"> 中国居民人均可支配收入 </w:t>
      </w:r>
      <w:r>
        <w:rPr>
          <w:rFonts w:ascii="Times New Roman" w:hAnsi="Times New Roman" w:eastAsia="Times New Roman" w:cs="Times New Roman"/>
          <w:color w:val="231F20"/>
          <w:spacing w:val="-5"/>
          <w:sz w:val="22"/>
          <w:szCs w:val="22"/>
        </w:rPr>
        <w:t xml:space="preserve">35128 </w:t>
      </w:r>
      <w:r>
        <w:rPr>
          <w:rFonts w:ascii="微软雅黑" w:hAnsi="微软雅黑" w:eastAsia="微软雅黑" w:cs="微软雅黑"/>
          <w:color w:val="231F20"/>
          <w:spacing w:val="-5"/>
          <w:sz w:val="22"/>
          <w:szCs w:val="22"/>
        </w:rPr>
        <w:t xml:space="preserve">元，  实际增长 </w:t>
      </w:r>
      <w:r>
        <w:rPr>
          <w:rFonts w:ascii="Times New Roman" w:hAnsi="Times New Roman" w:eastAsia="Times New Roman" w:cs="Times New Roman"/>
          <w:color w:val="231F20"/>
          <w:spacing w:val="-5"/>
          <w:sz w:val="22"/>
          <w:szCs w:val="22"/>
        </w:rPr>
        <w:t>8. 1%</w:t>
      </w:r>
      <w:r>
        <w:rPr>
          <w:rFonts w:ascii="微软雅黑" w:hAnsi="微软雅黑" w:eastAsia="微软雅黑" w:cs="微软雅黑"/>
          <w:color w:val="231F20"/>
          <w:spacing w:val="-5"/>
          <w:sz w:val="22"/>
          <w:szCs w:val="22"/>
        </w:rPr>
        <w:t>，  其中 ，居民人均可支</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配收入中位数达 </w:t>
      </w:r>
      <w:r>
        <w:rPr>
          <w:rFonts w:ascii="Times New Roman" w:hAnsi="Times New Roman" w:eastAsia="Times New Roman" w:cs="Times New Roman"/>
          <w:color w:val="231F20"/>
          <w:spacing w:val="-1"/>
          <w:sz w:val="22"/>
          <w:szCs w:val="22"/>
        </w:rPr>
        <w:t xml:space="preserve">29975 </w:t>
      </w:r>
      <w:r>
        <w:rPr>
          <w:rFonts w:ascii="微软雅黑" w:hAnsi="微软雅黑" w:eastAsia="微软雅黑" w:cs="微软雅黑"/>
          <w:color w:val="231F20"/>
          <w:spacing w:val="-1"/>
          <w:sz w:val="22"/>
          <w:szCs w:val="22"/>
        </w:rPr>
        <w:t xml:space="preserve">元 ，增长 </w:t>
      </w:r>
      <w:r>
        <w:rPr>
          <w:rFonts w:ascii="Times New Roman" w:hAnsi="Times New Roman" w:eastAsia="Times New Roman" w:cs="Times New Roman"/>
          <w:color w:val="231F20"/>
          <w:spacing w:val="-1"/>
          <w:sz w:val="22"/>
          <w:szCs w:val="22"/>
        </w:rPr>
        <w:t xml:space="preserve">8.8% </w:t>
      </w:r>
      <w:r>
        <w:rPr>
          <w:rFonts w:ascii="微软雅黑" w:hAnsi="微软雅黑" w:eastAsia="微软雅黑" w:cs="微软雅黑"/>
          <w:color w:val="231F20"/>
          <w:spacing w:val="-1"/>
          <w:sz w:val="22"/>
          <w:szCs w:val="22"/>
        </w:rPr>
        <w:t>。中国人均</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GDP </w:t>
      </w:r>
      <w:r>
        <w:rPr>
          <w:rFonts w:ascii="微软雅黑" w:hAnsi="微软雅黑" w:eastAsia="微软雅黑" w:cs="微软雅黑"/>
          <w:color w:val="231F20"/>
          <w:sz w:val="22"/>
          <w:szCs w:val="22"/>
        </w:rPr>
        <w:t xml:space="preserve">达到 </w:t>
      </w:r>
      <w:r>
        <w:rPr>
          <w:rFonts w:ascii="Times New Roman" w:hAnsi="Times New Roman" w:eastAsia="Times New Roman" w:cs="Times New Roman"/>
          <w:color w:val="231F20"/>
          <w:sz w:val="22"/>
          <w:szCs w:val="22"/>
        </w:rPr>
        <w:t xml:space="preserve">1.26 </w:t>
      </w:r>
      <w:r>
        <w:rPr>
          <w:rFonts w:ascii="微软雅黑" w:hAnsi="微软雅黑" w:eastAsia="微软雅黑" w:cs="微软雅黑"/>
          <w:color w:val="231F20"/>
          <w:sz w:val="22"/>
          <w:szCs w:val="22"/>
        </w:rPr>
        <w:t xml:space="preserve">万美元 ( 约合人民币 </w:t>
      </w:r>
      <w:r>
        <w:rPr>
          <w:rFonts w:ascii="Times New Roman" w:hAnsi="Times New Roman" w:eastAsia="Times New Roman" w:cs="Times New Roman"/>
          <w:color w:val="231F20"/>
          <w:spacing w:val="2"/>
          <w:sz w:val="22"/>
          <w:szCs w:val="22"/>
        </w:rPr>
        <w:t xml:space="preserve">80976 </w:t>
      </w:r>
      <w:r>
        <w:rPr>
          <w:rFonts w:ascii="微软雅黑" w:hAnsi="微软雅黑" w:eastAsia="微软雅黑" w:cs="微软雅黑"/>
          <w:color w:val="231F20"/>
          <w:spacing w:val="1"/>
          <w:sz w:val="22"/>
          <w:szCs w:val="22"/>
        </w:rPr>
        <w:t xml:space="preserve">元 )  ，接近世界银行高收入国家标准的门槛。其中 ，年收入在 </w:t>
      </w:r>
      <w:r>
        <w:rPr>
          <w:rFonts w:ascii="Times New Roman" w:hAnsi="Times New Roman" w:eastAsia="Times New Roman" w:cs="Times New Roman"/>
          <w:color w:val="231F20"/>
          <w:spacing w:val="1"/>
          <w:sz w:val="22"/>
          <w:szCs w:val="22"/>
        </w:rPr>
        <w:t xml:space="preserve">10 </w:t>
      </w:r>
      <w:r>
        <w:rPr>
          <w:rFonts w:ascii="微软雅黑" w:hAnsi="微软雅黑" w:eastAsia="微软雅黑" w:cs="微软雅黑"/>
          <w:color w:val="231F20"/>
          <w:spacing w:val="1"/>
          <w:sz w:val="22"/>
          <w:szCs w:val="22"/>
        </w:rPr>
        <w:t xml:space="preserve">万元至 </w:t>
      </w:r>
      <w:r>
        <w:rPr>
          <w:rFonts w:ascii="Times New Roman" w:hAnsi="Times New Roman" w:eastAsia="Times New Roman" w:cs="Times New Roman"/>
          <w:color w:val="231F20"/>
          <w:spacing w:val="1"/>
          <w:sz w:val="22"/>
          <w:szCs w:val="22"/>
        </w:rPr>
        <w:t xml:space="preserve">50 </w:t>
      </w:r>
      <w:r>
        <w:rPr>
          <w:rFonts w:ascii="微软雅黑" w:hAnsi="微软雅黑" w:eastAsia="微软雅黑" w:cs="微软雅黑"/>
          <w:color w:val="231F20"/>
          <w:spacing w:val="1"/>
          <w:sz w:val="22"/>
          <w:szCs w:val="22"/>
        </w:rPr>
        <w:t>万</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元的家庭近 </w:t>
      </w:r>
      <w:r>
        <w:rPr>
          <w:rFonts w:ascii="Times New Roman" w:hAnsi="Times New Roman" w:eastAsia="Times New Roman" w:cs="Times New Roman"/>
          <w:color w:val="231F20"/>
          <w:spacing w:val="-1"/>
          <w:sz w:val="22"/>
          <w:szCs w:val="22"/>
        </w:rPr>
        <w:t xml:space="preserve">1.4 </w:t>
      </w:r>
      <w:r>
        <w:rPr>
          <w:rFonts w:ascii="微软雅黑" w:hAnsi="微软雅黑" w:eastAsia="微软雅黑" w:cs="微软雅黑"/>
          <w:color w:val="231F20"/>
          <w:spacing w:val="-1"/>
          <w:sz w:val="22"/>
          <w:szCs w:val="22"/>
        </w:rPr>
        <w:t xml:space="preserve">亿个 ，约 </w:t>
      </w:r>
      <w:r>
        <w:rPr>
          <w:rFonts w:ascii="Times New Roman" w:hAnsi="Times New Roman" w:eastAsia="Times New Roman" w:cs="Times New Roman"/>
          <w:color w:val="231F20"/>
          <w:spacing w:val="-1"/>
          <w:sz w:val="22"/>
          <w:szCs w:val="22"/>
        </w:rPr>
        <w:t xml:space="preserve">4 </w:t>
      </w:r>
      <w:r>
        <w:rPr>
          <w:rFonts w:ascii="微软雅黑" w:hAnsi="微软雅黑" w:eastAsia="微软雅黑" w:cs="微软雅黑"/>
          <w:color w:val="231F20"/>
          <w:spacing w:val="-1"/>
          <w:sz w:val="22"/>
          <w:szCs w:val="22"/>
        </w:rPr>
        <w:t xml:space="preserve">亿人口具备购车 </w:t>
      </w:r>
      <w:r>
        <w:rPr>
          <w:rFonts w:ascii="微软雅黑" w:hAnsi="微软雅黑" w:eastAsia="微软雅黑" w:cs="微软雅黑"/>
          <w:color w:val="231F20"/>
          <w:sz w:val="22"/>
          <w:szCs w:val="22"/>
        </w:rPr>
        <w:t xml:space="preserve">、购房 、闲暇旅游的能力。中等收入群体 </w:t>
      </w:r>
      <w:r>
        <w:rPr>
          <w:rFonts w:ascii="微软雅黑" w:hAnsi="微软雅黑" w:eastAsia="微软雅黑" w:cs="微软雅黑"/>
          <w:color w:val="231F20"/>
          <w:spacing w:val="-2"/>
          <w:sz w:val="22"/>
          <w:szCs w:val="22"/>
        </w:rPr>
        <w:t>快速增长 、消费规模持续扩大 ，为外资企业</w:t>
      </w:r>
      <w:r>
        <w:rPr>
          <w:rFonts w:ascii="微软雅黑" w:hAnsi="微软雅黑" w:eastAsia="微软雅黑" w:cs="微软雅黑"/>
          <w:color w:val="231F20"/>
          <w:spacing w:val="-1"/>
          <w:sz w:val="22"/>
          <w:szCs w:val="22"/>
        </w:rPr>
        <w:t>在华发展提供了广阔的市场空间 ，增强了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外资企业在华长期经营发展的信</w:t>
      </w:r>
      <w:r>
        <w:rPr>
          <w:rFonts w:ascii="微软雅黑" w:hAnsi="微软雅黑" w:eastAsia="微软雅黑" w:cs="微软雅黑"/>
          <w:color w:val="231F20"/>
          <w:sz w:val="22"/>
          <w:szCs w:val="22"/>
        </w:rPr>
        <w:t>心。</w:t>
      </w:r>
    </w:p>
    <w:p>
      <w:pPr>
        <w:spacing w:line="472" w:lineRule="auto"/>
        <w:rPr>
          <w:rFonts w:ascii="Arial"/>
          <w:sz w:val="21"/>
        </w:rPr>
      </w:pPr>
    </w:p>
    <w:p>
      <w:pPr>
        <w:spacing w:before="55" w:line="226" w:lineRule="auto"/>
        <w:ind w:left="2383"/>
        <w:rPr>
          <w:rFonts w:ascii="宋体" w:hAnsi="宋体" w:eastAsia="宋体" w:cs="宋体"/>
          <w:sz w:val="17"/>
          <w:szCs w:val="17"/>
        </w:rPr>
      </w:pPr>
      <w:r>
        <w:rPr>
          <w:rFonts w:ascii="宋体" w:hAnsi="宋体" w:eastAsia="宋体" w:cs="宋体"/>
          <w:color w:val="595C5D"/>
          <w:spacing w:val="4"/>
          <w:sz w:val="17"/>
          <w:szCs w:val="17"/>
        </w:rPr>
        <w:t>万</w:t>
      </w:r>
      <w:r>
        <w:rPr>
          <w:rFonts w:ascii="宋体" w:hAnsi="宋体" w:eastAsia="宋体" w:cs="宋体"/>
          <w:color w:val="595C5D"/>
          <w:spacing w:val="3"/>
          <w:sz w:val="17"/>
          <w:szCs w:val="17"/>
        </w:rPr>
        <w:t>亿元</w:t>
      </w:r>
    </w:p>
    <w:p>
      <w:pPr>
        <w:spacing w:line="264" w:lineRule="auto"/>
        <w:rPr>
          <w:rFonts w:ascii="Arial"/>
          <w:sz w:val="21"/>
        </w:rPr>
      </w:pPr>
    </w:p>
    <w:p>
      <w:pPr>
        <w:spacing w:before="61" w:line="190" w:lineRule="auto"/>
        <w:ind w:left="2428"/>
        <w:rPr>
          <w:rFonts w:ascii="DengXian" w:hAnsi="DengXian" w:eastAsia="DengXian" w:cs="DengXian"/>
          <w:sz w:val="18"/>
          <w:szCs w:val="18"/>
        </w:rPr>
      </w:pPr>
      <w:r>
        <w:rPr>
          <w:rFonts w:ascii="DengXian" w:hAnsi="DengXian" w:eastAsia="DengXian" w:cs="DengXian"/>
          <w:color w:val="595C5D"/>
          <w:spacing w:val="-1"/>
          <w:sz w:val="18"/>
          <w:szCs w:val="18"/>
        </w:rPr>
        <w:t>1</w:t>
      </w:r>
      <w:r>
        <w:rPr>
          <w:rFonts w:ascii="DengXian" w:hAnsi="DengXian" w:eastAsia="DengXian" w:cs="DengXian"/>
          <w:color w:val="595C5D"/>
          <w:sz w:val="18"/>
          <w:szCs w:val="18"/>
        </w:rPr>
        <w:t>20</w:t>
      </w:r>
      <w:r>
        <w:rPr>
          <w:rFonts w:ascii="DengXian" w:hAnsi="DengXian" w:eastAsia="DengXian" w:cs="DengXian"/>
          <w:strike/>
          <w:color w:val="595C5D"/>
          <w:sz w:val="18"/>
          <w:szCs w:val="18"/>
        </w:rPr>
        <w:t xml:space="preserve"> </w:t>
      </w:r>
    </w:p>
    <w:p>
      <w:pPr>
        <w:spacing w:before="107" w:line="138" w:lineRule="exact"/>
        <w:ind w:left="7935"/>
        <w:rPr>
          <w:rFonts w:ascii="微软雅黑" w:hAnsi="微软雅黑" w:eastAsia="微软雅黑" w:cs="微软雅黑"/>
          <w:sz w:val="17"/>
          <w:szCs w:val="17"/>
        </w:rPr>
      </w:pPr>
      <w:r>
        <w:rPr>
          <w:rFonts w:ascii="微软雅黑" w:hAnsi="微软雅黑" w:eastAsia="微软雅黑" w:cs="微软雅黑"/>
          <w:color w:val="231F20"/>
          <w:spacing w:val="12"/>
          <w:position w:val="-2"/>
          <w:sz w:val="17"/>
          <w:szCs w:val="17"/>
        </w:rPr>
        <w:t>114.4</w:t>
      </w:r>
    </w:p>
    <w:p>
      <w:pPr>
        <w:spacing w:line="191" w:lineRule="auto"/>
        <w:ind w:left="2428"/>
        <w:rPr>
          <w:rFonts w:ascii="DengXian" w:hAnsi="DengXian" w:eastAsia="DengXian" w:cs="DengXian"/>
          <w:sz w:val="15"/>
          <w:szCs w:val="15"/>
        </w:rPr>
      </w:pPr>
      <w:r>
        <w:rPr>
          <w:rFonts w:ascii="DengXian" w:hAnsi="DengXian" w:eastAsia="DengXian" w:cs="DengXian"/>
          <w:color w:val="595C5D"/>
          <w:spacing w:val="17"/>
          <w:sz w:val="15"/>
          <w:szCs w:val="15"/>
        </w:rPr>
        <w:t>1</w:t>
      </w:r>
      <w:r>
        <w:rPr>
          <w:rFonts w:ascii="DengXian" w:hAnsi="DengXian" w:eastAsia="DengXian" w:cs="DengXian"/>
          <w:color w:val="595C5D"/>
          <w:spacing w:val="15"/>
          <w:sz w:val="15"/>
          <w:szCs w:val="15"/>
        </w:rPr>
        <w:t>15</w:t>
      </w:r>
      <w:r>
        <w:rPr>
          <w:rFonts w:ascii="DengXian" w:hAnsi="DengXian" w:eastAsia="DengXian" w:cs="DengXian"/>
          <w:strike/>
          <w:color w:val="595C5D"/>
          <w:sz w:val="15"/>
          <w:szCs w:val="15"/>
        </w:rPr>
        <w:t xml:space="preserve"> </w:t>
      </w:r>
    </w:p>
    <w:p>
      <w:pPr>
        <w:spacing w:before="237" w:line="190" w:lineRule="auto"/>
        <w:ind w:left="2428"/>
        <w:rPr>
          <w:rFonts w:ascii="DengXian" w:hAnsi="DengXian" w:eastAsia="DengXian" w:cs="DengXian"/>
          <w:sz w:val="18"/>
          <w:szCs w:val="18"/>
        </w:rPr>
      </w:pPr>
      <w:r>
        <w:rPr>
          <w:rFonts w:ascii="DengXian" w:hAnsi="DengXian" w:eastAsia="DengXian" w:cs="DengXian"/>
          <w:color w:val="595C5D"/>
          <w:spacing w:val="-1"/>
          <w:sz w:val="18"/>
          <w:szCs w:val="18"/>
        </w:rPr>
        <w:t>1</w:t>
      </w:r>
      <w:r>
        <w:rPr>
          <w:rFonts w:ascii="DengXian" w:hAnsi="DengXian" w:eastAsia="DengXian" w:cs="DengXian"/>
          <w:color w:val="595C5D"/>
          <w:sz w:val="18"/>
          <w:szCs w:val="18"/>
        </w:rPr>
        <w:t>10</w:t>
      </w:r>
      <w:r>
        <w:rPr>
          <w:rFonts w:ascii="DengXian" w:hAnsi="DengXian" w:eastAsia="DengXian" w:cs="DengXian"/>
          <w:strike/>
          <w:color w:val="595C5D"/>
          <w:sz w:val="18"/>
          <w:szCs w:val="18"/>
        </w:rPr>
        <w:t xml:space="preserve"> </w:t>
      </w:r>
    </w:p>
    <w:p>
      <w:pPr>
        <w:spacing w:before="225" w:line="127" w:lineRule="exact"/>
        <w:ind w:left="2428"/>
        <w:rPr>
          <w:rFonts w:ascii="DengXian" w:hAnsi="DengXian" w:eastAsia="DengXian" w:cs="DengXian"/>
          <w:sz w:val="17"/>
          <w:szCs w:val="17"/>
        </w:rPr>
      </w:pPr>
      <w:r>
        <w:rPr>
          <w:rFonts w:ascii="DengXian" w:hAnsi="DengXian" w:eastAsia="DengXian" w:cs="DengXian"/>
          <w:color w:val="595C5D"/>
          <w:spacing w:val="5"/>
          <w:position w:val="-1"/>
          <w:sz w:val="17"/>
          <w:szCs w:val="17"/>
        </w:rPr>
        <w:t>105</w:t>
      </w:r>
      <w:r>
        <w:rPr>
          <w:rFonts w:ascii="DengXian" w:hAnsi="DengXian" w:eastAsia="DengXian" w:cs="DengXian"/>
          <w:strike/>
          <w:color w:val="595C5D"/>
          <w:position w:val="-1"/>
          <w:sz w:val="17"/>
          <w:szCs w:val="17"/>
        </w:rPr>
        <w:t xml:space="preserve"> </w:t>
      </w:r>
    </w:p>
    <w:p>
      <w:pPr>
        <w:spacing w:line="174" w:lineRule="auto"/>
        <w:ind w:left="4476"/>
        <w:rPr>
          <w:rFonts w:ascii="微软雅黑" w:hAnsi="微软雅黑" w:eastAsia="微软雅黑" w:cs="微软雅黑"/>
          <w:sz w:val="19"/>
          <w:szCs w:val="19"/>
        </w:rPr>
      </w:pPr>
      <w:r>
        <w:rPr>
          <w:rFonts w:ascii="微软雅黑" w:hAnsi="微软雅黑" w:eastAsia="微软雅黑" w:cs="微软雅黑"/>
          <w:color w:val="231F20"/>
          <w:spacing w:val="2"/>
          <w:sz w:val="19"/>
          <w:szCs w:val="19"/>
        </w:rPr>
        <w:t>101</w:t>
      </w:r>
      <w:r>
        <w:rPr>
          <w:rFonts w:ascii="微软雅黑" w:hAnsi="微软雅黑" w:eastAsia="微软雅黑" w:cs="微软雅黑"/>
          <w:color w:val="231F20"/>
          <w:spacing w:val="1"/>
          <w:sz w:val="19"/>
          <w:szCs w:val="19"/>
        </w:rPr>
        <w:t>.4</w:t>
      </w:r>
    </w:p>
    <w:p>
      <w:pPr>
        <w:spacing w:before="55" w:line="190" w:lineRule="auto"/>
        <w:ind w:left="2428"/>
        <w:rPr>
          <w:rFonts w:ascii="DengXian" w:hAnsi="DengXian" w:eastAsia="DengXian" w:cs="DengXian"/>
          <w:sz w:val="18"/>
          <w:szCs w:val="18"/>
        </w:rPr>
      </w:pPr>
      <w:r>
        <w:rPr>
          <w:rFonts w:ascii="DengXian" w:hAnsi="DengXian" w:eastAsia="DengXian" w:cs="DengXian"/>
          <w:color w:val="595C5D"/>
          <w:spacing w:val="-1"/>
          <w:sz w:val="18"/>
          <w:szCs w:val="18"/>
        </w:rPr>
        <w:t>1</w:t>
      </w:r>
      <w:r>
        <w:rPr>
          <w:rFonts w:ascii="DengXian" w:hAnsi="DengXian" w:eastAsia="DengXian" w:cs="DengXian"/>
          <w:color w:val="595C5D"/>
          <w:sz w:val="18"/>
          <w:szCs w:val="18"/>
        </w:rPr>
        <w:t>00</w:t>
      </w:r>
      <w:r>
        <w:rPr>
          <w:rFonts w:ascii="DengXian" w:hAnsi="DengXian" w:eastAsia="DengXian" w:cs="DengXian"/>
          <w:strike/>
          <w:color w:val="595C5D"/>
          <w:sz w:val="18"/>
          <w:szCs w:val="18"/>
        </w:rPr>
        <w:t xml:space="preserve"> </w:t>
      </w:r>
    </w:p>
    <w:p>
      <w:pPr>
        <w:spacing w:before="225" w:line="190" w:lineRule="auto"/>
        <w:ind w:left="2524"/>
        <w:rPr>
          <w:rFonts w:ascii="DengXian" w:hAnsi="DengXian" w:eastAsia="DengXian" w:cs="DengXian"/>
          <w:sz w:val="18"/>
          <w:szCs w:val="18"/>
        </w:rPr>
      </w:pPr>
      <w:r>
        <w:rPr>
          <w:rFonts w:ascii="DengXian" w:hAnsi="DengXian" w:eastAsia="DengXian" w:cs="DengXian"/>
          <w:color w:val="595C5D"/>
          <w:spacing w:val="-1"/>
          <w:sz w:val="18"/>
          <w:szCs w:val="18"/>
        </w:rPr>
        <w:t>9</w:t>
      </w:r>
      <w:r>
        <w:rPr>
          <w:rFonts w:ascii="DengXian" w:hAnsi="DengXian" w:eastAsia="DengXian" w:cs="DengXian"/>
          <w:color w:val="595C5D"/>
          <w:sz w:val="18"/>
          <w:szCs w:val="18"/>
        </w:rPr>
        <w:t>5</w:t>
      </w:r>
      <w:r>
        <w:rPr>
          <w:rFonts w:ascii="DengXian" w:hAnsi="DengXian" w:eastAsia="DengXian" w:cs="DengXian"/>
          <w:strike/>
          <w:color w:val="595C5D"/>
          <w:sz w:val="18"/>
          <w:szCs w:val="18"/>
        </w:rPr>
        <w:t xml:space="preserve"> </w:t>
      </w:r>
    </w:p>
    <w:p>
      <w:pPr>
        <w:spacing w:before="226" w:line="190" w:lineRule="auto"/>
        <w:ind w:left="2524"/>
        <w:rPr>
          <w:rFonts w:ascii="DengXian" w:hAnsi="DengXian" w:eastAsia="DengXian" w:cs="DengXian"/>
          <w:sz w:val="18"/>
          <w:szCs w:val="18"/>
        </w:rPr>
      </w:pPr>
      <w:r>
        <w:rPr>
          <w:rFonts w:ascii="DengXian" w:hAnsi="DengXian" w:eastAsia="DengXian" w:cs="DengXian"/>
          <w:color w:val="595C5D"/>
          <w:spacing w:val="-1"/>
          <w:sz w:val="18"/>
          <w:szCs w:val="18"/>
        </w:rPr>
        <w:t>9</w:t>
      </w:r>
      <w:r>
        <w:rPr>
          <w:rFonts w:ascii="DengXian" w:hAnsi="DengXian" w:eastAsia="DengXian" w:cs="DengXian"/>
          <w:color w:val="595C5D"/>
          <w:sz w:val="18"/>
          <w:szCs w:val="18"/>
        </w:rPr>
        <w:t>0</w:t>
      </w:r>
    </w:p>
    <w:p>
      <w:pPr>
        <w:spacing w:line="20" w:lineRule="exact"/>
      </w:pPr>
    </w:p>
    <w:p>
      <w:pPr>
        <w:sectPr>
          <w:pgSz w:w="12246" w:h="16498"/>
          <w:pgMar w:top="400" w:right="0" w:bottom="400" w:left="0" w:header="0" w:footer="0" w:gutter="0"/>
          <w:cols w:equalWidth="0" w:num="1">
            <w:col w:w="12246"/>
          </w:cols>
        </w:sectPr>
      </w:pPr>
    </w:p>
    <w:p>
      <w:pPr>
        <w:spacing w:before="26" w:line="132" w:lineRule="exact"/>
        <w:ind w:left="4433"/>
        <w:rPr>
          <w:rFonts w:ascii="DengXian" w:hAnsi="DengXian" w:eastAsia="DengXian" w:cs="DengXian"/>
          <w:sz w:val="18"/>
          <w:szCs w:val="18"/>
        </w:rPr>
      </w:pPr>
      <w:r>
        <w:rPr>
          <w:rFonts w:ascii="DengXian" w:hAnsi="DengXian" w:eastAsia="DengXian" w:cs="DengXian"/>
          <w:color w:val="595C5D"/>
          <w:spacing w:val="2"/>
          <w:position w:val="-2"/>
          <w:sz w:val="18"/>
          <w:szCs w:val="18"/>
        </w:rPr>
        <w:t>2020</w:t>
      </w:r>
    </w:p>
    <w:p>
      <w:pPr>
        <w:spacing w:line="14" w:lineRule="auto"/>
        <w:rPr>
          <w:rFonts w:ascii="Arial"/>
          <w:sz w:val="2"/>
        </w:rPr>
      </w:pPr>
      <w:r>
        <w:rPr>
          <w:rFonts w:ascii="Arial" w:hAnsi="Arial" w:eastAsia="Arial" w:cs="Arial"/>
          <w:sz w:val="2"/>
          <w:szCs w:val="2"/>
        </w:rPr>
        <w:br w:type="column"/>
      </w:r>
    </w:p>
    <w:p>
      <w:pPr>
        <w:spacing w:before="25" w:line="131" w:lineRule="exact"/>
        <w:rPr>
          <w:rFonts w:ascii="DengXian" w:hAnsi="DengXian" w:eastAsia="DengXian" w:cs="DengXian"/>
          <w:sz w:val="18"/>
          <w:szCs w:val="18"/>
        </w:rPr>
      </w:pPr>
      <w:r>
        <w:rPr>
          <w:rFonts w:ascii="DengXian" w:hAnsi="DengXian" w:eastAsia="DengXian" w:cs="DengXian"/>
          <w:color w:val="595C5D"/>
          <w:spacing w:val="2"/>
          <w:position w:val="-2"/>
          <w:sz w:val="18"/>
          <w:szCs w:val="18"/>
        </w:rPr>
        <w:t>2021</w:t>
      </w:r>
    </w:p>
    <w:p>
      <w:pPr>
        <w:sectPr>
          <w:type w:val="continuous"/>
          <w:pgSz w:w="12246" w:h="16498"/>
          <w:pgMar w:top="400" w:right="0" w:bottom="400" w:left="0" w:header="0" w:footer="0" w:gutter="0"/>
          <w:cols w:equalWidth="0" w:num="2">
            <w:col w:w="7902" w:space="100"/>
            <w:col w:w="4244"/>
          </w:cols>
        </w:sectPr>
      </w:pPr>
    </w:p>
    <w:p>
      <w:pPr>
        <w:spacing w:line="334" w:lineRule="auto"/>
        <w:rPr>
          <w:rFonts w:ascii="Arial"/>
          <w:sz w:val="21"/>
        </w:rPr>
      </w:pPr>
    </w:p>
    <w:p>
      <w:pPr>
        <w:spacing w:before="65" w:line="227" w:lineRule="auto"/>
        <w:ind w:left="4026"/>
        <w:rPr>
          <w:rFonts w:ascii="SimHei" w:hAnsi="SimHei" w:eastAsia="SimHei" w:cs="SimHei"/>
          <w:sz w:val="20"/>
          <w:szCs w:val="20"/>
        </w:rPr>
      </w:pPr>
      <w:r>
        <w:rPr>
          <w:rFonts w:ascii="SimHei" w:hAnsi="SimHei" w:eastAsia="SimHei" w:cs="SimHei"/>
          <w:color w:val="231F20"/>
          <w:spacing w:val="4"/>
          <w:sz w:val="20"/>
          <w:szCs w:val="20"/>
        </w:rPr>
        <w:t xml:space="preserve">图 </w:t>
      </w:r>
      <w:r>
        <w:rPr>
          <w:rFonts w:ascii="Times New Roman" w:hAnsi="Times New Roman" w:eastAsia="Times New Roman" w:cs="Times New Roman"/>
          <w:color w:val="231F20"/>
          <w:spacing w:val="4"/>
          <w:sz w:val="20"/>
          <w:szCs w:val="20"/>
        </w:rPr>
        <w:t>1-2 2020</w:t>
      </w:r>
      <w:r>
        <w:rPr>
          <w:rFonts w:ascii="Times New Roman" w:hAnsi="Times New Roman" w:eastAsia="Times New Roman" w:cs="Times New Roman"/>
          <w:color w:val="231F20"/>
          <w:spacing w:val="3"/>
          <w:sz w:val="20"/>
          <w:szCs w:val="20"/>
        </w:rPr>
        <w:t>-</w:t>
      </w:r>
      <w:r>
        <w:rPr>
          <w:rFonts w:ascii="Times New Roman" w:hAnsi="Times New Roman" w:eastAsia="Times New Roman" w:cs="Times New Roman"/>
          <w:color w:val="231F20"/>
          <w:spacing w:val="2"/>
          <w:sz w:val="20"/>
          <w:szCs w:val="20"/>
        </w:rPr>
        <w:t xml:space="preserve">2021 </w:t>
      </w:r>
      <w:r>
        <w:rPr>
          <w:rFonts w:ascii="SimHei" w:hAnsi="SimHei" w:eastAsia="SimHei" w:cs="SimHei"/>
          <w:color w:val="231F20"/>
          <w:spacing w:val="2"/>
          <w:sz w:val="20"/>
          <w:szCs w:val="20"/>
        </w:rPr>
        <w:t>年中国国内生产总值变化情况</w:t>
      </w:r>
    </w:p>
    <w:p>
      <w:pPr>
        <w:spacing w:before="136"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pacing w:line="321" w:lineRule="auto"/>
        <w:rPr>
          <w:rFonts w:ascii="Arial"/>
          <w:sz w:val="21"/>
        </w:rPr>
      </w:pPr>
    </w:p>
    <w:p>
      <w:pPr>
        <w:spacing w:line="321" w:lineRule="auto"/>
        <w:rPr>
          <w:rFonts w:ascii="Arial"/>
          <w:sz w:val="21"/>
        </w:rPr>
      </w:pPr>
    </w:p>
    <w:p>
      <w:pPr>
        <w:spacing w:before="73" w:line="214" w:lineRule="auto"/>
        <w:ind w:left="2441"/>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4. </w:t>
      </w:r>
      <w:r>
        <w:rPr>
          <w:rFonts w:ascii="KaiTi" w:hAnsi="KaiTi" w:eastAsia="KaiTi" w:cs="KaiTi"/>
          <w:color w:val="015DAC"/>
          <w:spacing w:val="1"/>
          <w:sz w:val="22"/>
          <w:szCs w:val="22"/>
        </w:rPr>
        <w:t>科技创新支撑</w:t>
      </w:r>
      <w:r>
        <w:rPr>
          <w:rFonts w:ascii="KaiTi" w:hAnsi="KaiTi" w:eastAsia="KaiTi" w:cs="KaiTi"/>
          <w:color w:val="015DAC"/>
          <w:sz w:val="22"/>
          <w:szCs w:val="22"/>
        </w:rPr>
        <w:t>作用增强</w:t>
      </w:r>
    </w:p>
    <w:p>
      <w:pPr>
        <w:spacing w:line="268" w:lineRule="auto"/>
        <w:rPr>
          <w:rFonts w:ascii="Arial"/>
          <w:sz w:val="21"/>
        </w:rPr>
      </w:pPr>
    </w:p>
    <w:p>
      <w:pPr>
        <w:spacing w:before="94" w:line="210" w:lineRule="auto"/>
        <w:ind w:left="1988" w:right="1985" w:firstLine="464"/>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创新是构建新发展格局 、推动高质量发展的根本动力。</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  中国持续</w:t>
      </w:r>
      <w:r>
        <w:rPr>
          <w:rFonts w:ascii="微软雅黑" w:hAnsi="微软雅黑" w:eastAsia="微软雅黑" w:cs="微软雅黑"/>
          <w:color w:val="231F20"/>
          <w:sz w:val="22"/>
          <w:szCs w:val="22"/>
        </w:rPr>
        <w:t xml:space="preserve">加大 </w:t>
      </w:r>
      <w:r>
        <w:rPr>
          <w:rFonts w:ascii="微软雅黑" w:hAnsi="微软雅黑" w:eastAsia="微软雅黑" w:cs="微软雅黑"/>
          <w:color w:val="231F20"/>
          <w:spacing w:val="-6"/>
          <w:sz w:val="22"/>
          <w:szCs w:val="22"/>
        </w:rPr>
        <w:t>科学研究投</w:t>
      </w:r>
      <w:r>
        <w:rPr>
          <w:rFonts w:ascii="微软雅黑" w:hAnsi="微软雅黑" w:eastAsia="微软雅黑" w:cs="微软雅黑"/>
          <w:color w:val="231F20"/>
          <w:spacing w:val="-3"/>
          <w:sz w:val="22"/>
          <w:szCs w:val="22"/>
        </w:rPr>
        <w:t xml:space="preserve">入力度 ，全社会研发投入达到 </w:t>
      </w:r>
      <w:r>
        <w:rPr>
          <w:rFonts w:ascii="Times New Roman" w:hAnsi="Times New Roman" w:eastAsia="Times New Roman" w:cs="Times New Roman"/>
          <w:color w:val="231F20"/>
          <w:spacing w:val="-3"/>
          <w:sz w:val="22"/>
          <w:szCs w:val="22"/>
        </w:rPr>
        <w:t xml:space="preserve">2.79 </w:t>
      </w:r>
      <w:r>
        <w:rPr>
          <w:rFonts w:ascii="微软雅黑" w:hAnsi="微软雅黑" w:eastAsia="微软雅黑" w:cs="微软雅黑"/>
          <w:color w:val="231F20"/>
          <w:spacing w:val="-3"/>
          <w:sz w:val="22"/>
          <w:szCs w:val="22"/>
        </w:rPr>
        <w:t xml:space="preserve">万亿元，  同比增长 </w:t>
      </w:r>
      <w:r>
        <w:rPr>
          <w:rFonts w:ascii="Times New Roman" w:hAnsi="Times New Roman" w:eastAsia="Times New Roman" w:cs="Times New Roman"/>
          <w:color w:val="231F20"/>
          <w:spacing w:val="-3"/>
          <w:sz w:val="22"/>
          <w:szCs w:val="22"/>
        </w:rPr>
        <w:t xml:space="preserve">14.2% </w:t>
      </w:r>
      <w:r>
        <w:rPr>
          <w:rFonts w:ascii="微软雅黑" w:hAnsi="微软雅黑" w:eastAsia="微软雅黑" w:cs="微软雅黑"/>
          <w:color w:val="231F20"/>
          <w:spacing w:val="-3"/>
          <w:sz w:val="22"/>
          <w:szCs w:val="22"/>
        </w:rPr>
        <w:t>，研发投入占</w:t>
      </w:r>
    </w:p>
    <w:p>
      <w:pPr>
        <w:sectPr>
          <w:type w:val="continuous"/>
          <w:pgSz w:w="12246" w:h="16498"/>
          <w:pgMar w:top="400" w:right="0" w:bottom="400" w:left="0" w:header="0" w:footer="0" w:gutter="0"/>
          <w:cols w:equalWidth="0" w:num="1">
            <w:col w:w="12246"/>
          </w:cols>
        </w:sectPr>
      </w:pPr>
    </w:p>
    <w:p>
      <w:pPr>
        <w:spacing w:line="241" w:lineRule="auto"/>
        <w:rPr>
          <w:rFonts w:ascii="Arial"/>
          <w:sz w:val="21"/>
        </w:rPr>
      </w:pPr>
      <w:r>
        <w:drawing>
          <wp:anchor distT="0" distB="0" distL="0" distR="0" simplePos="0" relativeHeight="25170636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5"/>
        <w:rPr>
          <w:rFonts w:ascii="Arial" w:hAnsi="Arial" w:eastAsia="Arial" w:cs="Arial"/>
          <w:sz w:val="20"/>
          <w:szCs w:val="20"/>
        </w:rPr>
      </w:pPr>
      <w:bookmarkStart w:id="8" w:name="_bookmark10"/>
      <w:bookmarkEnd w:id="8"/>
      <w:r>
        <w:rPr>
          <w:rFonts w:ascii="SimHei" w:hAnsi="SimHei" w:eastAsia="SimHei" w:cs="SimHei"/>
          <w:color w:val="1A67B3"/>
          <w:spacing w:val="26"/>
          <w:position w:val="1"/>
          <w:sz w:val="21"/>
          <w:szCs w:val="21"/>
          <w14:textOutline w14:w="3175" w14:cap="flat" w14:cmpd="sng">
            <w14:solidFill>
              <w14:srgbClr w14:val="1A67B3"/>
            </w14:solidFill>
            <w14:prstDash w14:val="solid"/>
            <w14:miter w14:val="0"/>
          </w14:textOutline>
        </w:rPr>
        <w:t>综合篇</w:t>
      </w:r>
      <w:r>
        <w:rPr>
          <w:rFonts w:ascii="SimHei" w:hAnsi="SimHei" w:eastAsia="SimHei" w:cs="SimHei"/>
          <w:color w:val="1A67B3"/>
          <w:spacing w:val="26"/>
          <w:position w:val="1"/>
          <w:sz w:val="21"/>
          <w:szCs w:val="21"/>
        </w:rPr>
        <w:t xml:space="preserve"> </w:t>
      </w:r>
      <w:r>
        <w:rPr>
          <w:position w:val="-3"/>
          <w:sz w:val="21"/>
          <w:szCs w:val="21"/>
        </w:rPr>
        <w:drawing>
          <wp:inline distT="0" distB="0" distL="0" distR="0">
            <wp:extent cx="3175" cy="147320"/>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6"/>
          <w:position w:val="1"/>
          <w:sz w:val="21"/>
          <w:szCs w:val="21"/>
        </w:rPr>
        <w:t xml:space="preserve">  </w:t>
      </w:r>
      <w:r>
        <w:rPr>
          <w:rFonts w:ascii="宋体" w:hAnsi="宋体" w:eastAsia="宋体" w:cs="宋体"/>
          <w:color w:val="537DBF"/>
          <w:spacing w:val="26"/>
          <w:position w:val="1"/>
          <w:sz w:val="21"/>
          <w:szCs w:val="21"/>
        </w:rPr>
        <w:t xml:space="preserve">中国外商投资报告 2022  </w:t>
      </w:r>
      <w:r>
        <w:rPr>
          <w:position w:val="-3"/>
          <w:sz w:val="21"/>
          <w:szCs w:val="21"/>
        </w:rPr>
        <w:drawing>
          <wp:inline distT="0" distB="0" distL="0" distR="0">
            <wp:extent cx="3175" cy="14732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6"/>
          <w:position w:val="1"/>
          <w:sz w:val="21"/>
          <w:szCs w:val="21"/>
        </w:rPr>
        <w:t xml:space="preserve">  </w:t>
      </w:r>
      <w:r>
        <w:rPr>
          <w:rFonts w:ascii="Arial" w:hAnsi="Arial" w:eastAsia="Arial" w:cs="Arial"/>
          <w:color w:val="231F20"/>
          <w:spacing w:val="23"/>
          <w:position w:val="1"/>
          <w:sz w:val="20"/>
          <w:szCs w:val="20"/>
        </w:rPr>
        <w:t>7</w:t>
      </w:r>
    </w:p>
    <w:p>
      <w:pPr>
        <w:spacing w:line="354" w:lineRule="auto"/>
        <w:rPr>
          <w:rFonts w:ascii="Arial"/>
          <w:sz w:val="21"/>
        </w:rPr>
      </w:pPr>
    </w:p>
    <w:p>
      <w:pPr>
        <w:spacing w:line="354" w:lineRule="auto"/>
        <w:rPr>
          <w:rFonts w:ascii="Arial"/>
          <w:sz w:val="21"/>
        </w:rPr>
      </w:pPr>
    </w:p>
    <w:p>
      <w:pPr>
        <w:spacing w:before="95" w:line="264" w:lineRule="auto"/>
        <w:ind w:left="1992" w:right="1868" w:hanging="1"/>
        <w:rPr>
          <w:rFonts w:ascii="微软雅黑" w:hAnsi="微软雅黑" w:eastAsia="微软雅黑" w:cs="微软雅黑"/>
          <w:sz w:val="22"/>
          <w:szCs w:val="22"/>
        </w:rPr>
      </w:pPr>
      <w:r>
        <w:rPr>
          <w:rFonts w:ascii="Times New Roman" w:hAnsi="Times New Roman" w:eastAsia="Times New Roman" w:cs="Times New Roman"/>
          <w:color w:val="231F20"/>
          <w:sz w:val="22"/>
          <w:szCs w:val="22"/>
        </w:rPr>
        <w:t>GDP</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的</w:t>
      </w:r>
      <w:r>
        <w:rPr>
          <w:rFonts w:ascii="微软雅黑" w:hAnsi="微软雅黑" w:eastAsia="微软雅黑" w:cs="微软雅黑"/>
          <w:color w:val="231F20"/>
          <w:sz w:val="22"/>
          <w:szCs w:val="22"/>
        </w:rPr>
        <w:t xml:space="preserve">比重达到 </w:t>
      </w:r>
      <w:r>
        <w:rPr>
          <w:rFonts w:ascii="Times New Roman" w:hAnsi="Times New Roman" w:eastAsia="Times New Roman" w:cs="Times New Roman"/>
          <w:color w:val="231F20"/>
          <w:sz w:val="22"/>
          <w:szCs w:val="22"/>
        </w:rPr>
        <w:t>2.44%</w:t>
      </w:r>
      <w:r>
        <w:rPr>
          <w:rFonts w:ascii="微软雅黑" w:hAnsi="微软雅黑" w:eastAsia="微软雅黑" w:cs="微软雅黑"/>
          <w:color w:val="231F20"/>
          <w:sz w:val="22"/>
          <w:szCs w:val="22"/>
        </w:rPr>
        <w:t xml:space="preserve">，  已接近经合组织 ( </w:t>
      </w:r>
      <w:r>
        <w:rPr>
          <w:rFonts w:ascii="Times New Roman" w:hAnsi="Times New Roman" w:eastAsia="Times New Roman" w:cs="Times New Roman"/>
          <w:color w:val="231F20"/>
          <w:sz w:val="22"/>
          <w:szCs w:val="22"/>
        </w:rPr>
        <w:t xml:space="preserve">OECD </w:t>
      </w:r>
      <w:r>
        <w:rPr>
          <w:rFonts w:ascii="微软雅黑" w:hAnsi="微软雅黑" w:eastAsia="微软雅黑" w:cs="微软雅黑"/>
          <w:color w:val="231F20"/>
          <w:sz w:val="22"/>
          <w:szCs w:val="22"/>
        </w:rPr>
        <w:t xml:space="preserve">)  国家疫情前 </w:t>
      </w:r>
      <w:r>
        <w:rPr>
          <w:rFonts w:ascii="Times New Roman" w:hAnsi="Times New Roman" w:eastAsia="Times New Roman" w:cs="Times New Roman"/>
          <w:color w:val="231F20"/>
          <w:sz w:val="22"/>
          <w:szCs w:val="22"/>
        </w:rPr>
        <w:t xml:space="preserve">2.47% </w:t>
      </w:r>
      <w:r>
        <w:rPr>
          <w:rFonts w:ascii="微软雅黑" w:hAnsi="微软雅黑" w:eastAsia="微软雅黑" w:cs="微软雅黑"/>
          <w:color w:val="231F20"/>
          <w:sz w:val="22"/>
          <w:szCs w:val="22"/>
        </w:rPr>
        <w:t xml:space="preserve">的平均水平。  </w:t>
      </w:r>
      <w:r>
        <w:rPr>
          <w:rFonts w:ascii="微软雅黑" w:hAnsi="微软雅黑" w:eastAsia="微软雅黑" w:cs="微软雅黑"/>
          <w:color w:val="231F20"/>
          <w:spacing w:val="-14"/>
          <w:sz w:val="22"/>
          <w:szCs w:val="22"/>
        </w:rPr>
        <w:t>企业</w:t>
      </w:r>
      <w:r>
        <w:rPr>
          <w:rFonts w:ascii="微软雅黑" w:hAnsi="微软雅黑" w:eastAsia="微软雅黑" w:cs="微软雅黑"/>
          <w:color w:val="231F20"/>
          <w:spacing w:val="-9"/>
          <w:sz w:val="22"/>
          <w:szCs w:val="22"/>
        </w:rPr>
        <w:t>创</w:t>
      </w:r>
      <w:r>
        <w:rPr>
          <w:rFonts w:ascii="微软雅黑" w:hAnsi="微软雅黑" w:eastAsia="微软雅黑" w:cs="微软雅黑"/>
          <w:color w:val="231F20"/>
          <w:spacing w:val="-7"/>
          <w:sz w:val="22"/>
          <w:szCs w:val="22"/>
        </w:rPr>
        <w:t xml:space="preserve">新主体作用增强，企业研发支出占全国研发支出的一半，《专利合作条约》( </w:t>
      </w:r>
      <w:r>
        <w:rPr>
          <w:rFonts w:ascii="Times New Roman" w:hAnsi="Times New Roman" w:eastAsia="Times New Roman" w:cs="Times New Roman"/>
          <w:color w:val="231F20"/>
          <w:spacing w:val="-7"/>
          <w:sz w:val="22"/>
          <w:szCs w:val="22"/>
        </w:rPr>
        <w:t xml:space="preserve">PCT </w:t>
      </w:r>
      <w:r>
        <w:rPr>
          <w:rFonts w:ascii="微软雅黑" w:hAnsi="微软雅黑" w:eastAsia="微软雅黑" w:cs="微软雅黑"/>
          <w:color w:val="231F20"/>
          <w:spacing w:val="-7"/>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项下国际专利申请量也占到全国一半 ，为高水平的创新创业和高</w:t>
      </w:r>
      <w:r>
        <w:rPr>
          <w:rFonts w:ascii="微软雅黑" w:hAnsi="微软雅黑" w:eastAsia="微软雅黑" w:cs="微软雅黑"/>
          <w:color w:val="231F20"/>
          <w:spacing w:val="1"/>
          <w:sz w:val="22"/>
          <w:szCs w:val="22"/>
        </w:rPr>
        <w:t>端产业培育发展提供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了源头技术支撑。持续高强度的研发投入 、充沛的</w:t>
      </w:r>
      <w:r>
        <w:rPr>
          <w:rFonts w:ascii="微软雅黑" w:hAnsi="微软雅黑" w:eastAsia="微软雅黑" w:cs="微软雅黑"/>
          <w:color w:val="231F20"/>
          <w:sz w:val="22"/>
          <w:szCs w:val="22"/>
        </w:rPr>
        <w:t xml:space="preserve">创新资源要素 、丰富的应用场景 ，  </w:t>
      </w:r>
      <w:r>
        <w:rPr>
          <w:rFonts w:ascii="微软雅黑" w:hAnsi="微软雅黑" w:eastAsia="微软雅黑" w:cs="微软雅黑"/>
          <w:color w:val="231F20"/>
          <w:spacing w:val="10"/>
          <w:sz w:val="22"/>
          <w:szCs w:val="22"/>
        </w:rPr>
        <w:t>为外资企业</w:t>
      </w:r>
      <w:r>
        <w:rPr>
          <w:rFonts w:ascii="微软雅黑" w:hAnsi="微软雅黑" w:eastAsia="微软雅黑" w:cs="微软雅黑"/>
          <w:color w:val="231F20"/>
          <w:spacing w:val="8"/>
          <w:sz w:val="22"/>
          <w:szCs w:val="22"/>
        </w:rPr>
        <w:t>创</w:t>
      </w:r>
      <w:r>
        <w:rPr>
          <w:rFonts w:ascii="微软雅黑" w:hAnsi="微软雅黑" w:eastAsia="微软雅黑" w:cs="微软雅黑"/>
          <w:color w:val="231F20"/>
          <w:spacing w:val="5"/>
          <w:sz w:val="22"/>
          <w:szCs w:val="22"/>
        </w:rPr>
        <w:t>新发展提供了有力支撑。</w:t>
      </w:r>
      <w:r>
        <w:rPr>
          <w:rFonts w:ascii="Times New Roman" w:hAnsi="Times New Roman" w:eastAsia="Times New Roman" w:cs="Times New Roman"/>
          <w:color w:val="231F20"/>
          <w:spacing w:val="5"/>
          <w:sz w:val="22"/>
          <w:szCs w:val="22"/>
        </w:rPr>
        <w:t xml:space="preserve">2021 </w:t>
      </w:r>
      <w:r>
        <w:rPr>
          <w:rFonts w:ascii="微软雅黑" w:hAnsi="微软雅黑" w:eastAsia="微软雅黑" w:cs="微软雅黑"/>
          <w:color w:val="231F20"/>
          <w:spacing w:val="5"/>
          <w:sz w:val="22"/>
          <w:szCs w:val="22"/>
        </w:rPr>
        <w:t xml:space="preserve">年国外申请人在华取得发明专利授权 </w:t>
      </w:r>
      <w:r>
        <w:rPr>
          <w:rFonts w:ascii="Times New Roman" w:hAnsi="Times New Roman" w:eastAsia="Times New Roman" w:cs="Times New Roman"/>
          <w:color w:val="231F20"/>
          <w:spacing w:val="5"/>
          <w:sz w:val="22"/>
          <w:szCs w:val="22"/>
        </w:rPr>
        <w:t>11</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16"/>
          <w:sz w:val="22"/>
          <w:szCs w:val="22"/>
        </w:rPr>
        <w:t xml:space="preserve">万件， </w:t>
      </w:r>
      <w:r>
        <w:rPr>
          <w:rFonts w:ascii="微软雅黑" w:hAnsi="微软雅黑" w:eastAsia="微软雅黑" w:cs="微软雅黑"/>
          <w:color w:val="231F20"/>
          <w:spacing w:val="-9"/>
          <w:sz w:val="22"/>
          <w:szCs w:val="22"/>
        </w:rPr>
        <w:t xml:space="preserve"> </w:t>
      </w:r>
      <w:r>
        <w:rPr>
          <w:rFonts w:ascii="微软雅黑" w:hAnsi="微软雅黑" w:eastAsia="微软雅黑" w:cs="微软雅黑"/>
          <w:color w:val="231F20"/>
          <w:spacing w:val="-8"/>
          <w:sz w:val="22"/>
          <w:szCs w:val="22"/>
        </w:rPr>
        <w:t xml:space="preserve">同比增长 </w:t>
      </w:r>
      <w:r>
        <w:rPr>
          <w:rFonts w:ascii="Times New Roman" w:hAnsi="Times New Roman" w:eastAsia="Times New Roman" w:cs="Times New Roman"/>
          <w:color w:val="231F20"/>
          <w:spacing w:val="-8"/>
          <w:sz w:val="22"/>
          <w:szCs w:val="22"/>
        </w:rPr>
        <w:t>23%</w:t>
      </w:r>
      <w:r>
        <w:rPr>
          <w:rFonts w:ascii="微软雅黑" w:hAnsi="微软雅黑" w:eastAsia="微软雅黑" w:cs="微软雅黑"/>
          <w:color w:val="231F20"/>
          <w:spacing w:val="-8"/>
          <w:sz w:val="22"/>
          <w:szCs w:val="22"/>
        </w:rPr>
        <w:t xml:space="preserve">；  商标注册 </w:t>
      </w:r>
      <w:r>
        <w:rPr>
          <w:rFonts w:ascii="Times New Roman" w:hAnsi="Times New Roman" w:eastAsia="Times New Roman" w:cs="Times New Roman"/>
          <w:color w:val="231F20"/>
          <w:spacing w:val="-8"/>
          <w:sz w:val="22"/>
          <w:szCs w:val="22"/>
        </w:rPr>
        <w:t xml:space="preserve">19.4 </w:t>
      </w:r>
      <w:r>
        <w:rPr>
          <w:rFonts w:ascii="微软雅黑" w:hAnsi="微软雅黑" w:eastAsia="微软雅黑" w:cs="微软雅黑"/>
          <w:color w:val="231F20"/>
          <w:spacing w:val="-8"/>
          <w:sz w:val="22"/>
          <w:szCs w:val="22"/>
        </w:rPr>
        <w:t xml:space="preserve">万件，  同比增长 </w:t>
      </w:r>
      <w:r>
        <w:rPr>
          <w:rFonts w:ascii="Times New Roman" w:hAnsi="Times New Roman" w:eastAsia="Times New Roman" w:cs="Times New Roman"/>
          <w:color w:val="231F20"/>
          <w:spacing w:val="-8"/>
          <w:sz w:val="22"/>
          <w:szCs w:val="22"/>
        </w:rPr>
        <w:t>5.2%</w:t>
      </w:r>
      <w:r>
        <w:rPr>
          <w:rFonts w:ascii="微软雅黑" w:hAnsi="微软雅黑" w:eastAsia="微软雅黑" w:cs="微软雅黑"/>
          <w:color w:val="231F20"/>
          <w:spacing w:val="-8"/>
          <w:sz w:val="22"/>
          <w:szCs w:val="22"/>
        </w:rPr>
        <w:t>。</w:t>
      </w:r>
    </w:p>
    <w:p>
      <w:pPr>
        <w:spacing w:before="174" w:line="214" w:lineRule="auto"/>
        <w:ind w:left="2453"/>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5. </w:t>
      </w:r>
      <w:r>
        <w:rPr>
          <w:rFonts w:ascii="KaiTi" w:hAnsi="KaiTi" w:eastAsia="KaiTi" w:cs="KaiTi"/>
          <w:color w:val="015DAC"/>
          <w:sz w:val="22"/>
          <w:szCs w:val="22"/>
        </w:rPr>
        <w:t>产业数字化转型步伐加快</w:t>
      </w:r>
    </w:p>
    <w:p>
      <w:pPr>
        <w:spacing w:line="271" w:lineRule="auto"/>
        <w:rPr>
          <w:rFonts w:ascii="Arial"/>
          <w:sz w:val="21"/>
        </w:rPr>
      </w:pPr>
    </w:p>
    <w:p>
      <w:pPr>
        <w:spacing w:before="95" w:line="256" w:lineRule="auto"/>
        <w:ind w:left="1991" w:right="1972" w:firstLine="481"/>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中国数字经济全球领先。</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  中</w:t>
      </w:r>
      <w:r>
        <w:rPr>
          <w:rFonts w:ascii="微软雅黑" w:hAnsi="微软雅黑" w:eastAsia="微软雅黑" w:cs="微软雅黑"/>
          <w:color w:val="231F20"/>
          <w:spacing w:val="-1"/>
          <w:sz w:val="22"/>
          <w:szCs w:val="22"/>
        </w:rPr>
        <w:t xml:space="preserve">国数字经济规模达到 </w:t>
      </w:r>
      <w:r>
        <w:rPr>
          <w:rFonts w:ascii="Times New Roman" w:hAnsi="Times New Roman" w:eastAsia="Times New Roman" w:cs="Times New Roman"/>
          <w:color w:val="231F20"/>
          <w:spacing w:val="-1"/>
          <w:sz w:val="22"/>
          <w:szCs w:val="22"/>
        </w:rPr>
        <w:t xml:space="preserve">45.5 </w:t>
      </w:r>
      <w:r>
        <w:rPr>
          <w:rFonts w:ascii="微软雅黑" w:hAnsi="微软雅黑" w:eastAsia="微软雅黑" w:cs="微软雅黑"/>
          <w:color w:val="231F20"/>
          <w:spacing w:val="-1"/>
          <w:sz w:val="22"/>
          <w:szCs w:val="22"/>
        </w:rPr>
        <w:t>万亿元，  同比名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 xml:space="preserve">义增长 </w:t>
      </w:r>
      <w:r>
        <w:rPr>
          <w:rFonts w:ascii="Times New Roman" w:hAnsi="Times New Roman" w:eastAsia="Times New Roman" w:cs="Times New Roman"/>
          <w:color w:val="231F20"/>
          <w:spacing w:val="-10"/>
          <w:sz w:val="22"/>
          <w:szCs w:val="22"/>
        </w:rPr>
        <w:t>16.</w:t>
      </w:r>
      <w:r>
        <w:rPr>
          <w:rFonts w:ascii="Times New Roman" w:hAnsi="Times New Roman" w:eastAsia="Times New Roman" w:cs="Times New Roman"/>
          <w:color w:val="231F20"/>
          <w:spacing w:val="-8"/>
          <w:sz w:val="22"/>
          <w:szCs w:val="22"/>
        </w:rPr>
        <w:t>2</w:t>
      </w:r>
      <w:r>
        <w:rPr>
          <w:rFonts w:ascii="Times New Roman" w:hAnsi="Times New Roman" w:eastAsia="Times New Roman" w:cs="Times New Roman"/>
          <w:color w:val="231F20"/>
          <w:spacing w:val="-5"/>
          <w:sz w:val="22"/>
          <w:szCs w:val="22"/>
        </w:rPr>
        <w:t xml:space="preserve">% </w:t>
      </w:r>
      <w:r>
        <w:rPr>
          <w:rFonts w:ascii="微软雅黑" w:hAnsi="微软雅黑" w:eastAsia="微软雅黑" w:cs="微软雅黑"/>
          <w:color w:val="231F20"/>
          <w:spacing w:val="-5"/>
          <w:sz w:val="22"/>
          <w:szCs w:val="22"/>
        </w:rPr>
        <w:t>。</w:t>
      </w:r>
      <w:r>
        <w:rPr>
          <w:rFonts w:ascii="SimHei" w:hAnsi="SimHei" w:eastAsia="SimHei" w:cs="SimHei"/>
          <w:color w:val="231F20"/>
          <w:spacing w:val="-5"/>
          <w:sz w:val="22"/>
          <w:szCs w:val="22"/>
        </w:rPr>
        <w:t xml:space="preserve">一方面， 数字基础设施加快建设， 为外商投资拓展了空间。 </w:t>
      </w:r>
      <w:r>
        <w:rPr>
          <w:rFonts w:ascii="Times New Roman" w:hAnsi="Times New Roman" w:eastAsia="Times New Roman" w:cs="Times New Roman"/>
          <w:color w:val="231F20"/>
          <w:spacing w:val="-5"/>
          <w:sz w:val="22"/>
          <w:szCs w:val="22"/>
        </w:rPr>
        <w:t xml:space="preserve">2021 </w:t>
      </w:r>
      <w:r>
        <w:rPr>
          <w:rFonts w:ascii="微软雅黑" w:hAnsi="微软雅黑" w:eastAsia="微软雅黑" w:cs="微软雅黑"/>
          <w:color w:val="231F20"/>
          <w:spacing w:val="-5"/>
          <w:sz w:val="22"/>
          <w:szCs w:val="22"/>
        </w:rPr>
        <w:t>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中国“双千兆”网络加快建设，  累计开通 </w:t>
      </w:r>
      <w:r>
        <w:rPr>
          <w:rFonts w:ascii="Times New Roman" w:hAnsi="Times New Roman" w:eastAsia="Times New Roman" w:cs="Times New Roman"/>
          <w:color w:val="231F20"/>
          <w:spacing w:val="1"/>
          <w:sz w:val="22"/>
          <w:szCs w:val="22"/>
        </w:rPr>
        <w:t xml:space="preserve">142.5 </w:t>
      </w:r>
      <w:r>
        <w:rPr>
          <w:rFonts w:ascii="微软雅黑" w:hAnsi="微软雅黑" w:eastAsia="微软雅黑" w:cs="微软雅黑"/>
          <w:color w:val="231F20"/>
          <w:spacing w:val="1"/>
          <w:sz w:val="22"/>
          <w:szCs w:val="22"/>
        </w:rPr>
        <w:t xml:space="preserve">万个 </w:t>
      </w:r>
      <w:r>
        <w:rPr>
          <w:rFonts w:ascii="Times New Roman" w:hAnsi="Times New Roman" w:eastAsia="Times New Roman" w:cs="Times New Roman"/>
          <w:color w:val="231F20"/>
          <w:spacing w:val="1"/>
          <w:sz w:val="22"/>
          <w:szCs w:val="22"/>
        </w:rPr>
        <w:t>5</w:t>
      </w:r>
      <w:r>
        <w:rPr>
          <w:rFonts w:ascii="Times New Roman" w:hAnsi="Times New Roman" w:eastAsia="Times New Roman" w:cs="Times New Roman"/>
          <w:color w:val="231F20"/>
          <w:sz w:val="22"/>
          <w:szCs w:val="22"/>
        </w:rPr>
        <w:t>G</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基站 ，建成世</w:t>
      </w:r>
      <w:r>
        <w:rPr>
          <w:rFonts w:ascii="微软雅黑" w:hAnsi="微软雅黑" w:eastAsia="微软雅黑" w:cs="微软雅黑"/>
          <w:color w:val="231F20"/>
          <w:sz w:val="22"/>
          <w:szCs w:val="22"/>
        </w:rPr>
        <w:t xml:space="preserve">界上规模最大 </w:t>
      </w:r>
      <w:r>
        <w:rPr>
          <w:rFonts w:ascii="微软雅黑" w:hAnsi="微软雅黑" w:eastAsia="微软雅黑" w:cs="微软雅黑"/>
          <w:color w:val="231F20"/>
          <w:spacing w:val="-1"/>
          <w:sz w:val="22"/>
          <w:szCs w:val="22"/>
        </w:rPr>
        <w:t xml:space="preserve">的光纤网络和 </w:t>
      </w:r>
      <w:r>
        <w:rPr>
          <w:rFonts w:ascii="Times New Roman" w:hAnsi="Times New Roman" w:eastAsia="Times New Roman" w:cs="Times New Roman"/>
          <w:color w:val="231F20"/>
          <w:spacing w:val="-1"/>
          <w:sz w:val="22"/>
          <w:szCs w:val="22"/>
        </w:rPr>
        <w:t>5</w:t>
      </w:r>
      <w:r>
        <w:rPr>
          <w:rFonts w:ascii="Times New Roman" w:hAnsi="Times New Roman" w:eastAsia="Times New Roman" w:cs="Times New Roman"/>
          <w:color w:val="231F20"/>
          <w:sz w:val="22"/>
          <w:szCs w:val="22"/>
        </w:rPr>
        <w:t>G</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 xml:space="preserve">网络；  </w:t>
      </w:r>
      <w:r>
        <w:rPr>
          <w:rFonts w:ascii="微软雅黑" w:hAnsi="微软雅黑" w:eastAsia="微软雅黑" w:cs="微软雅黑"/>
          <w:color w:val="231F20"/>
          <w:sz w:val="22"/>
          <w:szCs w:val="22"/>
        </w:rPr>
        <w:t xml:space="preserve">具备全国影响力的工业互联网平台超过 </w:t>
      </w:r>
      <w:r>
        <w:rPr>
          <w:rFonts w:ascii="Times New Roman" w:hAnsi="Times New Roman" w:eastAsia="Times New Roman" w:cs="Times New Roman"/>
          <w:color w:val="231F20"/>
          <w:sz w:val="22"/>
          <w:szCs w:val="22"/>
        </w:rPr>
        <w:t xml:space="preserve">150 </w:t>
      </w:r>
      <w:r>
        <w:rPr>
          <w:rFonts w:ascii="微软雅黑" w:hAnsi="微软雅黑" w:eastAsia="微软雅黑" w:cs="微软雅黑"/>
          <w:color w:val="231F20"/>
          <w:sz w:val="22"/>
          <w:szCs w:val="22"/>
        </w:rPr>
        <w:t xml:space="preserve">个 ，平台服务的 </w:t>
      </w:r>
      <w:r>
        <w:rPr>
          <w:rFonts w:ascii="微软雅黑" w:hAnsi="微软雅黑" w:eastAsia="微软雅黑" w:cs="微软雅黑"/>
          <w:color w:val="231F20"/>
          <w:spacing w:val="9"/>
          <w:sz w:val="22"/>
          <w:szCs w:val="22"/>
        </w:rPr>
        <w:t xml:space="preserve">工业企业超过了 </w:t>
      </w:r>
      <w:r>
        <w:rPr>
          <w:rFonts w:ascii="Times New Roman" w:hAnsi="Times New Roman" w:eastAsia="Times New Roman" w:cs="Times New Roman"/>
          <w:color w:val="231F20"/>
          <w:spacing w:val="9"/>
          <w:sz w:val="22"/>
          <w:szCs w:val="22"/>
        </w:rPr>
        <w:t xml:space="preserve">160 </w:t>
      </w:r>
      <w:r>
        <w:rPr>
          <w:rFonts w:ascii="微软雅黑" w:hAnsi="微软雅黑" w:eastAsia="微软雅黑" w:cs="微软雅黑"/>
          <w:color w:val="231F20"/>
          <w:spacing w:val="9"/>
          <w:sz w:val="22"/>
          <w:szCs w:val="22"/>
        </w:rPr>
        <w:t>万家。</w:t>
      </w:r>
      <w:r>
        <w:rPr>
          <w:rFonts w:ascii="SimHei" w:hAnsi="SimHei" w:eastAsia="SimHei" w:cs="SimHei"/>
          <w:color w:val="231F20"/>
          <w:spacing w:val="9"/>
          <w:sz w:val="22"/>
          <w:szCs w:val="22"/>
        </w:rPr>
        <w:t>另一方面，产业数字化转型持续纵深发展，为外商投</w:t>
      </w:r>
      <w:r>
        <w:rPr>
          <w:rFonts w:ascii="SimHei" w:hAnsi="SimHei" w:eastAsia="SimHei" w:cs="SimHei"/>
          <w:color w:val="231F20"/>
          <w:spacing w:val="2"/>
          <w:sz w:val="22"/>
          <w:szCs w:val="22"/>
        </w:rPr>
        <w:t>资</w:t>
      </w:r>
      <w:r>
        <w:rPr>
          <w:rFonts w:ascii="SimHei" w:hAnsi="SimHei" w:eastAsia="SimHei" w:cs="SimHei"/>
          <w:color w:val="231F20"/>
          <w:sz w:val="22"/>
          <w:szCs w:val="22"/>
        </w:rPr>
        <w:t xml:space="preserve"> </w:t>
      </w:r>
      <w:r>
        <w:rPr>
          <w:rFonts w:ascii="SimHei" w:hAnsi="SimHei" w:eastAsia="SimHei" w:cs="SimHei"/>
          <w:color w:val="231F20"/>
          <w:spacing w:val="1"/>
          <w:sz w:val="22"/>
          <w:szCs w:val="22"/>
        </w:rPr>
        <w:t>提供了新动能。</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  中国“</w:t>
      </w:r>
      <w:r>
        <w:rPr>
          <w:rFonts w:ascii="Times New Roman" w:hAnsi="Times New Roman" w:eastAsia="Times New Roman" w:cs="Times New Roman"/>
          <w:color w:val="231F20"/>
          <w:spacing w:val="1"/>
          <w:sz w:val="22"/>
          <w:szCs w:val="22"/>
        </w:rPr>
        <w:t>5</w:t>
      </w:r>
      <w:r>
        <w:rPr>
          <w:rFonts w:ascii="Times New Roman" w:hAnsi="Times New Roman" w:eastAsia="Times New Roman" w:cs="Times New Roman"/>
          <w:color w:val="231F20"/>
          <w:sz w:val="22"/>
          <w:szCs w:val="22"/>
        </w:rPr>
        <w:t>G</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工业互联网</w:t>
      </w:r>
      <w:r>
        <w:rPr>
          <w:rFonts w:ascii="微软雅黑" w:hAnsi="微软雅黑" w:eastAsia="微软雅黑" w:cs="微软雅黑"/>
          <w:color w:val="231F20"/>
          <w:sz w:val="22"/>
          <w:szCs w:val="22"/>
        </w:rPr>
        <w:t xml:space="preserve">”在建项目超过 </w:t>
      </w:r>
      <w:r>
        <w:rPr>
          <w:rFonts w:ascii="Times New Roman" w:hAnsi="Times New Roman" w:eastAsia="Times New Roman" w:cs="Times New Roman"/>
          <w:color w:val="231F20"/>
          <w:sz w:val="22"/>
          <w:szCs w:val="22"/>
        </w:rPr>
        <w:t>2000</w:t>
      </w:r>
      <w:r>
        <w:rPr>
          <w:rFonts w:ascii="微软雅黑" w:hAnsi="微软雅黑" w:eastAsia="微软雅黑" w:cs="微软雅黑"/>
          <w:color w:val="231F20"/>
          <w:sz w:val="22"/>
          <w:szCs w:val="22"/>
        </w:rPr>
        <w:t xml:space="preserve">个 ，规模以上 </w:t>
      </w:r>
      <w:r>
        <w:rPr>
          <w:rFonts w:ascii="微软雅黑" w:hAnsi="微软雅黑" w:eastAsia="微软雅黑" w:cs="微软雅黑"/>
          <w:color w:val="231F20"/>
          <w:spacing w:val="1"/>
          <w:sz w:val="22"/>
          <w:szCs w:val="22"/>
        </w:rPr>
        <w:t>工</w:t>
      </w:r>
      <w:r>
        <w:rPr>
          <w:rFonts w:ascii="微软雅黑" w:hAnsi="微软雅黑" w:eastAsia="微软雅黑" w:cs="微软雅黑"/>
          <w:color w:val="231F20"/>
          <w:sz w:val="22"/>
          <w:szCs w:val="22"/>
        </w:rPr>
        <w:t xml:space="preserve">业企业关键工序数控化率达到 </w:t>
      </w:r>
      <w:r>
        <w:rPr>
          <w:rFonts w:ascii="Times New Roman" w:hAnsi="Times New Roman" w:eastAsia="Times New Roman" w:cs="Times New Roman"/>
          <w:color w:val="231F20"/>
          <w:sz w:val="22"/>
          <w:szCs w:val="22"/>
        </w:rPr>
        <w:t xml:space="preserve">55.3% </w:t>
      </w:r>
      <w:r>
        <w:rPr>
          <w:rFonts w:ascii="微软雅黑" w:hAnsi="微软雅黑" w:eastAsia="微软雅黑" w:cs="微软雅黑"/>
          <w:color w:val="231F20"/>
          <w:sz w:val="22"/>
          <w:szCs w:val="22"/>
        </w:rPr>
        <w:t xml:space="preserve">，数字化研发工具的普及率达到 </w:t>
      </w:r>
      <w:r>
        <w:rPr>
          <w:rFonts w:ascii="Times New Roman" w:hAnsi="Times New Roman" w:eastAsia="Times New Roman" w:cs="Times New Roman"/>
          <w:color w:val="231F20"/>
          <w:sz w:val="22"/>
          <w:szCs w:val="22"/>
        </w:rPr>
        <w:t>74.7%</w:t>
      </w:r>
      <w:r>
        <w:rPr>
          <w:rFonts w:ascii="微软雅黑" w:hAnsi="微软雅黑" w:eastAsia="微软雅黑" w:cs="微软雅黑"/>
          <w:color w:val="231F20"/>
          <w:sz w:val="22"/>
          <w:szCs w:val="22"/>
        </w:rPr>
        <w:t xml:space="preserve">，  工业 </w:t>
      </w:r>
      <w:r>
        <w:rPr>
          <w:rFonts w:ascii="微软雅黑" w:hAnsi="微软雅黑" w:eastAsia="微软雅黑" w:cs="微软雅黑"/>
          <w:color w:val="231F20"/>
          <w:spacing w:val="3"/>
          <w:sz w:val="22"/>
          <w:szCs w:val="22"/>
        </w:rPr>
        <w:t xml:space="preserve">机器人同比增长 </w:t>
      </w:r>
      <w:r>
        <w:rPr>
          <w:rFonts w:ascii="Times New Roman" w:hAnsi="Times New Roman" w:eastAsia="Times New Roman" w:cs="Times New Roman"/>
          <w:color w:val="231F20"/>
          <w:spacing w:val="3"/>
          <w:sz w:val="22"/>
          <w:szCs w:val="22"/>
        </w:rPr>
        <w:t xml:space="preserve">30.8% </w:t>
      </w:r>
      <w:r>
        <w:rPr>
          <w:rFonts w:ascii="微软雅黑" w:hAnsi="微软雅黑" w:eastAsia="微软雅黑" w:cs="微软雅黑"/>
          <w:color w:val="231F20"/>
          <w:spacing w:val="3"/>
          <w:sz w:val="22"/>
          <w:szCs w:val="22"/>
        </w:rPr>
        <w:t xml:space="preserve">。开展网络化协同和服务型制造的企业比例分别达到了 </w:t>
      </w:r>
      <w:r>
        <w:rPr>
          <w:rFonts w:ascii="Times New Roman" w:hAnsi="Times New Roman" w:eastAsia="Times New Roman" w:cs="Times New Roman"/>
          <w:color w:val="231F20"/>
          <w:spacing w:val="3"/>
          <w:sz w:val="22"/>
          <w:szCs w:val="22"/>
        </w:rPr>
        <w:t>38.8</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1"/>
          <w:sz w:val="22"/>
          <w:szCs w:val="22"/>
        </w:rPr>
        <w:t xml:space="preserve">和 </w:t>
      </w:r>
      <w:r>
        <w:rPr>
          <w:rFonts w:ascii="Times New Roman" w:hAnsi="Times New Roman" w:eastAsia="Times New Roman" w:cs="Times New Roman"/>
          <w:color w:val="231F20"/>
          <w:spacing w:val="-1"/>
          <w:sz w:val="22"/>
          <w:szCs w:val="22"/>
        </w:rPr>
        <w:t xml:space="preserve">29.6% </w:t>
      </w:r>
      <w:r>
        <w:rPr>
          <w:rFonts w:ascii="微软雅黑" w:hAnsi="微软雅黑" w:eastAsia="微软雅黑" w:cs="微软雅黑"/>
          <w:color w:val="231F20"/>
          <w:spacing w:val="-1"/>
          <w:sz w:val="22"/>
          <w:szCs w:val="22"/>
        </w:rPr>
        <w:t>。产业数字化转型进程加速 ，不仅为外资企</w:t>
      </w:r>
      <w:r>
        <w:rPr>
          <w:rFonts w:ascii="微软雅黑" w:hAnsi="微软雅黑" w:eastAsia="微软雅黑" w:cs="微软雅黑"/>
          <w:color w:val="231F20"/>
          <w:sz w:val="22"/>
          <w:szCs w:val="22"/>
        </w:rPr>
        <w:t xml:space="preserve">业转型发展拓展了空间 ，而且通 </w:t>
      </w:r>
      <w:r>
        <w:rPr>
          <w:rFonts w:ascii="微软雅黑" w:hAnsi="微软雅黑" w:eastAsia="微软雅黑" w:cs="微软雅黑"/>
          <w:color w:val="231F20"/>
          <w:spacing w:val="10"/>
          <w:sz w:val="22"/>
          <w:szCs w:val="22"/>
        </w:rPr>
        <w:t>过“机器换</w:t>
      </w:r>
      <w:r>
        <w:rPr>
          <w:rFonts w:ascii="微软雅黑" w:hAnsi="微软雅黑" w:eastAsia="微软雅黑" w:cs="微软雅黑"/>
          <w:color w:val="231F20"/>
          <w:spacing w:val="8"/>
          <w:sz w:val="22"/>
          <w:szCs w:val="22"/>
        </w:rPr>
        <w:t>人</w:t>
      </w:r>
      <w:r>
        <w:rPr>
          <w:rFonts w:ascii="微软雅黑" w:hAnsi="微软雅黑" w:eastAsia="微软雅黑" w:cs="微软雅黑"/>
          <w:color w:val="231F20"/>
          <w:spacing w:val="5"/>
          <w:sz w:val="22"/>
          <w:szCs w:val="22"/>
        </w:rPr>
        <w:t>” ，缓解了劳动力成本上升的压力 ，进一步提升了对外资企业在华投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资的吸</w:t>
      </w:r>
      <w:r>
        <w:rPr>
          <w:rFonts w:ascii="微软雅黑" w:hAnsi="微软雅黑" w:eastAsia="微软雅黑" w:cs="微软雅黑"/>
          <w:color w:val="231F20"/>
          <w:spacing w:val="1"/>
          <w:sz w:val="22"/>
          <w:szCs w:val="22"/>
        </w:rPr>
        <w:t>引力。</w:t>
      </w:r>
    </w:p>
    <w:p>
      <w:pPr>
        <w:spacing w:before="200" w:line="217" w:lineRule="auto"/>
        <w:ind w:left="2447"/>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6. </w:t>
      </w:r>
      <w:r>
        <w:rPr>
          <w:rFonts w:ascii="KaiTi" w:hAnsi="KaiTi" w:eastAsia="KaiTi" w:cs="KaiTi"/>
          <w:color w:val="015DAC"/>
          <w:sz w:val="22"/>
          <w:szCs w:val="22"/>
        </w:rPr>
        <w:t>经济社会全面绿色转型</w:t>
      </w:r>
    </w:p>
    <w:p>
      <w:pPr>
        <w:spacing w:line="268" w:lineRule="auto"/>
        <w:rPr>
          <w:rFonts w:ascii="Arial"/>
          <w:sz w:val="21"/>
        </w:rPr>
      </w:pPr>
    </w:p>
    <w:p>
      <w:pPr>
        <w:spacing w:before="95" w:line="256" w:lineRule="auto"/>
        <w:ind w:left="1989" w:right="1918" w:firstLine="452"/>
        <w:rPr>
          <w:rFonts w:ascii="微软雅黑" w:hAnsi="微软雅黑" w:eastAsia="微软雅黑" w:cs="微软雅黑"/>
          <w:sz w:val="22"/>
          <w:szCs w:val="22"/>
        </w:rPr>
      </w:pPr>
      <w:r>
        <w:rPr>
          <w:rFonts w:ascii="Times New Roman" w:hAnsi="Times New Roman" w:eastAsia="Times New Roman" w:cs="Times New Roman"/>
          <w:color w:val="231F20"/>
          <w:spacing w:val="-8"/>
          <w:sz w:val="22"/>
          <w:szCs w:val="22"/>
        </w:rPr>
        <w:t xml:space="preserve">2021 </w:t>
      </w:r>
      <w:r>
        <w:rPr>
          <w:rFonts w:ascii="微软雅黑" w:hAnsi="微软雅黑" w:eastAsia="微软雅黑" w:cs="微软雅黑"/>
          <w:color w:val="231F20"/>
          <w:spacing w:val="-8"/>
          <w:sz w:val="22"/>
          <w:szCs w:val="22"/>
        </w:rPr>
        <w:t>年，</w:t>
      </w:r>
      <w:r>
        <w:rPr>
          <w:rFonts w:ascii="微软雅黑" w:hAnsi="微软雅黑" w:eastAsia="微软雅黑" w:cs="微软雅黑"/>
          <w:color w:val="231F20"/>
          <w:spacing w:val="-5"/>
          <w:sz w:val="22"/>
          <w:szCs w:val="22"/>
        </w:rPr>
        <w:t xml:space="preserve"> </w:t>
      </w:r>
      <w:r>
        <w:rPr>
          <w:rFonts w:ascii="微软雅黑" w:hAnsi="微软雅黑" w:eastAsia="微软雅黑" w:cs="微软雅黑"/>
          <w:color w:val="231F20"/>
          <w:spacing w:val="-4"/>
          <w:sz w:val="22"/>
          <w:szCs w:val="22"/>
        </w:rPr>
        <w:t xml:space="preserve"> 中国碳达峰 、碳中和顶层设计文件出台实施 ，各领域各行业实施方案加</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快制定，“</w:t>
      </w:r>
      <w:r>
        <w:rPr>
          <w:rFonts w:ascii="Times New Roman" w:hAnsi="Times New Roman" w:eastAsia="Times New Roman" w:cs="Times New Roman"/>
          <w:color w:val="231F20"/>
          <w:spacing w:val="2"/>
          <w:sz w:val="22"/>
          <w:szCs w:val="22"/>
        </w:rPr>
        <w:t>1+</w:t>
      </w:r>
      <w:r>
        <w:rPr>
          <w:rFonts w:ascii="Times New Roman" w:hAnsi="Times New Roman" w:eastAsia="Times New Roman" w:cs="Times New Roman"/>
          <w:color w:val="231F20"/>
          <w:sz w:val="22"/>
          <w:szCs w:val="22"/>
        </w:rPr>
        <w:t>N</w:t>
      </w:r>
      <w:r>
        <w:rPr>
          <w:rFonts w:ascii="微软雅黑" w:hAnsi="微软雅黑" w:eastAsia="微软雅黑" w:cs="微软雅黑"/>
          <w:color w:val="231F20"/>
          <w:spacing w:val="2"/>
          <w:sz w:val="22"/>
          <w:szCs w:val="22"/>
        </w:rPr>
        <w:t>”</w:t>
      </w:r>
      <w:r>
        <w:rPr>
          <w:rFonts w:ascii="微软雅黑" w:hAnsi="微软雅黑" w:eastAsia="微软雅黑" w:cs="微软雅黑"/>
          <w:color w:val="231F20"/>
          <w:spacing w:val="1"/>
          <w:sz w:val="22"/>
          <w:szCs w:val="22"/>
        </w:rPr>
        <w:t>政策体系逐步完善 ，应对气候变化国际合作成果丰硕 ，全社会推进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绿色低碳循环发展的共识和行动显著增强。</w:t>
      </w:r>
      <w:r>
        <w:rPr>
          <w:rFonts w:ascii="SimHei" w:hAnsi="SimHei" w:eastAsia="SimHei" w:cs="SimHei"/>
          <w:color w:val="231F20"/>
          <w:spacing w:val="-4"/>
          <w:sz w:val="22"/>
          <w:szCs w:val="22"/>
        </w:rPr>
        <w:t xml:space="preserve">一是清洁能源供给快速增长。 </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 xml:space="preserve">年， </w:t>
      </w:r>
      <w:r>
        <w:rPr>
          <w:rFonts w:ascii="微软雅黑" w:hAnsi="微软雅黑" w:eastAsia="微软雅黑" w:cs="微软雅黑"/>
          <w:color w:val="231F20"/>
          <w:spacing w:val="-1"/>
          <w:sz w:val="22"/>
          <w:szCs w:val="22"/>
        </w:rPr>
        <w:t xml:space="preserve"> </w:t>
      </w:r>
      <w:r>
        <w:rPr>
          <w:rFonts w:ascii="微软雅黑" w:hAnsi="微软雅黑" w:eastAsia="微软雅黑" w:cs="微软雅黑"/>
          <w:color w:val="231F20"/>
          <w:sz w:val="22"/>
          <w:szCs w:val="22"/>
        </w:rPr>
        <w:t xml:space="preserve">中 </w:t>
      </w:r>
      <w:r>
        <w:rPr>
          <w:rFonts w:ascii="微软雅黑" w:hAnsi="微软雅黑" w:eastAsia="微软雅黑" w:cs="微软雅黑"/>
          <w:color w:val="231F20"/>
          <w:spacing w:val="-8"/>
          <w:sz w:val="22"/>
          <w:szCs w:val="22"/>
        </w:rPr>
        <w:t>国可再生</w:t>
      </w:r>
      <w:r>
        <w:rPr>
          <w:rFonts w:ascii="微软雅黑" w:hAnsi="微软雅黑" w:eastAsia="微软雅黑" w:cs="微软雅黑"/>
          <w:color w:val="231F20"/>
          <w:spacing w:val="-4"/>
          <w:sz w:val="22"/>
          <w:szCs w:val="22"/>
        </w:rPr>
        <w:t xml:space="preserve">能源新增装机 </w:t>
      </w:r>
      <w:r>
        <w:rPr>
          <w:rFonts w:ascii="Times New Roman" w:hAnsi="Times New Roman" w:eastAsia="Times New Roman" w:cs="Times New Roman"/>
          <w:color w:val="231F20"/>
          <w:spacing w:val="-4"/>
          <w:sz w:val="22"/>
          <w:szCs w:val="22"/>
        </w:rPr>
        <w:t xml:space="preserve">1.34 </w:t>
      </w:r>
      <w:r>
        <w:rPr>
          <w:rFonts w:ascii="微软雅黑" w:hAnsi="微软雅黑" w:eastAsia="微软雅黑" w:cs="微软雅黑"/>
          <w:color w:val="231F20"/>
          <w:spacing w:val="-4"/>
          <w:sz w:val="22"/>
          <w:szCs w:val="22"/>
        </w:rPr>
        <w:t xml:space="preserve">亿千瓦，   占新增发电装机的 </w:t>
      </w:r>
      <w:r>
        <w:rPr>
          <w:rFonts w:ascii="Times New Roman" w:hAnsi="Times New Roman" w:eastAsia="Times New Roman" w:cs="Times New Roman"/>
          <w:color w:val="231F20"/>
          <w:spacing w:val="-4"/>
          <w:sz w:val="22"/>
          <w:szCs w:val="22"/>
        </w:rPr>
        <w:t xml:space="preserve">76. 1% </w:t>
      </w:r>
      <w:r>
        <w:rPr>
          <w:rFonts w:ascii="微软雅黑" w:hAnsi="微软雅黑" w:eastAsia="微软雅黑" w:cs="微软雅黑"/>
          <w:color w:val="231F20"/>
          <w:spacing w:val="-4"/>
          <w:sz w:val="22"/>
          <w:szCs w:val="22"/>
        </w:rPr>
        <w:t>。全年可再生能源发电</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量达 </w:t>
      </w:r>
      <w:r>
        <w:rPr>
          <w:rFonts w:ascii="Times New Roman" w:hAnsi="Times New Roman" w:eastAsia="Times New Roman" w:cs="Times New Roman"/>
          <w:color w:val="231F20"/>
          <w:spacing w:val="-6"/>
          <w:sz w:val="22"/>
          <w:szCs w:val="22"/>
        </w:rPr>
        <w:t>2</w:t>
      </w:r>
      <w:r>
        <w:rPr>
          <w:rFonts w:ascii="Times New Roman" w:hAnsi="Times New Roman" w:eastAsia="Times New Roman" w:cs="Times New Roman"/>
          <w:color w:val="231F20"/>
          <w:spacing w:val="-4"/>
          <w:sz w:val="22"/>
          <w:szCs w:val="22"/>
        </w:rPr>
        <w:t>.</w:t>
      </w:r>
      <w:r>
        <w:rPr>
          <w:rFonts w:ascii="Times New Roman" w:hAnsi="Times New Roman" w:eastAsia="Times New Roman" w:cs="Times New Roman"/>
          <w:color w:val="231F20"/>
          <w:spacing w:val="-3"/>
          <w:sz w:val="22"/>
          <w:szCs w:val="22"/>
        </w:rPr>
        <w:t xml:space="preserve">48 </w:t>
      </w:r>
      <w:r>
        <w:rPr>
          <w:rFonts w:ascii="微软雅黑" w:hAnsi="微软雅黑" w:eastAsia="微软雅黑" w:cs="微软雅黑"/>
          <w:color w:val="231F20"/>
          <w:spacing w:val="-3"/>
          <w:sz w:val="22"/>
          <w:szCs w:val="22"/>
        </w:rPr>
        <w:t xml:space="preserve">万亿千瓦时，   占全社会用电量的 </w:t>
      </w:r>
      <w:r>
        <w:rPr>
          <w:rFonts w:ascii="Times New Roman" w:hAnsi="Times New Roman" w:eastAsia="Times New Roman" w:cs="Times New Roman"/>
          <w:color w:val="231F20"/>
          <w:spacing w:val="-3"/>
          <w:sz w:val="22"/>
          <w:szCs w:val="22"/>
        </w:rPr>
        <w:t xml:space="preserve">29.8% </w:t>
      </w:r>
      <w:r>
        <w:rPr>
          <w:rFonts w:ascii="微软雅黑" w:hAnsi="微软雅黑" w:eastAsia="微软雅黑" w:cs="微软雅黑"/>
          <w:color w:val="231F20"/>
          <w:spacing w:val="-3"/>
          <w:sz w:val="22"/>
          <w:szCs w:val="22"/>
        </w:rPr>
        <w:t>。万元国内生产总值能耗比上年下降</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1"/>
          <w:sz w:val="22"/>
          <w:szCs w:val="22"/>
        </w:rPr>
        <w:t xml:space="preserve">2.7% </w:t>
      </w:r>
      <w:r>
        <w:rPr>
          <w:rFonts w:ascii="微软雅黑" w:hAnsi="微软雅黑" w:eastAsia="微软雅黑" w:cs="微软雅黑"/>
          <w:color w:val="231F20"/>
          <w:spacing w:val="-1"/>
          <w:sz w:val="22"/>
          <w:szCs w:val="22"/>
        </w:rPr>
        <w:t xml:space="preserve">，清洁能源消费量占比达到 </w:t>
      </w:r>
      <w:r>
        <w:rPr>
          <w:rFonts w:ascii="Times New Roman" w:hAnsi="Times New Roman" w:eastAsia="Times New Roman" w:cs="Times New Roman"/>
          <w:color w:val="231F20"/>
          <w:spacing w:val="-1"/>
          <w:sz w:val="22"/>
          <w:szCs w:val="22"/>
        </w:rPr>
        <w:t xml:space="preserve">25.5% </w:t>
      </w:r>
      <w:r>
        <w:rPr>
          <w:rFonts w:ascii="微软雅黑" w:hAnsi="微软雅黑" w:eastAsia="微软雅黑" w:cs="微软雅黑"/>
          <w:color w:val="231F20"/>
          <w:spacing w:val="-1"/>
          <w:sz w:val="22"/>
          <w:szCs w:val="22"/>
        </w:rPr>
        <w:t>。</w:t>
      </w:r>
      <w:r>
        <w:rPr>
          <w:rFonts w:ascii="SimHei" w:hAnsi="SimHei" w:eastAsia="SimHei" w:cs="SimHei"/>
          <w:color w:val="231F20"/>
          <w:spacing w:val="-1"/>
          <w:sz w:val="22"/>
          <w:szCs w:val="22"/>
        </w:rPr>
        <w:t>二</w:t>
      </w:r>
      <w:r>
        <w:rPr>
          <w:rFonts w:ascii="SimHei" w:hAnsi="SimHei" w:eastAsia="SimHei" w:cs="SimHei"/>
          <w:color w:val="231F20"/>
          <w:sz w:val="22"/>
          <w:szCs w:val="22"/>
        </w:rPr>
        <w:t>是绿色制造快速发展。</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年度中国绿色 </w:t>
      </w:r>
      <w:r>
        <w:rPr>
          <w:rFonts w:ascii="微软雅黑" w:hAnsi="微软雅黑" w:eastAsia="微软雅黑" w:cs="微软雅黑"/>
          <w:color w:val="231F20"/>
          <w:spacing w:val="1"/>
          <w:sz w:val="22"/>
          <w:szCs w:val="22"/>
        </w:rPr>
        <w:t xml:space="preserve">制造名单新增加了 </w:t>
      </w:r>
      <w:r>
        <w:rPr>
          <w:rFonts w:ascii="Times New Roman" w:hAnsi="Times New Roman" w:eastAsia="Times New Roman" w:cs="Times New Roman"/>
          <w:color w:val="231F20"/>
          <w:spacing w:val="1"/>
          <w:sz w:val="22"/>
          <w:szCs w:val="22"/>
        </w:rPr>
        <w:t xml:space="preserve">989 </w:t>
      </w:r>
      <w:r>
        <w:rPr>
          <w:rFonts w:ascii="微软雅黑" w:hAnsi="微软雅黑" w:eastAsia="微软雅黑" w:cs="微软雅黑"/>
          <w:color w:val="231F20"/>
          <w:spacing w:val="1"/>
          <w:sz w:val="22"/>
          <w:szCs w:val="22"/>
        </w:rPr>
        <w:t>种产品 、</w:t>
      </w:r>
      <w:r>
        <w:rPr>
          <w:rFonts w:ascii="Times New Roman" w:hAnsi="Times New Roman" w:eastAsia="Times New Roman" w:cs="Times New Roman"/>
          <w:color w:val="231F20"/>
          <w:spacing w:val="1"/>
          <w:sz w:val="22"/>
          <w:szCs w:val="22"/>
        </w:rPr>
        <w:t xml:space="preserve">662 </w:t>
      </w:r>
      <w:r>
        <w:rPr>
          <w:rFonts w:ascii="微软雅黑" w:hAnsi="微软雅黑" w:eastAsia="微软雅黑" w:cs="微软雅黑"/>
          <w:color w:val="231F20"/>
          <w:spacing w:val="1"/>
          <w:sz w:val="22"/>
          <w:szCs w:val="22"/>
        </w:rPr>
        <w:t xml:space="preserve">家工厂和 </w:t>
      </w:r>
      <w:r>
        <w:rPr>
          <w:rFonts w:ascii="Times New Roman" w:hAnsi="Times New Roman" w:eastAsia="Times New Roman" w:cs="Times New Roman"/>
          <w:color w:val="231F20"/>
          <w:spacing w:val="1"/>
          <w:sz w:val="22"/>
          <w:szCs w:val="22"/>
        </w:rPr>
        <w:t xml:space="preserve">107 </w:t>
      </w:r>
      <w:r>
        <w:rPr>
          <w:rFonts w:ascii="微软雅黑" w:hAnsi="微软雅黑" w:eastAsia="微软雅黑" w:cs="微软雅黑"/>
          <w:color w:val="231F20"/>
          <w:spacing w:val="1"/>
          <w:sz w:val="22"/>
          <w:szCs w:val="22"/>
        </w:rPr>
        <w:t>家绿色</w:t>
      </w:r>
      <w:r>
        <w:rPr>
          <w:rFonts w:ascii="微软雅黑" w:hAnsi="微软雅黑" w:eastAsia="微软雅黑" w:cs="微软雅黑"/>
          <w:color w:val="231F20"/>
          <w:sz w:val="22"/>
          <w:szCs w:val="22"/>
        </w:rPr>
        <w:t xml:space="preserve">供应链管理企业 ，重点耗能 </w:t>
      </w:r>
      <w:r>
        <w:rPr>
          <w:rFonts w:ascii="微软雅黑" w:hAnsi="微软雅黑" w:eastAsia="微软雅黑" w:cs="微软雅黑"/>
          <w:color w:val="231F20"/>
          <w:spacing w:val="-2"/>
          <w:sz w:val="22"/>
          <w:szCs w:val="22"/>
        </w:rPr>
        <w:t xml:space="preserve">工业企业单位电石综合能耗下降 </w:t>
      </w:r>
      <w:r>
        <w:rPr>
          <w:rFonts w:ascii="Times New Roman" w:hAnsi="Times New Roman" w:eastAsia="Times New Roman" w:cs="Times New Roman"/>
          <w:color w:val="231F20"/>
          <w:spacing w:val="-2"/>
          <w:sz w:val="22"/>
          <w:szCs w:val="22"/>
        </w:rPr>
        <w:t>5.3%</w:t>
      </w:r>
      <w:r>
        <w:rPr>
          <w:rFonts w:ascii="微软雅黑" w:hAnsi="微软雅黑" w:eastAsia="微软雅黑" w:cs="微软雅黑"/>
          <w:color w:val="231F20"/>
          <w:spacing w:val="-2"/>
          <w:sz w:val="22"/>
          <w:szCs w:val="22"/>
        </w:rPr>
        <w:t>，规模以上工业单位</w:t>
      </w:r>
      <w:r>
        <w:rPr>
          <w:rFonts w:ascii="微软雅黑" w:hAnsi="微软雅黑" w:eastAsia="微软雅黑" w:cs="微软雅黑"/>
          <w:color w:val="231F20"/>
          <w:spacing w:val="-1"/>
          <w:sz w:val="22"/>
          <w:szCs w:val="22"/>
        </w:rPr>
        <w:t xml:space="preserve">增加值能耗同比下降 </w:t>
      </w:r>
      <w:r>
        <w:rPr>
          <w:rFonts w:ascii="Times New Roman" w:hAnsi="Times New Roman" w:eastAsia="Times New Roman" w:cs="Times New Roman"/>
          <w:color w:val="231F20"/>
          <w:spacing w:val="-1"/>
          <w:sz w:val="22"/>
          <w:szCs w:val="22"/>
        </w:rPr>
        <w:t xml:space="preserve">5.5% </w:t>
      </w:r>
      <w:r>
        <w:rPr>
          <w:rFonts w:ascii="微软雅黑" w:hAnsi="微软雅黑" w:eastAsia="微软雅黑" w:cs="微软雅黑"/>
          <w:color w:val="231F20"/>
          <w:spacing w:val="-1"/>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2"/>
          <w:sz w:val="22"/>
          <w:szCs w:val="22"/>
        </w:rPr>
        <w:t>在</w:t>
      </w:r>
      <w:r>
        <w:rPr>
          <w:rFonts w:ascii="微软雅黑" w:hAnsi="微软雅黑" w:eastAsia="微软雅黑" w:cs="微软雅黑"/>
          <w:color w:val="231F20"/>
          <w:spacing w:val="-9"/>
          <w:sz w:val="22"/>
          <w:szCs w:val="22"/>
        </w:rPr>
        <w:t>“</w:t>
      </w:r>
      <w:r>
        <w:rPr>
          <w:rFonts w:ascii="微软雅黑" w:hAnsi="微软雅黑" w:eastAsia="微软雅黑" w:cs="微软雅黑"/>
          <w:color w:val="231F20"/>
          <w:spacing w:val="-6"/>
          <w:sz w:val="22"/>
          <w:szCs w:val="22"/>
        </w:rPr>
        <w:t>双碳”目标下经济社会全面绿色低碳转型，不仅促进了外资企业投资清洁能源领域，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为外资企业创造更加广阔的市场空间和发展机遇 ，也促进</w:t>
      </w:r>
      <w:r>
        <w:rPr>
          <w:rFonts w:ascii="微软雅黑" w:hAnsi="微软雅黑" w:eastAsia="微软雅黑" w:cs="微软雅黑"/>
          <w:color w:val="231F20"/>
          <w:spacing w:val="1"/>
          <w:sz w:val="22"/>
          <w:szCs w:val="22"/>
        </w:rPr>
        <w:t>了外资企业绿色低碳转型，</w:t>
      </w:r>
    </w:p>
    <w:p>
      <w:pPr>
        <w:sectPr>
          <w:pgSz w:w="12246" w:h="16498"/>
          <w:pgMar w:top="400" w:right="0" w:bottom="400" w:left="0" w:header="0" w:footer="0" w:gutter="0"/>
          <w:cols w:space="720" w:num="1"/>
        </w:sectPr>
      </w:pPr>
    </w:p>
    <w:p>
      <w:pPr>
        <w:spacing w:line="357" w:lineRule="auto"/>
        <w:rPr>
          <w:rFonts w:ascii="Arial"/>
          <w:sz w:val="21"/>
        </w:rPr>
      </w:pPr>
      <w:r>
        <w:pict>
          <v:rect id="_x0000_s1040" o:spid="_x0000_s1040" o:spt="1" style="position:absolute;left:0pt;margin-left:468.1pt;margin-top:631.25pt;height:38.85pt;width:9.35pt;mso-position-horizontal-relative:page;mso-position-vertical-relative:page;z-index:251711488;mso-width-relative:page;mso-height-relative:page;" fillcolor="#FFFFFF" filled="t" stroked="f" coordsize="21600,21600" o:allowincell="f">
            <v:path/>
            <v:fill on="t" focussize="0,0"/>
            <v:stroke on="f"/>
            <v:imagedata o:title=""/>
            <o:lock v:ext="edit"/>
          </v:rect>
        </w:pict>
      </w:r>
      <w:r>
        <w:drawing>
          <wp:anchor distT="0" distB="0" distL="0" distR="0" simplePos="0" relativeHeight="25170739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40"/>
                    <a:stretch>
                      <a:fillRect/>
                    </a:stretch>
                  </pic:blipFill>
                  <pic:spPr>
                    <a:xfrm>
                      <a:off x="0" y="0"/>
                      <a:ext cx="7775994" cy="422998"/>
                    </a:xfrm>
                    <a:prstGeom prst="rect">
                      <a:avLst/>
                    </a:prstGeom>
                  </pic:spPr>
                </pic:pic>
              </a:graphicData>
            </a:graphic>
          </wp:anchor>
        </w:drawing>
      </w:r>
      <w:r>
        <w:pict>
          <v:shape id="_x0000_s1041" o:spid="_x0000_s1041" o:spt="202" type="#_x0000_t202" style="position:absolute;left:0pt;margin-left:462.85pt;margin-top:524.25pt;height:10.05pt;width:10.65pt;mso-position-horizontal-relative:page;mso-position-vertical-relative:page;z-index:251712512;mso-width-relative:page;mso-height-relative:page;" filled="f" stroked="f" coordsize="21600,21600" o:allowincell="f">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1"/>
                      <w:sz w:val="17"/>
                      <w:szCs w:val="17"/>
                    </w:rPr>
                    <w:t>2</w:t>
                  </w:r>
                  <w:r>
                    <w:rPr>
                      <w:rFonts w:ascii="Calibri" w:hAnsi="Calibri" w:eastAsia="Calibri" w:cs="Calibri"/>
                      <w:color w:val="030303"/>
                      <w:sz w:val="17"/>
                      <w:szCs w:val="17"/>
                    </w:rPr>
                    <w:t>5</w:t>
                  </w:r>
                </w:p>
              </w:txbxContent>
            </v:textbox>
          </v:shape>
        </w:pict>
      </w:r>
      <w:r>
        <w:pict>
          <v:shape id="_x0000_s1042" o:spid="_x0000_s1042" o:spt="202" type="#_x0000_t202" style="position:absolute;left:0pt;margin-left:129.1pt;margin-top:524.25pt;height:144.6pt;width:19.7pt;mso-position-horizontal-relative:page;mso-position-vertical-relative:page;z-index:251708416;mso-width-relative:page;mso-height-relative:page;" filled="f" stroked="f" coordsize="21600,21600" o:allowincell="f">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3"/>
                      <w:sz w:val="17"/>
                      <w:szCs w:val="17"/>
                    </w:rPr>
                    <w:t>2</w:t>
                  </w:r>
                  <w:r>
                    <w:rPr>
                      <w:rFonts w:ascii="Calibri" w:hAnsi="Calibri" w:eastAsia="Calibri" w:cs="Calibri"/>
                      <w:color w:val="030303"/>
                      <w:spacing w:val="2"/>
                      <w:sz w:val="17"/>
                      <w:szCs w:val="17"/>
                    </w:rPr>
                    <w:t>000</w:t>
                  </w:r>
                </w:p>
                <w:p>
                  <w:pPr>
                    <w:spacing w:before="107" w:line="186" w:lineRule="auto"/>
                    <w:ind w:left="25"/>
                    <w:rPr>
                      <w:rFonts w:ascii="Calibri" w:hAnsi="Calibri" w:eastAsia="Calibri" w:cs="Calibri"/>
                      <w:sz w:val="17"/>
                      <w:szCs w:val="17"/>
                    </w:rPr>
                  </w:pPr>
                  <w:r>
                    <w:rPr>
                      <w:rFonts w:ascii="Calibri" w:hAnsi="Calibri" w:eastAsia="Calibri" w:cs="Calibri"/>
                      <w:color w:val="030303"/>
                      <w:spacing w:val="1"/>
                      <w:sz w:val="17"/>
                      <w:szCs w:val="17"/>
                    </w:rPr>
                    <w:t>180</w:t>
                  </w:r>
                  <w:r>
                    <w:rPr>
                      <w:rFonts w:ascii="Calibri" w:hAnsi="Calibri" w:eastAsia="Calibri" w:cs="Calibri"/>
                      <w:color w:val="030303"/>
                      <w:sz w:val="17"/>
                      <w:szCs w:val="17"/>
                    </w:rPr>
                    <w:t>0</w:t>
                  </w:r>
                </w:p>
                <w:p>
                  <w:pPr>
                    <w:spacing w:before="107" w:line="186" w:lineRule="auto"/>
                    <w:ind w:left="25"/>
                    <w:rPr>
                      <w:rFonts w:ascii="Calibri" w:hAnsi="Calibri" w:eastAsia="Calibri" w:cs="Calibri"/>
                      <w:sz w:val="17"/>
                      <w:szCs w:val="17"/>
                    </w:rPr>
                  </w:pPr>
                  <w:r>
                    <w:rPr>
                      <w:rFonts w:ascii="Calibri" w:hAnsi="Calibri" w:eastAsia="Calibri" w:cs="Calibri"/>
                      <w:color w:val="030303"/>
                      <w:spacing w:val="1"/>
                      <w:sz w:val="17"/>
                      <w:szCs w:val="17"/>
                    </w:rPr>
                    <w:t>160</w:t>
                  </w:r>
                  <w:r>
                    <w:rPr>
                      <w:rFonts w:ascii="Calibri" w:hAnsi="Calibri" w:eastAsia="Calibri" w:cs="Calibri"/>
                      <w:color w:val="030303"/>
                      <w:sz w:val="17"/>
                      <w:szCs w:val="17"/>
                    </w:rPr>
                    <w:t>0</w:t>
                  </w:r>
                </w:p>
                <w:p>
                  <w:pPr>
                    <w:spacing w:before="109" w:line="186" w:lineRule="auto"/>
                    <w:ind w:left="25"/>
                    <w:rPr>
                      <w:rFonts w:ascii="Calibri" w:hAnsi="Calibri" w:eastAsia="Calibri" w:cs="Calibri"/>
                      <w:sz w:val="17"/>
                      <w:szCs w:val="17"/>
                    </w:rPr>
                  </w:pPr>
                  <w:r>
                    <w:rPr>
                      <w:rFonts w:ascii="Calibri" w:hAnsi="Calibri" w:eastAsia="Calibri" w:cs="Calibri"/>
                      <w:color w:val="030303"/>
                      <w:spacing w:val="1"/>
                      <w:sz w:val="17"/>
                      <w:szCs w:val="17"/>
                    </w:rPr>
                    <w:t>140</w:t>
                  </w:r>
                  <w:r>
                    <w:rPr>
                      <w:rFonts w:ascii="Calibri" w:hAnsi="Calibri" w:eastAsia="Calibri" w:cs="Calibri"/>
                      <w:color w:val="030303"/>
                      <w:sz w:val="17"/>
                      <w:szCs w:val="17"/>
                    </w:rPr>
                    <w:t>0</w:t>
                  </w:r>
                </w:p>
                <w:p>
                  <w:pPr>
                    <w:spacing w:before="108" w:line="186" w:lineRule="auto"/>
                    <w:ind w:left="25"/>
                    <w:rPr>
                      <w:rFonts w:ascii="Calibri" w:hAnsi="Calibri" w:eastAsia="Calibri" w:cs="Calibri"/>
                      <w:sz w:val="17"/>
                      <w:szCs w:val="17"/>
                    </w:rPr>
                  </w:pPr>
                  <w:r>
                    <w:rPr>
                      <w:rFonts w:ascii="Calibri" w:hAnsi="Calibri" w:eastAsia="Calibri" w:cs="Calibri"/>
                      <w:color w:val="030303"/>
                      <w:spacing w:val="1"/>
                      <w:sz w:val="17"/>
                      <w:szCs w:val="17"/>
                    </w:rPr>
                    <w:t>120</w:t>
                  </w:r>
                  <w:r>
                    <w:rPr>
                      <w:rFonts w:ascii="Calibri" w:hAnsi="Calibri" w:eastAsia="Calibri" w:cs="Calibri"/>
                      <w:color w:val="030303"/>
                      <w:sz w:val="17"/>
                      <w:szCs w:val="17"/>
                    </w:rPr>
                    <w:t>0</w:t>
                  </w:r>
                </w:p>
                <w:p>
                  <w:pPr>
                    <w:spacing w:before="108" w:line="186" w:lineRule="auto"/>
                    <w:ind w:left="25"/>
                    <w:rPr>
                      <w:rFonts w:ascii="Calibri" w:hAnsi="Calibri" w:eastAsia="Calibri" w:cs="Calibri"/>
                      <w:sz w:val="17"/>
                      <w:szCs w:val="17"/>
                    </w:rPr>
                  </w:pPr>
                  <w:r>
                    <w:rPr>
                      <w:rFonts w:ascii="Calibri" w:hAnsi="Calibri" w:eastAsia="Calibri" w:cs="Calibri"/>
                      <w:color w:val="030303"/>
                      <w:spacing w:val="1"/>
                      <w:sz w:val="17"/>
                      <w:szCs w:val="17"/>
                    </w:rPr>
                    <w:t>100</w:t>
                  </w:r>
                  <w:r>
                    <w:rPr>
                      <w:rFonts w:ascii="Calibri" w:hAnsi="Calibri" w:eastAsia="Calibri" w:cs="Calibri"/>
                      <w:color w:val="030303"/>
                      <w:sz w:val="17"/>
                      <w:szCs w:val="17"/>
                    </w:rPr>
                    <w:t>0</w:t>
                  </w:r>
                </w:p>
                <w:p>
                  <w:pPr>
                    <w:spacing w:before="109" w:line="186" w:lineRule="auto"/>
                    <w:ind w:left="108"/>
                    <w:rPr>
                      <w:rFonts w:ascii="Calibri" w:hAnsi="Calibri" w:eastAsia="Calibri" w:cs="Calibri"/>
                      <w:sz w:val="17"/>
                      <w:szCs w:val="17"/>
                    </w:rPr>
                  </w:pPr>
                  <w:r>
                    <w:rPr>
                      <w:rFonts w:ascii="Calibri" w:hAnsi="Calibri" w:eastAsia="Calibri" w:cs="Calibri"/>
                      <w:color w:val="030303"/>
                      <w:spacing w:val="3"/>
                      <w:sz w:val="17"/>
                      <w:szCs w:val="17"/>
                    </w:rPr>
                    <w:t>8</w:t>
                  </w:r>
                  <w:r>
                    <w:rPr>
                      <w:rFonts w:ascii="Calibri" w:hAnsi="Calibri" w:eastAsia="Calibri" w:cs="Calibri"/>
                      <w:color w:val="030303"/>
                      <w:spacing w:val="2"/>
                      <w:sz w:val="17"/>
                      <w:szCs w:val="17"/>
                    </w:rPr>
                    <w:t>00</w:t>
                  </w:r>
                </w:p>
                <w:p>
                  <w:pPr>
                    <w:spacing w:before="108" w:line="186" w:lineRule="auto"/>
                    <w:ind w:left="110"/>
                    <w:rPr>
                      <w:rFonts w:ascii="Calibri" w:hAnsi="Calibri" w:eastAsia="Calibri" w:cs="Calibri"/>
                      <w:sz w:val="17"/>
                      <w:szCs w:val="17"/>
                    </w:rPr>
                  </w:pPr>
                  <w:r>
                    <w:rPr>
                      <w:rFonts w:ascii="Calibri" w:hAnsi="Calibri" w:eastAsia="Calibri" w:cs="Calibri"/>
                      <w:color w:val="030303"/>
                      <w:spacing w:val="2"/>
                      <w:sz w:val="17"/>
                      <w:szCs w:val="17"/>
                    </w:rPr>
                    <w:t>60</w:t>
                  </w:r>
                  <w:r>
                    <w:rPr>
                      <w:rFonts w:ascii="Calibri" w:hAnsi="Calibri" w:eastAsia="Calibri" w:cs="Calibri"/>
                      <w:color w:val="030303"/>
                      <w:spacing w:val="1"/>
                      <w:sz w:val="17"/>
                      <w:szCs w:val="17"/>
                    </w:rPr>
                    <w:t>0</w:t>
                  </w:r>
                </w:p>
                <w:p>
                  <w:pPr>
                    <w:spacing w:before="108" w:line="186" w:lineRule="auto"/>
                    <w:ind w:left="104"/>
                    <w:rPr>
                      <w:rFonts w:ascii="Calibri" w:hAnsi="Calibri" w:eastAsia="Calibri" w:cs="Calibri"/>
                      <w:sz w:val="17"/>
                      <w:szCs w:val="17"/>
                    </w:rPr>
                  </w:pPr>
                  <w:r>
                    <w:rPr>
                      <w:rFonts w:ascii="Calibri" w:hAnsi="Calibri" w:eastAsia="Calibri" w:cs="Calibri"/>
                      <w:color w:val="030303"/>
                      <w:spacing w:val="4"/>
                      <w:sz w:val="17"/>
                      <w:szCs w:val="17"/>
                    </w:rPr>
                    <w:t>4</w:t>
                  </w:r>
                  <w:r>
                    <w:rPr>
                      <w:rFonts w:ascii="Calibri" w:hAnsi="Calibri" w:eastAsia="Calibri" w:cs="Calibri"/>
                      <w:color w:val="030303"/>
                      <w:spacing w:val="3"/>
                      <w:sz w:val="17"/>
                      <w:szCs w:val="17"/>
                    </w:rPr>
                    <w:t>00</w:t>
                  </w:r>
                </w:p>
                <w:p>
                  <w:pPr>
                    <w:spacing w:before="109" w:line="186" w:lineRule="auto"/>
                    <w:ind w:left="110"/>
                    <w:rPr>
                      <w:rFonts w:ascii="Calibri" w:hAnsi="Calibri" w:eastAsia="Calibri" w:cs="Calibri"/>
                      <w:sz w:val="17"/>
                      <w:szCs w:val="17"/>
                    </w:rPr>
                  </w:pPr>
                  <w:r>
                    <w:rPr>
                      <w:rFonts w:ascii="Calibri" w:hAnsi="Calibri" w:eastAsia="Calibri" w:cs="Calibri"/>
                      <w:color w:val="030303"/>
                      <w:spacing w:val="2"/>
                      <w:sz w:val="17"/>
                      <w:szCs w:val="17"/>
                    </w:rPr>
                    <w:t>2</w:t>
                  </w:r>
                  <w:r>
                    <w:rPr>
                      <w:rFonts w:ascii="Calibri" w:hAnsi="Calibri" w:eastAsia="Calibri" w:cs="Calibri"/>
                      <w:color w:val="030303"/>
                      <w:spacing w:val="1"/>
                      <w:sz w:val="17"/>
                      <w:szCs w:val="17"/>
                    </w:rPr>
                    <w:t>00</w:t>
                  </w:r>
                </w:p>
                <w:p>
                  <w:pPr>
                    <w:spacing w:before="108" w:line="186" w:lineRule="auto"/>
                    <w:ind w:left="288"/>
                    <w:rPr>
                      <w:rFonts w:ascii="Calibri" w:hAnsi="Calibri" w:eastAsia="Calibri" w:cs="Calibri"/>
                      <w:sz w:val="17"/>
                      <w:szCs w:val="17"/>
                    </w:rPr>
                  </w:pPr>
                  <w:r>
                    <w:rPr>
                      <w:rFonts w:ascii="Calibri" w:hAnsi="Calibri" w:eastAsia="Calibri" w:cs="Calibri"/>
                      <w:color w:val="030303"/>
                      <w:sz w:val="17"/>
                      <w:szCs w:val="17"/>
                    </w:rPr>
                    <w:t>0</w:t>
                  </w:r>
                </w:p>
              </w:txbxContent>
            </v:textbox>
          </v:shape>
        </w:pict>
      </w:r>
      <w:r>
        <w:pict>
          <v:shape id="_x0000_s1043" o:spid="_x0000_s1043" o:spt="202" type="#_x0000_t202" style="position:absolute;left:0pt;margin-left:418.8pt;margin-top:536.7pt;height:12.9pt;width:27.55pt;mso-position-horizontal-relative:page;mso-position-vertical-relative:page;z-index:251716608;mso-width-relative:page;mso-height-relative:page;" filled="f" stroked="f" coordsize="21600,21600" o:allowincell="f">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21 2</w:t>
                  </w:r>
                  <w:r>
                    <w:rPr>
                      <w:rFonts w:ascii="微软雅黑" w:hAnsi="微软雅黑" w:eastAsia="微软雅黑" w:cs="微软雅黑"/>
                      <w:color w:val="030303"/>
                      <w:spacing w:val="1"/>
                      <w:sz w:val="17"/>
                      <w:szCs w:val="17"/>
                    </w:rPr>
                    <w:t>%</w:t>
                  </w:r>
                </w:p>
              </w:txbxContent>
            </v:textbox>
          </v:shape>
        </w:pict>
      </w:r>
      <w:r>
        <w:pict>
          <v:shape id="_x0000_s1044" o:spid="_x0000_s1044" o:spt="202" type="#_x0000_t202" style="position:absolute;left:0pt;margin-left:462.85pt;margin-top:551.15pt;height:10.05pt;width:10.65pt;mso-position-horizontal-relative:page;mso-position-vertical-relative:page;z-index:251713536;mso-width-relative:page;mso-height-relative:page;" filled="f" stroked="f" coordsize="21600,21600" o:allowincell="f">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1"/>
                      <w:sz w:val="17"/>
                      <w:szCs w:val="17"/>
                    </w:rPr>
                    <w:t>2</w:t>
                  </w:r>
                  <w:r>
                    <w:rPr>
                      <w:rFonts w:ascii="Calibri" w:hAnsi="Calibri" w:eastAsia="Calibri" w:cs="Calibri"/>
                      <w:color w:val="030303"/>
                      <w:sz w:val="17"/>
                      <w:szCs w:val="17"/>
                    </w:rPr>
                    <w:t>0</w:t>
                  </w:r>
                </w:p>
              </w:txbxContent>
            </v:textbox>
          </v:shape>
        </w:pict>
      </w:r>
      <w:r>
        <w:pict>
          <v:shape id="_x0000_s1045" o:spid="_x0000_s1045" o:spt="202" type="#_x0000_t202" style="position:absolute;left:0pt;margin-left:463.1pt;margin-top:578.1pt;height:10pt;width:10.35pt;mso-position-horizontal-relative:page;mso-position-vertical-relative:page;z-index:251715584;mso-width-relative:page;mso-height-relative:page;" filled="f" stroked="f" coordsize="21600,21600" o:allowincell="f">
            <v:path/>
            <v:fill on="f" focussize="0,0"/>
            <v:stroke on="f"/>
            <v:imagedata o:title=""/>
            <o:lock v:ext="edit" aspectratio="f"/>
            <v:textbox inset="0mm,0mm,0mm,0mm">
              <w:txbxContent>
                <w:p>
                  <w:pPr>
                    <w:spacing w:before="19" w:line="185" w:lineRule="auto"/>
                    <w:ind w:left="20"/>
                    <w:rPr>
                      <w:rFonts w:ascii="Calibri" w:hAnsi="Calibri" w:eastAsia="Calibri" w:cs="Calibri"/>
                      <w:sz w:val="17"/>
                      <w:szCs w:val="17"/>
                    </w:rPr>
                  </w:pPr>
                  <w:r>
                    <w:rPr>
                      <w:rFonts w:ascii="Calibri" w:hAnsi="Calibri" w:eastAsia="Calibri" w:cs="Calibri"/>
                      <w:color w:val="030303"/>
                      <w:spacing w:val="-2"/>
                      <w:sz w:val="17"/>
                      <w:szCs w:val="17"/>
                    </w:rPr>
                    <w:t>1</w:t>
                  </w:r>
                  <w:r>
                    <w:rPr>
                      <w:rFonts w:ascii="Calibri" w:hAnsi="Calibri" w:eastAsia="Calibri" w:cs="Calibri"/>
                      <w:color w:val="030303"/>
                      <w:spacing w:val="-1"/>
                      <w:sz w:val="17"/>
                      <w:szCs w:val="17"/>
                    </w:rPr>
                    <w:t>5</w:t>
                  </w:r>
                </w:p>
              </w:txbxContent>
            </v:textbox>
          </v:shape>
        </w:pict>
      </w:r>
      <w:r>
        <w:pict>
          <v:shape id="_x0000_s1046" o:spid="_x0000_s1046" o:spt="202" type="#_x0000_t202" style="position:absolute;left:0pt;margin-left:463.1pt;margin-top:604.95pt;height:10.05pt;width:10.35pt;mso-position-horizontal-relative:page;mso-position-vertical-relative:page;z-index:251714560;mso-width-relative:page;mso-height-relative:page;" filled="f" stroked="f" coordsize="21600,21600" o:allowincell="f">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2"/>
                      <w:sz w:val="17"/>
                      <w:szCs w:val="17"/>
                    </w:rPr>
                    <w:t>1</w:t>
                  </w:r>
                  <w:r>
                    <w:rPr>
                      <w:rFonts w:ascii="Calibri" w:hAnsi="Calibri" w:eastAsia="Calibri" w:cs="Calibri"/>
                      <w:color w:val="030303"/>
                      <w:spacing w:val="-1"/>
                      <w:sz w:val="17"/>
                      <w:szCs w:val="17"/>
                    </w:rPr>
                    <w:t>0</w:t>
                  </w:r>
                </w:p>
              </w:txbxContent>
            </v:textbox>
          </v:shape>
        </w:pict>
      </w:r>
      <w:r>
        <w:pict>
          <v:shape id="_x0000_s1047" o:spid="_x0000_s1047" o:spt="202" type="#_x0000_t202" style="position:absolute;left:0pt;margin-left:462.8pt;margin-top:631.75pt;height:10.15pt;width:12.55pt;mso-position-horizontal-relative:page;mso-position-vertical-relative:page;z-index:251709440;mso-width-relative:page;mso-height-relative:page;" filled="f" stroked="f" coordsize="21600,21600" o:allowincell="f">
            <v:path/>
            <v:fill on="f" focussize="0,0"/>
            <v:stroke on="f"/>
            <v:imagedata o:title=""/>
            <o:lock v:ext="edit" aspectratio="f"/>
            <v:textbox inset="0mm,0mm,0mm,0mm">
              <w:txbxContent>
                <w:p>
                  <w:pPr>
                    <w:spacing w:before="20" w:line="188" w:lineRule="auto"/>
                    <w:ind w:left="20"/>
                    <w:rPr>
                      <w:rFonts w:ascii="Calibri" w:hAnsi="Calibri" w:eastAsia="Calibri" w:cs="Calibri"/>
                      <w:sz w:val="17"/>
                      <w:szCs w:val="17"/>
                    </w:rPr>
                  </w:pPr>
                  <w:r>
                    <w:rPr>
                      <w:rFonts w:ascii="Calibri" w:hAnsi="Calibri" w:eastAsia="Calibri" w:cs="Calibri"/>
                      <w:color w:val="030303"/>
                      <w:spacing w:val="2"/>
                      <w:sz w:val="17"/>
                      <w:szCs w:val="17"/>
                    </w:rPr>
                    <w:t>5</w:t>
                  </w:r>
                  <w:r>
                    <w:rPr>
                      <w:rFonts w:ascii="Calibri" w:hAnsi="Calibri" w:eastAsia="Calibri" w:cs="Calibri"/>
                      <w:color w:val="030303"/>
                      <w:spacing w:val="1"/>
                      <w:sz w:val="17"/>
                      <w:szCs w:val="17"/>
                    </w:rPr>
                    <w:t>%</w:t>
                  </w:r>
                </w:p>
              </w:txbxContent>
            </v:textbox>
          </v:shape>
        </w:pict>
      </w:r>
      <w:r>
        <w:pict>
          <v:shape id="_x0000_s1048" o:spid="_x0000_s1048" o:spt="202" type="#_x0000_t202" style="position:absolute;left:0pt;margin-left:462.65pt;margin-top:658.7pt;height:10.15pt;width:12.7pt;mso-position-horizontal-relative:page;mso-position-vertical-relative:page;z-index:251710464;mso-width-relative:page;mso-height-relative:page;" filled="f" stroked="f" coordsize="21600,21600" o:allowincell="f">
            <v:path/>
            <v:fill on="f" focussize="0,0"/>
            <v:stroke on="f"/>
            <v:imagedata o:title=""/>
            <o:lock v:ext="edit" aspectratio="f"/>
            <v:textbox inset="0mm,0mm,0mm,0mm">
              <w:txbxContent>
                <w:p>
                  <w:pPr>
                    <w:spacing w:before="20" w:line="188" w:lineRule="auto"/>
                    <w:ind w:left="20"/>
                    <w:rPr>
                      <w:rFonts w:ascii="Calibri" w:hAnsi="Calibri" w:eastAsia="Calibri" w:cs="Calibri"/>
                      <w:sz w:val="17"/>
                      <w:szCs w:val="17"/>
                    </w:rPr>
                  </w:pPr>
                  <w:r>
                    <w:rPr>
                      <w:rFonts w:ascii="Calibri" w:hAnsi="Calibri" w:eastAsia="Calibri" w:cs="Calibri"/>
                      <w:color w:val="030303"/>
                      <w:spacing w:val="3"/>
                      <w:sz w:val="17"/>
                      <w:szCs w:val="17"/>
                    </w:rPr>
                    <w:t>0</w:t>
                  </w:r>
                  <w:r>
                    <w:rPr>
                      <w:rFonts w:ascii="Calibri" w:hAnsi="Calibri" w:eastAsia="Calibri" w:cs="Calibri"/>
                      <w:color w:val="030303"/>
                      <w:spacing w:val="2"/>
                      <w:sz w:val="17"/>
                      <w:szCs w:val="17"/>
                    </w:rPr>
                    <w:t>%</w:t>
                  </w:r>
                </w:p>
              </w:txbxContent>
            </v:textbox>
          </v:shape>
        </w:pict>
      </w:r>
      <w:r>
        <w:drawing>
          <wp:anchor distT="0" distB="0" distL="0" distR="0" simplePos="0" relativeHeight="251717632" behindDoc="0" locked="0" layoutInCell="0" allowOverlap="1">
            <wp:simplePos x="0" y="0"/>
            <wp:positionH relativeFrom="page">
              <wp:posOffset>3842385</wp:posOffset>
            </wp:positionH>
            <wp:positionV relativeFrom="page">
              <wp:posOffset>6928485</wp:posOffset>
            </wp:positionV>
            <wp:extent cx="1620520" cy="137985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53"/>
                    <a:stretch>
                      <a:fillRect/>
                    </a:stretch>
                  </pic:blipFill>
                  <pic:spPr>
                    <a:xfrm>
                      <a:off x="0" y="0"/>
                      <a:ext cx="1620249" cy="1379740"/>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r>
        <w:rPr>
          <w:rFonts w:ascii="Arial" w:hAnsi="Arial" w:eastAsia="Arial" w:cs="Arial"/>
          <w:color w:val="231F20"/>
          <w:spacing w:val="21"/>
          <w:sz w:val="20"/>
          <w:szCs w:val="20"/>
        </w:rPr>
        <w:t xml:space="preserve">8    </w:t>
      </w:r>
      <w:r>
        <w:rPr>
          <w:position w:val="-5"/>
          <w:sz w:val="20"/>
          <w:szCs w:val="20"/>
        </w:rPr>
        <w:drawing>
          <wp:inline distT="0" distB="0" distL="0" distR="0">
            <wp:extent cx="3175" cy="147320"/>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综合</w:t>
      </w:r>
      <w:r>
        <w:rPr>
          <w:rFonts w:ascii="SimHei" w:hAnsi="SimHei" w:eastAsia="SimHei" w:cs="SimHei"/>
          <w:color w:val="1A67B3"/>
          <w:spacing w:val="20"/>
          <w:sz w:val="21"/>
          <w:szCs w:val="21"/>
          <w14:textOutline w14:w="3175" w14:cap="flat" w14:cmpd="sng">
            <w14:solidFill>
              <w14:srgbClr w14:val="1A67B3"/>
            </w14:solidFill>
            <w14:prstDash w14:val="solid"/>
            <w14:miter w14:val="0"/>
          </w14:textOutline>
        </w:rPr>
        <w:t>篇</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5" w:line="261" w:lineRule="auto"/>
        <w:ind w:left="1987" w:right="1987" w:firstLine="6"/>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增强了企</w:t>
      </w:r>
      <w:r>
        <w:rPr>
          <w:rFonts w:ascii="微软雅黑" w:hAnsi="微软雅黑" w:eastAsia="微软雅黑" w:cs="微软雅黑"/>
          <w:color w:val="231F20"/>
          <w:sz w:val="22"/>
          <w:szCs w:val="22"/>
        </w:rPr>
        <w:t xml:space="preserve">业发展新动能。汇丰银行在 </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年第四届进博会期间发布的调研报告显示， </w:t>
      </w:r>
      <w:r>
        <w:rPr>
          <w:rFonts w:ascii="Times New Roman" w:hAnsi="Times New Roman" w:eastAsia="Times New Roman" w:cs="Times New Roman"/>
          <w:color w:val="231F20"/>
          <w:spacing w:val="-1"/>
          <w:sz w:val="22"/>
          <w:szCs w:val="22"/>
        </w:rPr>
        <w:t xml:space="preserve">76% </w:t>
      </w:r>
      <w:r>
        <w:rPr>
          <w:rFonts w:ascii="微软雅黑" w:hAnsi="微软雅黑" w:eastAsia="微软雅黑" w:cs="微软雅黑"/>
          <w:color w:val="231F20"/>
          <w:spacing w:val="-1"/>
          <w:sz w:val="22"/>
          <w:szCs w:val="22"/>
        </w:rPr>
        <w:t>的海外企业认为 ，绿色低碳转</w:t>
      </w:r>
      <w:r>
        <w:rPr>
          <w:rFonts w:ascii="微软雅黑" w:hAnsi="微软雅黑" w:eastAsia="微软雅黑" w:cs="微软雅黑"/>
          <w:color w:val="231F20"/>
          <w:sz w:val="22"/>
          <w:szCs w:val="22"/>
        </w:rPr>
        <w:t xml:space="preserve">型进一步增强了中国市场的吸引力 ，看好中国“双 </w:t>
      </w:r>
      <w:r>
        <w:rPr>
          <w:rFonts w:ascii="微软雅黑" w:hAnsi="微软雅黑" w:eastAsia="微软雅黑" w:cs="微软雅黑"/>
          <w:color w:val="231F20"/>
          <w:spacing w:val="2"/>
          <w:sz w:val="22"/>
          <w:szCs w:val="22"/>
        </w:rPr>
        <w:t>碳”目标实施</w:t>
      </w:r>
      <w:r>
        <w:rPr>
          <w:rFonts w:ascii="微软雅黑" w:hAnsi="微软雅黑" w:eastAsia="微软雅黑" w:cs="微软雅黑"/>
          <w:color w:val="231F20"/>
          <w:spacing w:val="1"/>
          <w:sz w:val="22"/>
          <w:szCs w:val="22"/>
        </w:rPr>
        <w:t>带来的业务机遇。</w:t>
      </w:r>
    </w:p>
    <w:p>
      <w:pPr>
        <w:spacing w:line="278" w:lineRule="auto"/>
        <w:rPr>
          <w:rFonts w:ascii="Arial"/>
          <w:sz w:val="21"/>
        </w:rPr>
      </w:pPr>
    </w:p>
    <w:p>
      <w:pPr>
        <w:spacing w:before="91" w:line="221" w:lineRule="auto"/>
        <w:ind w:left="2566"/>
        <w:rPr>
          <w:rFonts w:ascii="SimHei" w:hAnsi="SimHei" w:eastAsia="SimHei" w:cs="SimHei"/>
          <w:sz w:val="28"/>
          <w:szCs w:val="28"/>
        </w:rPr>
      </w:pPr>
      <w:r>
        <w:rPr>
          <w:rFonts w:ascii="SimHei" w:hAnsi="SimHei" w:eastAsia="SimHei" w:cs="SimHei"/>
          <w:color w:val="015DAC"/>
          <w:spacing w:val="1"/>
          <w:sz w:val="28"/>
          <w:szCs w:val="28"/>
        </w:rPr>
        <w:t>二、</w:t>
      </w:r>
      <w:r>
        <w:rPr>
          <w:rFonts w:ascii="Times New Roman" w:hAnsi="Times New Roman" w:eastAsia="Times New Roman" w:cs="Times New Roman"/>
          <w:color w:val="015DAC"/>
          <w:spacing w:val="1"/>
          <w:sz w:val="28"/>
          <w:szCs w:val="28"/>
        </w:rPr>
        <w:t xml:space="preserve">2021 </w:t>
      </w:r>
      <w:r>
        <w:rPr>
          <w:rFonts w:ascii="SimHei" w:hAnsi="SimHei" w:eastAsia="SimHei" w:cs="SimHei"/>
          <w:color w:val="015DAC"/>
          <w:sz w:val="28"/>
          <w:szCs w:val="28"/>
        </w:rPr>
        <w:t>年中国外商投资发展情况</w:t>
      </w:r>
    </w:p>
    <w:p>
      <w:pPr>
        <w:spacing w:line="380" w:lineRule="auto"/>
        <w:rPr>
          <w:rFonts w:ascii="Arial"/>
          <w:sz w:val="21"/>
        </w:rPr>
      </w:pPr>
    </w:p>
    <w:p>
      <w:pPr>
        <w:spacing w:before="78" w:line="222" w:lineRule="auto"/>
        <w:ind w:left="2462"/>
        <w:rPr>
          <w:rFonts w:ascii="SimHei" w:hAnsi="SimHei" w:eastAsia="SimHei" w:cs="SimHei"/>
          <w:sz w:val="24"/>
          <w:szCs w:val="24"/>
        </w:rPr>
      </w:pPr>
      <w:r>
        <w:rPr>
          <w:rFonts w:ascii="SimHei" w:hAnsi="SimHei" w:eastAsia="SimHei" w:cs="SimHei"/>
          <w:color w:val="015DAC"/>
          <w:spacing w:val="9"/>
          <w:sz w:val="24"/>
          <w:szCs w:val="24"/>
        </w:rPr>
        <w:t>(一) 外商投资总体情</w:t>
      </w:r>
      <w:r>
        <w:rPr>
          <w:rFonts w:ascii="SimHei" w:hAnsi="SimHei" w:eastAsia="SimHei" w:cs="SimHei"/>
          <w:color w:val="015DAC"/>
          <w:spacing w:val="7"/>
          <w:sz w:val="24"/>
          <w:szCs w:val="24"/>
        </w:rPr>
        <w:t>况</w:t>
      </w:r>
    </w:p>
    <w:p>
      <w:pPr>
        <w:spacing w:before="332" w:line="202" w:lineRule="auto"/>
        <w:ind w:left="2442"/>
        <w:rPr>
          <w:rFonts w:ascii="微软雅黑" w:hAnsi="微软雅黑" w:eastAsia="微软雅黑" w:cs="微软雅黑"/>
          <w:sz w:val="22"/>
          <w:szCs w:val="22"/>
        </w:rPr>
      </w:pPr>
      <w:r>
        <w:rPr>
          <w:rFonts w:ascii="Times New Roman" w:hAnsi="Times New Roman" w:eastAsia="Times New Roman" w:cs="Times New Roman"/>
          <w:color w:val="231F20"/>
          <w:spacing w:val="-8"/>
          <w:sz w:val="22"/>
          <w:szCs w:val="22"/>
        </w:rPr>
        <w:t xml:space="preserve">2021 </w:t>
      </w:r>
      <w:r>
        <w:rPr>
          <w:rFonts w:ascii="微软雅黑" w:hAnsi="微软雅黑" w:eastAsia="微软雅黑" w:cs="微软雅黑"/>
          <w:color w:val="231F20"/>
          <w:spacing w:val="-8"/>
          <w:sz w:val="22"/>
          <w:szCs w:val="22"/>
        </w:rPr>
        <w:t>年，</w:t>
      </w:r>
      <w:r>
        <w:rPr>
          <w:rFonts w:ascii="微软雅黑" w:hAnsi="微软雅黑" w:eastAsia="微软雅黑" w:cs="微软雅黑"/>
          <w:color w:val="231F20"/>
          <w:spacing w:val="-7"/>
          <w:sz w:val="22"/>
          <w:szCs w:val="22"/>
        </w:rPr>
        <w:t xml:space="preserve"> </w:t>
      </w:r>
      <w:r>
        <w:rPr>
          <w:rFonts w:ascii="微软雅黑" w:hAnsi="微软雅黑" w:eastAsia="微软雅黑" w:cs="微软雅黑"/>
          <w:color w:val="231F20"/>
          <w:spacing w:val="-4"/>
          <w:sz w:val="22"/>
          <w:szCs w:val="22"/>
        </w:rPr>
        <w:t xml:space="preserve"> 中国经济发展和疫情防控保持全球领先地位，  国家战略科技力量加快壮</w:t>
      </w:r>
    </w:p>
    <w:p>
      <w:pPr>
        <w:spacing w:before="81" w:line="272" w:lineRule="auto"/>
        <w:ind w:left="1989" w:right="1985" w:firstLine="4"/>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大 ，产</w:t>
      </w:r>
      <w:r>
        <w:rPr>
          <w:rFonts w:ascii="微软雅黑" w:hAnsi="微软雅黑" w:eastAsia="微软雅黑" w:cs="微软雅黑"/>
          <w:color w:val="231F20"/>
          <w:spacing w:val="-3"/>
          <w:sz w:val="22"/>
          <w:szCs w:val="22"/>
        </w:rPr>
        <w:t>业链韧性得到提升 ，改革开放向纵深推进 ，推动稳外资工作取得新成效 ，吸引</w:t>
      </w:r>
      <w:r>
        <w:rPr>
          <w:rFonts w:ascii="微软雅黑" w:hAnsi="微软雅黑" w:eastAsia="微软雅黑" w:cs="微软雅黑"/>
          <w:color w:val="231F20"/>
          <w:sz w:val="22"/>
          <w:szCs w:val="22"/>
        </w:rPr>
        <w:t xml:space="preserve"> 外资规模持续扩大。</w:t>
      </w:r>
    </w:p>
    <w:p>
      <w:pPr>
        <w:spacing w:before="179" w:line="216" w:lineRule="auto"/>
        <w:ind w:left="246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1. </w:t>
      </w:r>
      <w:r>
        <w:rPr>
          <w:rFonts w:ascii="KaiTi" w:hAnsi="KaiTi" w:eastAsia="KaiTi" w:cs="KaiTi"/>
          <w:color w:val="015DAC"/>
          <w:spacing w:val="-1"/>
          <w:sz w:val="22"/>
          <w:szCs w:val="22"/>
        </w:rPr>
        <w:t>外商投资实现稳定增长</w:t>
      </w:r>
    </w:p>
    <w:p>
      <w:pPr>
        <w:spacing w:line="267" w:lineRule="auto"/>
        <w:rPr>
          <w:rFonts w:ascii="Arial"/>
          <w:sz w:val="21"/>
        </w:rPr>
      </w:pPr>
    </w:p>
    <w:p>
      <w:pPr>
        <w:spacing w:before="95" w:line="259" w:lineRule="auto"/>
        <w:ind w:left="1990" w:right="1917" w:firstLine="462"/>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受逆全球化和贸易保</w:t>
      </w:r>
      <w:r>
        <w:rPr>
          <w:rFonts w:ascii="微软雅黑" w:hAnsi="微软雅黑" w:eastAsia="微软雅黑" w:cs="微软雅黑"/>
          <w:color w:val="231F20"/>
          <w:spacing w:val="-1"/>
          <w:sz w:val="22"/>
          <w:szCs w:val="22"/>
        </w:rPr>
        <w:t>护主义加剧、新冠肺炎疫情冲击、地缘政治冲突等因素影响，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近</w:t>
      </w:r>
      <w:r>
        <w:rPr>
          <w:rFonts w:ascii="微软雅黑" w:hAnsi="微软雅黑" w:eastAsia="微软雅黑" w:cs="微软雅黑"/>
          <w:color w:val="231F20"/>
          <w:sz w:val="22"/>
          <w:szCs w:val="22"/>
        </w:rPr>
        <w:t xml:space="preserve">年来全球跨国投资波动较大，但中国实际使用外资保持持续稳定增长 ，尤其在 </w:t>
      </w:r>
      <w:r>
        <w:rPr>
          <w:rFonts w:ascii="Times New Roman" w:hAnsi="Times New Roman" w:eastAsia="Times New Roman" w:cs="Times New Roman"/>
          <w:color w:val="231F20"/>
          <w:sz w:val="22"/>
          <w:szCs w:val="22"/>
        </w:rPr>
        <w:t xml:space="preserve">2020 </w:t>
      </w:r>
      <w:r>
        <w:rPr>
          <w:rFonts w:ascii="微软雅黑" w:hAnsi="微软雅黑" w:eastAsia="微软雅黑" w:cs="微软雅黑"/>
          <w:color w:val="231F20"/>
          <w:spacing w:val="-2"/>
          <w:sz w:val="22"/>
          <w:szCs w:val="22"/>
        </w:rPr>
        <w:t>年全球跨国投资大规模下</w:t>
      </w:r>
      <w:r>
        <w:rPr>
          <w:rFonts w:ascii="微软雅黑" w:hAnsi="微软雅黑" w:eastAsia="微软雅黑" w:cs="微软雅黑"/>
          <w:color w:val="231F20"/>
          <w:spacing w:val="-1"/>
          <w:sz w:val="22"/>
          <w:szCs w:val="22"/>
        </w:rPr>
        <w:t>降的情况下，  中国实际使用外资仍然实现了正增长。</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中国全年实际使用外资达到 </w:t>
      </w:r>
      <w:r>
        <w:rPr>
          <w:rFonts w:ascii="Times New Roman" w:hAnsi="Times New Roman" w:eastAsia="Times New Roman" w:cs="Times New Roman"/>
          <w:color w:val="231F20"/>
          <w:spacing w:val="1"/>
          <w:sz w:val="22"/>
          <w:szCs w:val="22"/>
        </w:rPr>
        <w:t xml:space="preserve">1809.6 </w:t>
      </w:r>
      <w:r>
        <w:rPr>
          <w:rFonts w:ascii="微软雅黑" w:hAnsi="微软雅黑" w:eastAsia="微软雅黑" w:cs="微软雅黑"/>
          <w:color w:val="231F20"/>
          <w:spacing w:val="1"/>
          <w:sz w:val="22"/>
          <w:szCs w:val="22"/>
        </w:rPr>
        <w:t>亿美元历史最高水</w:t>
      </w:r>
      <w:r>
        <w:rPr>
          <w:rFonts w:ascii="微软雅黑" w:hAnsi="微软雅黑" w:eastAsia="微软雅黑" w:cs="微软雅黑"/>
          <w:color w:val="231F20"/>
          <w:sz w:val="22"/>
          <w:szCs w:val="22"/>
        </w:rPr>
        <w:t xml:space="preserve">平 ，增速达 </w:t>
      </w:r>
      <w:r>
        <w:rPr>
          <w:rFonts w:ascii="Times New Roman" w:hAnsi="Times New Roman" w:eastAsia="Times New Roman" w:cs="Times New Roman"/>
          <w:color w:val="231F20"/>
          <w:sz w:val="22"/>
          <w:szCs w:val="22"/>
        </w:rPr>
        <w:t>21.2%</w:t>
      </w:r>
      <w:r>
        <w:rPr>
          <w:rFonts w:ascii="微软雅黑" w:hAnsi="微软雅黑" w:eastAsia="微软雅黑" w:cs="微软雅黑"/>
          <w:color w:val="231F20"/>
          <w:sz w:val="22"/>
          <w:szCs w:val="22"/>
        </w:rPr>
        <w:t xml:space="preserve">。新设外资企 </w:t>
      </w:r>
      <w:r>
        <w:rPr>
          <w:rFonts w:ascii="微软雅黑" w:hAnsi="微软雅黑" w:eastAsia="微软雅黑" w:cs="微软雅黑"/>
          <w:color w:val="231F20"/>
          <w:spacing w:val="-4"/>
          <w:sz w:val="22"/>
          <w:szCs w:val="22"/>
        </w:rPr>
        <w:t xml:space="preserve">业 </w:t>
      </w:r>
      <w:r>
        <w:rPr>
          <w:rFonts w:ascii="Times New Roman" w:hAnsi="Times New Roman" w:eastAsia="Times New Roman" w:cs="Times New Roman"/>
          <w:color w:val="231F20"/>
          <w:spacing w:val="-4"/>
          <w:sz w:val="22"/>
          <w:szCs w:val="22"/>
        </w:rPr>
        <w:t xml:space="preserve">4.8 </w:t>
      </w:r>
      <w:r>
        <w:rPr>
          <w:rFonts w:ascii="微软雅黑" w:hAnsi="微软雅黑" w:eastAsia="微软雅黑" w:cs="微软雅黑"/>
          <w:color w:val="231F20"/>
          <w:spacing w:val="-4"/>
          <w:sz w:val="22"/>
          <w:szCs w:val="22"/>
        </w:rPr>
        <w:t>万家，  同比增</w:t>
      </w:r>
      <w:r>
        <w:rPr>
          <w:rFonts w:ascii="微软雅黑" w:hAnsi="微软雅黑" w:eastAsia="微软雅黑" w:cs="微软雅黑"/>
          <w:color w:val="231F20"/>
          <w:spacing w:val="-2"/>
          <w:sz w:val="22"/>
          <w:szCs w:val="22"/>
        </w:rPr>
        <w:t xml:space="preserve">长 </w:t>
      </w:r>
      <w:r>
        <w:rPr>
          <w:rFonts w:ascii="Times New Roman" w:hAnsi="Times New Roman" w:eastAsia="Times New Roman" w:cs="Times New Roman"/>
          <w:color w:val="231F20"/>
          <w:spacing w:val="-2"/>
          <w:sz w:val="22"/>
          <w:szCs w:val="22"/>
        </w:rPr>
        <w:t>23.5%</w:t>
      </w:r>
      <w:r>
        <w:rPr>
          <w:rFonts w:ascii="微软雅黑" w:hAnsi="微软雅黑" w:eastAsia="微软雅黑" w:cs="微软雅黑"/>
          <w:color w:val="231F20"/>
          <w:spacing w:val="-2"/>
          <w:sz w:val="22"/>
          <w:szCs w:val="22"/>
        </w:rPr>
        <w:t>，  实现引资规模和企业数量“双增长” 。中国实际使用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外资占全球跨国投资的比</w:t>
      </w:r>
      <w:r>
        <w:rPr>
          <w:rFonts w:ascii="微软雅黑" w:hAnsi="微软雅黑" w:eastAsia="微软雅黑" w:cs="微软雅黑"/>
          <w:color w:val="231F20"/>
          <w:sz w:val="22"/>
          <w:szCs w:val="22"/>
        </w:rPr>
        <w:t xml:space="preserve">重从 </w:t>
      </w:r>
      <w:r>
        <w:rPr>
          <w:rFonts w:ascii="Times New Roman" w:hAnsi="Times New Roman" w:eastAsia="Times New Roman" w:cs="Times New Roman"/>
          <w:color w:val="231F20"/>
          <w:sz w:val="22"/>
          <w:szCs w:val="22"/>
        </w:rPr>
        <w:t xml:space="preserve">2017 </w:t>
      </w:r>
      <w:r>
        <w:rPr>
          <w:rFonts w:ascii="微软雅黑" w:hAnsi="微软雅黑" w:eastAsia="微软雅黑" w:cs="微软雅黑"/>
          <w:color w:val="231F20"/>
          <w:sz w:val="22"/>
          <w:szCs w:val="22"/>
        </w:rPr>
        <w:t xml:space="preserve">年的 </w:t>
      </w:r>
      <w:r>
        <w:rPr>
          <w:rFonts w:ascii="Times New Roman" w:hAnsi="Times New Roman" w:eastAsia="Times New Roman" w:cs="Times New Roman"/>
          <w:color w:val="231F20"/>
          <w:sz w:val="22"/>
          <w:szCs w:val="22"/>
        </w:rPr>
        <w:t xml:space="preserve">8.3% </w:t>
      </w:r>
      <w:r>
        <w:rPr>
          <w:rFonts w:ascii="微软雅黑" w:hAnsi="微软雅黑" w:eastAsia="微软雅黑" w:cs="微软雅黑"/>
          <w:color w:val="231F20"/>
          <w:sz w:val="22"/>
          <w:szCs w:val="22"/>
        </w:rPr>
        <w:t xml:space="preserve">波动上升至 </w:t>
      </w:r>
      <w:r>
        <w:rPr>
          <w:rFonts w:ascii="Times New Roman" w:hAnsi="Times New Roman" w:eastAsia="Times New Roman" w:cs="Times New Roman"/>
          <w:color w:val="231F20"/>
          <w:sz w:val="22"/>
          <w:szCs w:val="22"/>
        </w:rPr>
        <w:t>11.4%</w:t>
      </w:r>
      <w:r>
        <w:rPr>
          <w:rFonts w:ascii="微软雅黑" w:hAnsi="微软雅黑" w:eastAsia="微软雅黑" w:cs="微软雅黑"/>
          <w:color w:val="231F20"/>
          <w:sz w:val="22"/>
          <w:szCs w:val="22"/>
        </w:rPr>
        <w:t>。</w:t>
      </w:r>
    </w:p>
    <w:p>
      <w:pPr>
        <w:spacing w:line="146" w:lineRule="exact"/>
      </w:pPr>
    </w:p>
    <w:p>
      <w:pPr>
        <w:sectPr>
          <w:pgSz w:w="12246" w:h="16498"/>
          <w:pgMar w:top="400" w:right="0" w:bottom="400" w:left="0" w:header="0" w:footer="0" w:gutter="0"/>
          <w:cols w:equalWidth="0" w:num="1">
            <w:col w:w="12246"/>
          </w:cols>
        </w:sectPr>
      </w:pPr>
    </w:p>
    <w:p>
      <w:pPr>
        <w:spacing w:before="71" w:line="231" w:lineRule="auto"/>
        <w:ind w:left="2563"/>
        <w:rPr>
          <w:rFonts w:ascii="宋体" w:hAnsi="宋体" w:eastAsia="宋体" w:cs="宋体"/>
          <w:sz w:val="17"/>
          <w:szCs w:val="17"/>
        </w:rPr>
      </w:pPr>
      <w:r>
        <w:rPr>
          <w:rFonts w:ascii="宋体" w:hAnsi="宋体" w:eastAsia="宋体" w:cs="宋体"/>
          <w:color w:val="030303"/>
          <w:spacing w:val="7"/>
          <w:sz w:val="17"/>
          <w:szCs w:val="17"/>
        </w:rPr>
        <w:t>亿美元</w:t>
      </w:r>
    </w:p>
    <w:p>
      <w:pPr>
        <w:spacing w:line="14" w:lineRule="auto"/>
        <w:rPr>
          <w:rFonts w:ascii="Arial"/>
          <w:sz w:val="2"/>
        </w:rPr>
      </w:pPr>
      <w:r>
        <w:rPr>
          <w:rFonts w:ascii="Arial" w:hAnsi="Arial" w:eastAsia="Arial" w:cs="Arial"/>
          <w:sz w:val="2"/>
          <w:szCs w:val="2"/>
        </w:rPr>
        <w:br w:type="column"/>
      </w:r>
    </w:p>
    <w:p>
      <w:pPr>
        <w:spacing w:before="46" w:line="241" w:lineRule="exact"/>
        <w:rPr>
          <w:rFonts w:ascii="Arial" w:hAnsi="Arial" w:eastAsia="Arial" w:cs="Arial"/>
          <w:sz w:val="17"/>
          <w:szCs w:val="17"/>
        </w:rPr>
      </w:pPr>
      <w:r>
        <w:rPr>
          <w:rFonts w:ascii="Arial" w:hAnsi="Arial" w:eastAsia="Arial" w:cs="Arial"/>
          <w:color w:val="231F20"/>
          <w:position w:val="1"/>
          <w:sz w:val="17"/>
          <w:szCs w:val="17"/>
        </w:rPr>
        <w:t>%</w:t>
      </w:r>
    </w:p>
    <w:p>
      <w:pPr>
        <w:sectPr>
          <w:type w:val="continuous"/>
          <w:pgSz w:w="12246" w:h="16498"/>
          <w:pgMar w:top="400" w:right="0" w:bottom="400" w:left="0" w:header="0" w:footer="0" w:gutter="0"/>
          <w:cols w:equalWidth="0" w:num="2">
            <w:col w:w="9183" w:space="100"/>
            <w:col w:w="2964"/>
          </w:cols>
        </w:sectPr>
      </w:pPr>
    </w:p>
    <w:p/>
    <w:p>
      <w:pPr>
        <w:spacing w:line="20" w:lineRule="exact"/>
      </w:pPr>
    </w:p>
    <w:tbl>
      <w:tblPr>
        <w:tblStyle w:val="4"/>
        <w:tblW w:w="6253" w:type="dxa"/>
        <w:tblInd w:w="2987" w:type="dxa"/>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Layout w:type="fixed"/>
        <w:tblCellMar>
          <w:top w:w="0" w:type="dxa"/>
          <w:left w:w="0" w:type="dxa"/>
          <w:bottom w:w="0" w:type="dxa"/>
          <w:right w:w="0" w:type="dxa"/>
        </w:tblCellMar>
      </w:tblPr>
      <w:tblGrid>
        <w:gridCol w:w="1385"/>
        <w:gridCol w:w="1214"/>
        <w:gridCol w:w="1232"/>
        <w:gridCol w:w="2422"/>
      </w:tblGrid>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290" w:hRule="atLeast"/>
        </w:trPr>
        <w:tc>
          <w:tcPr>
            <w:tcW w:w="6253" w:type="dxa"/>
            <w:gridSpan w:val="4"/>
            <w:tcBorders>
              <w:left w:val="single" w:color="231F20" w:sz="2" w:space="0"/>
              <w:right w:val="single" w:color="231F20" w:sz="2" w:space="0"/>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263" w:hRule="atLeast"/>
        </w:trPr>
        <w:tc>
          <w:tcPr>
            <w:tcW w:w="6253" w:type="dxa"/>
            <w:gridSpan w:val="4"/>
            <w:tcBorders>
              <w:left w:val="single" w:color="231F20" w:sz="2" w:space="0"/>
              <w:right w:val="single" w:color="231F20" w:sz="2" w:space="0"/>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264" w:hRule="atLeast"/>
        </w:trPr>
        <w:tc>
          <w:tcPr>
            <w:tcW w:w="6253" w:type="dxa"/>
            <w:gridSpan w:val="4"/>
            <w:tcBorders>
              <w:left w:val="single" w:color="231F20" w:sz="2" w:space="0"/>
              <w:right w:val="single" w:color="231F20" w:sz="2" w:space="0"/>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PrEx>
        <w:trPr>
          <w:trHeight w:val="264" w:hRule="atLeast"/>
        </w:trPr>
        <w:tc>
          <w:tcPr>
            <w:tcW w:w="6253" w:type="dxa"/>
            <w:gridSpan w:val="4"/>
            <w:tcBorders>
              <w:left w:val="single" w:color="231F20" w:sz="2" w:space="0"/>
              <w:right w:val="single" w:color="231F20" w:sz="2" w:space="0"/>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263" w:hRule="atLeast"/>
        </w:trPr>
        <w:tc>
          <w:tcPr>
            <w:tcW w:w="6253" w:type="dxa"/>
            <w:gridSpan w:val="4"/>
            <w:tcBorders>
              <w:left w:val="single" w:color="231F20" w:sz="2" w:space="0"/>
              <w:right w:val="single" w:color="231F20" w:sz="2" w:space="0"/>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264" w:hRule="atLeast"/>
        </w:trPr>
        <w:tc>
          <w:tcPr>
            <w:tcW w:w="6253" w:type="dxa"/>
            <w:gridSpan w:val="4"/>
            <w:tcBorders>
              <w:left w:val="single" w:color="231F20" w:sz="2" w:space="0"/>
              <w:right w:val="single" w:color="231F20" w:sz="2" w:space="0"/>
            </w:tcBorders>
            <w:vAlign w:val="top"/>
          </w:tcPr>
          <w:p>
            <w:pPr>
              <w:rPr>
                <w:rFonts w:ascii="Arial"/>
                <w:sz w:val="21"/>
              </w:rPr>
            </w:pPr>
            <w:r>
              <w:pict>
                <v:shape id="_x0000_s1049" o:spid="_x0000_s1049" o:spt="202" type="#_x0000_t202" style="position:absolute;left:0pt;margin-left:264.45pt;margin-top:2.9pt;height:12.9pt;width:29.7pt;mso-position-horizontal-relative:page;mso-position-vertical-relative:page;z-index:25171865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1</w:t>
                        </w:r>
                        <w:r>
                          <w:rPr>
                            <w:rFonts w:ascii="微软雅黑" w:hAnsi="微软雅黑" w:eastAsia="微软雅黑" w:cs="微软雅黑"/>
                            <w:color w:val="030303"/>
                            <w:spacing w:val="2"/>
                            <w:sz w:val="17"/>
                            <w:szCs w:val="17"/>
                          </w:rPr>
                          <w:t>809.6</w:t>
                        </w:r>
                      </w:p>
                    </w:txbxContent>
                  </v:textbox>
                </v:shape>
              </w:pict>
            </w: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264" w:hRule="atLeast"/>
        </w:trPr>
        <w:tc>
          <w:tcPr>
            <w:tcW w:w="6253" w:type="dxa"/>
            <w:gridSpan w:val="4"/>
            <w:tcBorders>
              <w:left w:val="single" w:color="231F20" w:sz="2" w:space="0"/>
              <w:right w:val="single" w:color="231F20" w:sz="2" w:space="0"/>
            </w:tcBorders>
            <w:vAlign w:val="top"/>
          </w:tcPr>
          <w:p>
            <w:pPr>
              <w:rPr>
                <w:rFonts w:ascii="Arial"/>
                <w:sz w:val="21"/>
              </w:rPr>
            </w:pPr>
            <w:r>
              <w:pict>
                <v:shape id="_x0000_s1050" o:spid="_x0000_s1050" o:spt="202" type="#_x0000_t202" style="position:absolute;left:0pt;margin-left:20.9pt;margin-top:-1.75pt;height:15.8pt;width:212pt;mso-position-horizontal-relative:page;mso-position-vertical-relative:page;z-index:251721728;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微软雅黑" w:hAnsi="微软雅黑" w:eastAsia="微软雅黑" w:cs="微软雅黑"/>
                            <w:sz w:val="17"/>
                            <w:szCs w:val="17"/>
                          </w:rPr>
                        </w:pPr>
                        <w:r>
                          <w:rPr>
                            <w:rFonts w:ascii="微软雅黑" w:hAnsi="微软雅黑" w:eastAsia="微软雅黑" w:cs="微软雅黑"/>
                            <w:color w:val="030303"/>
                            <w:spacing w:val="4"/>
                            <w:position w:val="-1"/>
                            <w:sz w:val="17"/>
                            <w:szCs w:val="17"/>
                          </w:rPr>
                          <w:t>136</w:t>
                        </w:r>
                        <w:r>
                          <w:rPr>
                            <w:rFonts w:ascii="微软雅黑" w:hAnsi="微软雅黑" w:eastAsia="微软雅黑" w:cs="微软雅黑"/>
                            <w:color w:val="030303"/>
                            <w:spacing w:val="2"/>
                            <w:position w:val="-1"/>
                            <w:sz w:val="17"/>
                            <w:szCs w:val="17"/>
                          </w:rPr>
                          <w:t xml:space="preserve">3.2             </w:t>
                        </w:r>
                        <w:r>
                          <w:rPr>
                            <w:rFonts w:ascii="微软雅黑" w:hAnsi="微软雅黑" w:eastAsia="微软雅黑" w:cs="微软雅黑"/>
                            <w:color w:val="030303"/>
                            <w:spacing w:val="2"/>
                            <w:position w:val="-2"/>
                            <w:sz w:val="17"/>
                            <w:szCs w:val="17"/>
                          </w:rPr>
                          <w:t xml:space="preserve">1383.1             </w:t>
                        </w:r>
                        <w:r>
                          <w:rPr>
                            <w:rFonts w:ascii="微软雅黑" w:hAnsi="微软雅黑" w:eastAsia="微软雅黑" w:cs="微软雅黑"/>
                            <w:color w:val="030303"/>
                            <w:spacing w:val="2"/>
                            <w:sz w:val="17"/>
                            <w:szCs w:val="17"/>
                          </w:rPr>
                          <w:t xml:space="preserve">1412.3            </w:t>
                        </w:r>
                        <w:r>
                          <w:rPr>
                            <w:rFonts w:ascii="微软雅黑" w:hAnsi="微软雅黑" w:eastAsia="微软雅黑" w:cs="微软雅黑"/>
                            <w:color w:val="030303"/>
                            <w:spacing w:val="2"/>
                            <w:position w:val="3"/>
                            <w:sz w:val="17"/>
                            <w:szCs w:val="17"/>
                          </w:rPr>
                          <w:t>1493.4</w:t>
                        </w:r>
                      </w:p>
                    </w:txbxContent>
                  </v:textbox>
                </v:shape>
              </w:pict>
            </w: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PrEx>
        <w:trPr>
          <w:trHeight w:val="263" w:hRule="atLeast"/>
        </w:trPr>
        <w:tc>
          <w:tcPr>
            <w:tcW w:w="6253" w:type="dxa"/>
            <w:gridSpan w:val="4"/>
            <w:tcBorders>
              <w:left w:val="single" w:color="231F20" w:sz="2" w:space="0"/>
              <w:right w:val="single" w:color="231F20" w:sz="2" w:space="0"/>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264" w:hRule="atLeast"/>
        </w:trPr>
        <w:tc>
          <w:tcPr>
            <w:tcW w:w="1385" w:type="dxa"/>
            <w:tcBorders>
              <w:left w:val="single" w:color="231F20" w:sz="2" w:space="0"/>
              <w:right w:val="nil"/>
            </w:tcBorders>
            <w:vAlign w:val="top"/>
          </w:tcPr>
          <w:p>
            <w:pPr>
              <w:spacing w:before="108" w:line="155" w:lineRule="exact"/>
              <w:ind w:left="576"/>
              <w:rPr>
                <w:rFonts w:ascii="微软雅黑" w:hAnsi="微软雅黑" w:eastAsia="微软雅黑" w:cs="微软雅黑"/>
                <w:sz w:val="17"/>
                <w:szCs w:val="17"/>
              </w:rPr>
            </w:pPr>
            <w:r>
              <w:rPr>
                <w:rFonts w:ascii="微软雅黑" w:hAnsi="微软雅黑" w:eastAsia="微软雅黑" w:cs="微软雅黑"/>
                <w:color w:val="030303"/>
                <w:spacing w:val="3"/>
                <w:position w:val="-2"/>
                <w:sz w:val="17"/>
                <w:szCs w:val="17"/>
              </w:rPr>
              <w:t>2.0%</w:t>
            </w:r>
          </w:p>
        </w:tc>
        <w:tc>
          <w:tcPr>
            <w:tcW w:w="1214" w:type="dxa"/>
            <w:tcBorders>
              <w:left w:val="nil"/>
              <w:right w:val="nil"/>
            </w:tcBorders>
            <w:vAlign w:val="top"/>
          </w:tcPr>
          <w:p>
            <w:pPr>
              <w:spacing w:before="144" w:line="119" w:lineRule="exact"/>
              <w:ind w:left="398"/>
              <w:rPr>
                <w:rFonts w:ascii="微软雅黑" w:hAnsi="微软雅黑" w:eastAsia="微软雅黑" w:cs="微软雅黑"/>
                <w:sz w:val="15"/>
                <w:szCs w:val="15"/>
              </w:rPr>
            </w:pPr>
            <w:r>
              <w:rPr>
                <w:rFonts w:ascii="微软雅黑" w:hAnsi="微软雅黑" w:eastAsia="微软雅黑" w:cs="微软雅黑"/>
                <w:color w:val="030303"/>
                <w:spacing w:val="12"/>
                <w:position w:val="-2"/>
                <w:sz w:val="15"/>
                <w:szCs w:val="15"/>
              </w:rPr>
              <w:t>1</w:t>
            </w:r>
            <w:r>
              <w:rPr>
                <w:rFonts w:ascii="微软雅黑" w:hAnsi="微软雅黑" w:eastAsia="微软雅黑" w:cs="微软雅黑"/>
                <w:color w:val="030303"/>
                <w:spacing w:val="10"/>
                <w:position w:val="-2"/>
                <w:sz w:val="15"/>
                <w:szCs w:val="15"/>
              </w:rPr>
              <w:t xml:space="preserve"> 5%</w:t>
            </w:r>
          </w:p>
        </w:tc>
        <w:tc>
          <w:tcPr>
            <w:tcW w:w="1232" w:type="dxa"/>
            <w:tcBorders>
              <w:left w:val="nil"/>
              <w:right w:val="nil"/>
            </w:tcBorders>
            <w:vAlign w:val="top"/>
          </w:tcPr>
          <w:p>
            <w:pPr>
              <w:rPr>
                <w:rFonts w:ascii="Arial"/>
                <w:sz w:val="21"/>
              </w:rPr>
            </w:pPr>
            <w:r>
              <w:pict>
                <v:shape id="_x0000_s1051" o:spid="_x0000_s1051" o:spt="202" type="#_x0000_t202" style="position:absolute;left:0pt;margin-left:20pt;margin-top:2.55pt;height:13pt;width:22.25pt;mso-position-horizontal-relative:page;mso-position-vertical-relative:page;z-index:251719680;mso-width-relative:page;mso-height-relative:page;" filled="f" stroked="f" coordsize="21600,21600">
                  <v:path/>
                  <v:fill on="f" focussize="0,0"/>
                  <v:stroke on="f"/>
                  <v:imagedata o:title=""/>
                  <o:lock v:ext="edit" aspectratio="f"/>
                  <v:textbox inset="0mm,0mm,0mm,0mm">
                    <w:txbxContent>
                      <w:p>
                        <w:pPr>
                          <w:spacing w:before="20" w:line="180" w:lineRule="auto"/>
                          <w:ind w:left="20"/>
                          <w:rPr>
                            <w:rFonts w:ascii="微软雅黑" w:hAnsi="微软雅黑" w:eastAsia="微软雅黑" w:cs="微软雅黑"/>
                            <w:sz w:val="17"/>
                            <w:szCs w:val="17"/>
                          </w:rPr>
                        </w:pPr>
                        <w:r>
                          <w:rPr>
                            <w:rFonts w:ascii="微软雅黑" w:hAnsi="微软雅黑" w:eastAsia="微软雅黑" w:cs="微软雅黑"/>
                            <w:color w:val="030303"/>
                            <w:spacing w:val="6"/>
                            <w:sz w:val="17"/>
                            <w:szCs w:val="17"/>
                          </w:rPr>
                          <w:t>2</w:t>
                        </w:r>
                        <w:r>
                          <w:rPr>
                            <w:rFonts w:ascii="微软雅黑" w:hAnsi="微软雅黑" w:eastAsia="微软雅黑" w:cs="微软雅黑"/>
                            <w:color w:val="030303"/>
                            <w:spacing w:val="3"/>
                            <w:sz w:val="17"/>
                            <w:szCs w:val="17"/>
                          </w:rPr>
                          <w:t>.1%</w:t>
                        </w:r>
                      </w:p>
                    </w:txbxContent>
                  </v:textbox>
                </v:shape>
              </w:pict>
            </w:r>
          </w:p>
        </w:tc>
        <w:tc>
          <w:tcPr>
            <w:tcW w:w="2422" w:type="dxa"/>
            <w:tcBorders>
              <w:left w:val="nil"/>
              <w:right w:val="single" w:color="231F20" w:sz="2" w:space="0"/>
            </w:tcBorders>
            <w:vAlign w:val="top"/>
          </w:tcPr>
          <w:p>
            <w:pPr>
              <w:rPr>
                <w:rFonts w:ascii="Arial"/>
                <w:sz w:val="21"/>
              </w:rPr>
            </w:pPr>
            <w:r>
              <w:pict>
                <v:shape id="_x0000_s1052" o:spid="_x0000_s1052" o:spt="202" type="#_x0000_t202" style="position:absolute;left:0pt;margin-left:19.6pt;margin-top:-0.25pt;height:12.85pt;width:22pt;mso-position-horizontal-relative:page;mso-position-vertical-relative:page;z-index:25172070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5.7</w:t>
                        </w:r>
                        <w:r>
                          <w:rPr>
                            <w:rFonts w:ascii="微软雅黑" w:hAnsi="微软雅黑" w:eastAsia="微软雅黑" w:cs="微软雅黑"/>
                            <w:color w:val="030303"/>
                            <w:spacing w:val="1"/>
                            <w:sz w:val="17"/>
                            <w:szCs w:val="17"/>
                          </w:rPr>
                          <w:t>%</w:t>
                        </w:r>
                      </w:p>
                    </w:txbxContent>
                  </v:textbox>
                </v:shape>
              </w:pict>
            </w: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12" w:hRule="atLeast"/>
        </w:trPr>
        <w:tc>
          <w:tcPr>
            <w:tcW w:w="6253" w:type="dxa"/>
            <w:gridSpan w:val="4"/>
            <w:tcBorders>
              <w:top w:val="dashed" w:color="231F20" w:sz="2" w:space="0"/>
              <w:left w:val="single" w:color="231F20" w:sz="2" w:space="0"/>
              <w:bottom w:val="single" w:color="231F20" w:sz="2" w:space="0"/>
              <w:right w:val="single" w:color="231F20" w:sz="2" w:space="0"/>
            </w:tcBorders>
            <w:vAlign w:val="top"/>
          </w:tcPr>
          <w:p>
            <w:pPr>
              <w:spacing w:line="172" w:lineRule="exact"/>
              <w:ind w:firstLine="631"/>
              <w:textAlignment w:val="center"/>
            </w:pPr>
            <w:r>
              <w:drawing>
                <wp:inline distT="0" distB="0" distL="0" distR="0">
                  <wp:extent cx="1619885" cy="109220"/>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54"/>
                          <a:stretch>
                            <a:fillRect/>
                          </a:stretch>
                        </pic:blipFill>
                        <pic:spPr>
                          <a:xfrm>
                            <a:off x="0" y="0"/>
                            <a:ext cx="1620139" cy="109236"/>
                          </a:xfrm>
                          <a:prstGeom prst="rect">
                            <a:avLst/>
                          </a:prstGeom>
                        </pic:spPr>
                      </pic:pic>
                    </a:graphicData>
                  </a:graphic>
                </wp:inline>
              </w:drawing>
            </w:r>
          </w:p>
        </w:tc>
      </w:tr>
    </w:tbl>
    <w:p>
      <w:pPr>
        <w:spacing w:before="122" w:line="186" w:lineRule="auto"/>
        <w:ind w:left="3509"/>
        <w:rPr>
          <w:rFonts w:ascii="Calibri" w:hAnsi="Calibri" w:eastAsia="Calibri" w:cs="Calibri"/>
          <w:sz w:val="17"/>
          <w:szCs w:val="17"/>
        </w:rPr>
      </w:pPr>
      <w:r>
        <w:rPr>
          <w:rFonts w:ascii="Calibri" w:hAnsi="Calibri" w:eastAsia="Calibri" w:cs="Calibri"/>
          <w:color w:val="030303"/>
          <w:spacing w:val="2"/>
          <w:sz w:val="17"/>
          <w:szCs w:val="17"/>
        </w:rPr>
        <w:t>2</w:t>
      </w:r>
      <w:r>
        <w:rPr>
          <w:rFonts w:ascii="Calibri" w:hAnsi="Calibri" w:eastAsia="Calibri" w:cs="Calibri"/>
          <w:color w:val="030303"/>
          <w:spacing w:val="1"/>
          <w:sz w:val="17"/>
          <w:szCs w:val="17"/>
        </w:rPr>
        <w:t>017                      2018                      2019                      2020                      2021</w:t>
      </w:r>
    </w:p>
    <w:p>
      <w:pPr>
        <w:spacing w:before="221" w:line="236" w:lineRule="auto"/>
        <w:ind w:left="4373"/>
        <w:rPr>
          <w:rFonts w:ascii="宋体" w:hAnsi="宋体" w:eastAsia="宋体" w:cs="宋体"/>
          <w:sz w:val="17"/>
          <w:szCs w:val="17"/>
        </w:rPr>
      </w:pPr>
      <w:r>
        <w:rPr>
          <w:rFonts w:ascii="宋体" w:hAnsi="宋体" w:eastAsia="宋体" w:cs="宋体"/>
          <w:color w:val="030303"/>
          <w:spacing w:val="13"/>
          <w:sz w:val="17"/>
          <w:szCs w:val="17"/>
        </w:rPr>
        <w:t>实</w:t>
      </w:r>
      <w:r>
        <w:rPr>
          <w:rFonts w:ascii="宋体" w:hAnsi="宋体" w:eastAsia="宋体" w:cs="宋体"/>
          <w:color w:val="030303"/>
          <w:spacing w:val="8"/>
          <w:sz w:val="17"/>
          <w:szCs w:val="17"/>
        </w:rPr>
        <w:t>际使用外资金额</w:t>
      </w:r>
      <w:r>
        <w:rPr>
          <w:position w:val="-6"/>
          <w:sz w:val="17"/>
          <w:szCs w:val="17"/>
        </w:rPr>
        <w:drawing>
          <wp:inline distT="0" distB="0" distL="0" distR="0">
            <wp:extent cx="198755" cy="14478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55"/>
                    <a:stretch>
                      <a:fillRect/>
                    </a:stretch>
                  </pic:blipFill>
                  <pic:spPr>
                    <a:xfrm>
                      <a:off x="0" y="0"/>
                      <a:ext cx="198945" cy="144843"/>
                    </a:xfrm>
                    <a:prstGeom prst="rect">
                      <a:avLst/>
                    </a:prstGeom>
                  </pic:spPr>
                </pic:pic>
              </a:graphicData>
            </a:graphic>
          </wp:inline>
        </w:drawing>
      </w:r>
      <w:r>
        <w:rPr>
          <w:sz w:val="17"/>
          <w:szCs w:val="17"/>
        </w:rPr>
        <w:drawing>
          <wp:inline distT="0" distB="0" distL="0" distR="0">
            <wp:extent cx="140335" cy="75565"/>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56"/>
                    <a:stretch>
                      <a:fillRect/>
                    </a:stretch>
                  </pic:blipFill>
                  <pic:spPr>
                    <a:xfrm>
                      <a:off x="0" y="0"/>
                      <a:ext cx="140701" cy="76134"/>
                    </a:xfrm>
                    <a:prstGeom prst="rect">
                      <a:avLst/>
                    </a:prstGeom>
                  </pic:spPr>
                </pic:pic>
              </a:graphicData>
            </a:graphic>
          </wp:inline>
        </w:drawing>
      </w:r>
      <w:r>
        <w:rPr>
          <w:rFonts w:ascii="宋体" w:hAnsi="宋体" w:eastAsia="宋体" w:cs="宋体"/>
          <w:color w:val="030303"/>
          <w:spacing w:val="8"/>
          <w:sz w:val="17"/>
          <w:szCs w:val="17"/>
        </w:rPr>
        <w:t>实际使用外资金额增长率</w:t>
      </w:r>
    </w:p>
    <w:p>
      <w:pPr>
        <w:spacing w:before="188" w:line="382" w:lineRule="exact"/>
        <w:ind w:left="4233"/>
        <w:rPr>
          <w:rFonts w:ascii="SimHei" w:hAnsi="SimHei" w:eastAsia="SimHei" w:cs="SimHei"/>
          <w:sz w:val="20"/>
          <w:szCs w:val="20"/>
        </w:rPr>
      </w:pPr>
      <w:r>
        <w:rPr>
          <w:rFonts w:ascii="SimHei" w:hAnsi="SimHei" w:eastAsia="SimHei" w:cs="SimHei"/>
          <w:color w:val="231F20"/>
          <w:spacing w:val="4"/>
          <w:position w:val="13"/>
          <w:sz w:val="20"/>
          <w:szCs w:val="20"/>
        </w:rPr>
        <w:t xml:space="preserve">图 </w:t>
      </w:r>
      <w:r>
        <w:rPr>
          <w:rFonts w:ascii="Times New Roman" w:hAnsi="Times New Roman" w:eastAsia="Times New Roman" w:cs="Times New Roman"/>
          <w:color w:val="231F20"/>
          <w:spacing w:val="4"/>
          <w:position w:val="13"/>
          <w:sz w:val="20"/>
          <w:szCs w:val="20"/>
        </w:rPr>
        <w:t>1-3</w:t>
      </w:r>
      <w:r>
        <w:rPr>
          <w:rFonts w:ascii="Times New Roman" w:hAnsi="Times New Roman" w:eastAsia="Times New Roman" w:cs="Times New Roman"/>
          <w:color w:val="231F20"/>
          <w:spacing w:val="3"/>
          <w:position w:val="13"/>
          <w:sz w:val="20"/>
          <w:szCs w:val="20"/>
        </w:rPr>
        <w:t xml:space="preserve"> </w:t>
      </w:r>
      <w:r>
        <w:rPr>
          <w:rFonts w:ascii="Times New Roman" w:hAnsi="Times New Roman" w:eastAsia="Times New Roman" w:cs="Times New Roman"/>
          <w:color w:val="231F20"/>
          <w:spacing w:val="2"/>
          <w:position w:val="13"/>
          <w:sz w:val="20"/>
          <w:szCs w:val="20"/>
        </w:rPr>
        <w:t xml:space="preserve">2017-2021 </w:t>
      </w:r>
      <w:r>
        <w:rPr>
          <w:rFonts w:ascii="SimHei" w:hAnsi="SimHei" w:eastAsia="SimHei" w:cs="SimHei"/>
          <w:color w:val="231F20"/>
          <w:spacing w:val="2"/>
          <w:position w:val="13"/>
          <w:sz w:val="20"/>
          <w:szCs w:val="20"/>
        </w:rPr>
        <w:t>年中国实际使用外资情况</w:t>
      </w:r>
    </w:p>
    <w:p>
      <w:pPr>
        <w:spacing w:before="1" w:line="190" w:lineRule="auto"/>
        <w:ind w:left="1987"/>
        <w:rPr>
          <w:rFonts w:ascii="KaiTi" w:hAnsi="KaiTi" w:eastAsia="KaiTi" w:cs="KaiTi"/>
          <w:sz w:val="17"/>
          <w:szCs w:val="17"/>
        </w:rPr>
      </w:pPr>
      <w:r>
        <w:rPr>
          <w:rFonts w:ascii="KaiTi" w:hAnsi="KaiTi" w:eastAsia="KaiTi" w:cs="KaiTi"/>
          <w:color w:val="231F20"/>
          <w:spacing w:val="6"/>
          <w:sz w:val="17"/>
          <w:szCs w:val="17"/>
        </w:rPr>
        <w:t>数据来源：商务部外资统计。</w:t>
      </w:r>
    </w:p>
    <w:p>
      <w:pPr>
        <w:sectPr>
          <w:type w:val="continuous"/>
          <w:pgSz w:w="12246" w:h="16498"/>
          <w:pgMar w:top="400" w:right="0" w:bottom="400" w:left="0" w:header="0" w:footer="0" w:gutter="0"/>
          <w:cols w:equalWidth="0" w:num="1">
            <w:col w:w="12246"/>
          </w:cols>
        </w:sectPr>
      </w:pPr>
    </w:p>
    <w:p>
      <w:pPr>
        <w:spacing w:line="241" w:lineRule="auto"/>
        <w:rPr>
          <w:rFonts w:ascii="Arial"/>
          <w:sz w:val="21"/>
        </w:rPr>
      </w:pPr>
      <w:r>
        <w:pict>
          <v:rect id="_x0000_s1053" o:spid="_x0000_s1053" o:spt="1" style="position:absolute;left:0pt;margin-left:483.55pt;margin-top:251.7pt;height:35.2pt;width:7.95pt;mso-position-horizontal-relative:page;mso-position-vertical-relative:page;z-index:251745280;mso-width-relative:page;mso-height-relative:page;" fillcolor="#FFFFFF" filled="t" stroked="f" coordsize="21600,21600" o:allowincell="f">
            <v:path/>
            <v:fill on="t" focussize="0,0"/>
            <v:stroke on="f"/>
            <v:imagedata o:title=""/>
            <o:lock v:ext="edit"/>
          </v:rect>
        </w:pict>
      </w:r>
      <w:r>
        <w:pict>
          <v:shape id="_x0000_s1054" o:spid="_x0000_s1054" o:spt="202" type="#_x0000_t202" style="position:absolute;left:0pt;margin-left:471.2pt;margin-top:134.15pt;height:150.45pt;width:20.1pt;mso-position-horizontal-relative:page;mso-position-vertical-relative:page;z-index:251730944;mso-width-relative:page;mso-height-relative:page;" filled="f" stroked="f" coordsize="21600,21600" o:allowincell="f">
            <v:path/>
            <v:fill on="f" focussize="0,0"/>
            <v:stroke on="f"/>
            <v:imagedata o:title=""/>
            <o:lock v:ext="edit" aspectratio="f"/>
            <v:textbox inset="0mm,0mm,0mm,0mm">
              <w:txbxContent>
                <w:p>
                  <w:pPr>
                    <w:spacing w:before="20" w:line="240" w:lineRule="exact"/>
                    <w:ind w:left="23"/>
                    <w:rPr>
                      <w:rFonts w:ascii="Calibri" w:hAnsi="Calibri" w:eastAsia="Calibri" w:cs="Calibri"/>
                      <w:sz w:val="17"/>
                      <w:szCs w:val="17"/>
                    </w:rPr>
                  </w:pPr>
                  <w:r>
                    <w:rPr>
                      <w:rFonts w:ascii="Calibri" w:hAnsi="Calibri" w:eastAsia="Calibri" w:cs="Calibri"/>
                      <w:color w:val="030303"/>
                      <w:spacing w:val="3"/>
                      <w:position w:val="2"/>
                      <w:sz w:val="17"/>
                      <w:szCs w:val="17"/>
                    </w:rPr>
                    <w:t>80%</w:t>
                  </w:r>
                </w:p>
                <w:p>
                  <w:pPr>
                    <w:spacing w:before="214" w:line="241" w:lineRule="exact"/>
                    <w:ind w:left="25"/>
                    <w:rPr>
                      <w:rFonts w:ascii="Calibri" w:hAnsi="Calibri" w:eastAsia="Calibri" w:cs="Calibri"/>
                      <w:sz w:val="17"/>
                      <w:szCs w:val="17"/>
                    </w:rPr>
                  </w:pPr>
                  <w:r>
                    <w:rPr>
                      <w:rFonts w:ascii="Calibri" w:hAnsi="Calibri" w:eastAsia="Calibri" w:cs="Calibri"/>
                      <w:color w:val="030303"/>
                      <w:spacing w:val="3"/>
                      <w:position w:val="2"/>
                      <w:sz w:val="17"/>
                      <w:szCs w:val="17"/>
                    </w:rPr>
                    <w:t>6</w:t>
                  </w:r>
                  <w:r>
                    <w:rPr>
                      <w:rFonts w:ascii="Calibri" w:hAnsi="Calibri" w:eastAsia="Calibri" w:cs="Calibri"/>
                      <w:color w:val="030303"/>
                      <w:spacing w:val="2"/>
                      <w:position w:val="2"/>
                      <w:sz w:val="17"/>
                      <w:szCs w:val="17"/>
                    </w:rPr>
                    <w:t>0%</w:t>
                  </w:r>
                </w:p>
                <w:p>
                  <w:pPr>
                    <w:spacing w:before="215" w:line="241" w:lineRule="exact"/>
                    <w:ind w:left="20"/>
                    <w:rPr>
                      <w:rFonts w:ascii="Calibri" w:hAnsi="Calibri" w:eastAsia="Calibri" w:cs="Calibri"/>
                      <w:sz w:val="17"/>
                      <w:szCs w:val="17"/>
                    </w:rPr>
                  </w:pPr>
                  <w:r>
                    <w:rPr>
                      <w:rFonts w:ascii="Calibri" w:hAnsi="Calibri" w:eastAsia="Calibri" w:cs="Calibri"/>
                      <w:color w:val="030303"/>
                      <w:spacing w:val="4"/>
                      <w:position w:val="2"/>
                      <w:sz w:val="17"/>
                      <w:szCs w:val="17"/>
                    </w:rPr>
                    <w:t>40%</w:t>
                  </w:r>
                </w:p>
                <w:p>
                  <w:pPr>
                    <w:spacing w:before="215" w:line="241" w:lineRule="exact"/>
                    <w:ind w:left="25"/>
                    <w:rPr>
                      <w:rFonts w:ascii="Calibri" w:hAnsi="Calibri" w:eastAsia="Calibri" w:cs="Calibri"/>
                      <w:sz w:val="17"/>
                      <w:szCs w:val="17"/>
                    </w:rPr>
                  </w:pPr>
                  <w:r>
                    <w:rPr>
                      <w:rFonts w:ascii="Calibri" w:hAnsi="Calibri" w:eastAsia="Calibri" w:cs="Calibri"/>
                      <w:color w:val="030303"/>
                      <w:spacing w:val="2"/>
                      <w:position w:val="2"/>
                      <w:sz w:val="17"/>
                      <w:szCs w:val="17"/>
                    </w:rPr>
                    <w:t>20%</w:t>
                  </w:r>
                </w:p>
                <w:p>
                  <w:pPr>
                    <w:spacing w:before="216" w:line="240" w:lineRule="exact"/>
                    <w:ind w:left="22"/>
                    <w:rPr>
                      <w:rFonts w:ascii="Calibri" w:hAnsi="Calibri" w:eastAsia="Calibri" w:cs="Calibri"/>
                      <w:sz w:val="17"/>
                      <w:szCs w:val="17"/>
                    </w:rPr>
                  </w:pPr>
                  <w:r>
                    <w:rPr>
                      <w:rFonts w:ascii="Calibri" w:hAnsi="Calibri" w:eastAsia="Calibri" w:cs="Calibri"/>
                      <w:color w:val="030303"/>
                      <w:spacing w:val="3"/>
                      <w:position w:val="2"/>
                      <w:sz w:val="17"/>
                      <w:szCs w:val="17"/>
                    </w:rPr>
                    <w:t>0</w:t>
                  </w:r>
                  <w:r>
                    <w:rPr>
                      <w:rFonts w:ascii="Calibri" w:hAnsi="Calibri" w:eastAsia="Calibri" w:cs="Calibri"/>
                      <w:color w:val="030303"/>
                      <w:spacing w:val="2"/>
                      <w:position w:val="2"/>
                      <w:sz w:val="17"/>
                      <w:szCs w:val="17"/>
                      <w:highlight w:val="white"/>
                    </w:rPr>
                    <w:t>%</w:t>
                  </w:r>
                </w:p>
                <w:p>
                  <w:pPr>
                    <w:spacing w:before="283" w:line="234" w:lineRule="auto"/>
                    <w:ind w:left="21"/>
                    <w:rPr>
                      <w:rFonts w:ascii="Calibri" w:hAnsi="Calibri" w:eastAsia="Calibri" w:cs="Calibri"/>
                      <w:sz w:val="17"/>
                      <w:szCs w:val="17"/>
                    </w:rPr>
                  </w:pPr>
                  <w:r>
                    <w:rPr>
                      <w:rFonts w:ascii="Calibri" w:hAnsi="Calibri" w:eastAsia="Calibri" w:cs="Calibri"/>
                      <w:color w:val="030303"/>
                      <w:spacing w:val="4"/>
                      <w:sz w:val="17"/>
                      <w:szCs w:val="17"/>
                    </w:rPr>
                    <w:t>-</w:t>
                  </w:r>
                  <w:r>
                    <w:rPr>
                      <w:rFonts w:ascii="Calibri" w:hAnsi="Calibri" w:eastAsia="Calibri" w:cs="Calibri"/>
                      <w:color w:val="030303"/>
                      <w:spacing w:val="3"/>
                      <w:sz w:val="17"/>
                      <w:szCs w:val="17"/>
                    </w:rPr>
                    <w:t>20%</w:t>
                  </w:r>
                </w:p>
                <w:p>
                  <w:pPr>
                    <w:spacing w:before="255" w:line="188" w:lineRule="auto"/>
                    <w:ind w:left="21"/>
                    <w:rPr>
                      <w:rFonts w:ascii="Calibri" w:hAnsi="Calibri" w:eastAsia="Calibri" w:cs="Calibri"/>
                      <w:sz w:val="17"/>
                      <w:szCs w:val="17"/>
                    </w:rPr>
                  </w:pPr>
                  <w:r>
                    <w:rPr>
                      <w:rFonts w:ascii="Calibri" w:hAnsi="Calibri" w:eastAsia="Calibri" w:cs="Calibri"/>
                      <w:color w:val="030303"/>
                      <w:spacing w:val="4"/>
                      <w:sz w:val="17"/>
                      <w:szCs w:val="17"/>
                    </w:rPr>
                    <w:t>-</w:t>
                  </w:r>
                  <w:r>
                    <w:rPr>
                      <w:rFonts w:ascii="Calibri" w:hAnsi="Calibri" w:eastAsia="Calibri" w:cs="Calibri"/>
                      <w:color w:val="030303"/>
                      <w:spacing w:val="3"/>
                      <w:sz w:val="17"/>
                      <w:szCs w:val="17"/>
                    </w:rPr>
                    <w:t>40%</w:t>
                  </w:r>
                </w:p>
              </w:txbxContent>
            </v:textbox>
          </v:shape>
        </w:pict>
      </w:r>
      <w:r>
        <w:pict>
          <v:shape id="_x0000_s1055" o:spid="_x0000_s1055" o:spt="202" type="#_x0000_t202" style="position:absolute;left:0pt;margin-left:300.7pt;margin-top:229.95pt;height:12.9pt;width:28.4pt;mso-position-horizontal-relative:page;mso-position-vertical-relative:page;z-index:251759616;mso-width-relative:page;mso-height-relative:page;" filled="f" stroked="f" coordsize="21600,21600" o:allowincell="f">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6"/>
                      <w:sz w:val="17"/>
                      <w:szCs w:val="17"/>
                    </w:rPr>
                    <w:t>4091</w:t>
                  </w:r>
                  <w:r>
                    <w:rPr>
                      <w:rFonts w:ascii="微软雅黑" w:hAnsi="微软雅黑" w:eastAsia="微软雅黑" w:cs="微软雅黑"/>
                      <w:color w:val="030303"/>
                      <w:spacing w:val="5"/>
                      <w:sz w:val="17"/>
                      <w:szCs w:val="17"/>
                    </w:rPr>
                    <w:t>0</w:t>
                  </w:r>
                </w:p>
              </w:txbxContent>
            </v:textbox>
          </v:shape>
        </w:pict>
      </w:r>
      <w:r>
        <w:pict>
          <v:shape id="_x0000_s1056" o:spid="_x0000_s1056" o:spt="202" type="#_x0000_t202" style="position:absolute;left:0pt;margin-left:177.95pt;margin-top:236.3pt;height:12.85pt;width:27.85pt;mso-position-horizontal-relative:page;mso-position-vertical-relative:page;z-index:251738112;mso-width-relative:page;mso-height-relative:page;" filled="f" stroked="f" coordsize="21600,21600" o:allowincell="f">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5"/>
                      <w:sz w:val="17"/>
                      <w:szCs w:val="17"/>
                    </w:rPr>
                    <w:t>3</w:t>
                  </w:r>
                  <w:r>
                    <w:rPr>
                      <w:rFonts w:ascii="微软雅黑" w:hAnsi="微软雅黑" w:eastAsia="微软雅黑" w:cs="微软雅黑"/>
                      <w:color w:val="030303"/>
                      <w:spacing w:val="3"/>
                      <w:sz w:val="17"/>
                      <w:szCs w:val="17"/>
                    </w:rPr>
                    <w:t>5662</w:t>
                  </w:r>
                </w:p>
              </w:txbxContent>
            </v:textbox>
          </v:shape>
        </w:pict>
      </w:r>
      <w:r>
        <w:drawing>
          <wp:anchor distT="0" distB="0" distL="0" distR="0" simplePos="0" relativeHeight="251746304" behindDoc="0" locked="0" layoutInCell="0" allowOverlap="1">
            <wp:simplePos x="0" y="0"/>
            <wp:positionH relativeFrom="page">
              <wp:posOffset>4723130</wp:posOffset>
            </wp:positionH>
            <wp:positionV relativeFrom="page">
              <wp:posOffset>2991485</wp:posOffset>
            </wp:positionV>
            <wp:extent cx="85090" cy="8509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57"/>
                    <a:stretch>
                      <a:fillRect/>
                    </a:stretch>
                  </pic:blipFill>
                  <pic:spPr>
                    <a:xfrm>
                      <a:off x="0" y="0"/>
                      <a:ext cx="85013" cy="85001"/>
                    </a:xfrm>
                    <a:prstGeom prst="rect">
                      <a:avLst/>
                    </a:prstGeom>
                  </pic:spPr>
                </pic:pic>
              </a:graphicData>
            </a:graphic>
          </wp:anchor>
        </w:drawing>
      </w:r>
      <w:r>
        <w:drawing>
          <wp:anchor distT="0" distB="0" distL="0" distR="0" simplePos="0" relativeHeight="251732992" behindDoc="0" locked="0" layoutInCell="0" allowOverlap="1">
            <wp:simplePos x="0" y="0"/>
            <wp:positionH relativeFrom="page">
              <wp:posOffset>3759835</wp:posOffset>
            </wp:positionH>
            <wp:positionV relativeFrom="page">
              <wp:posOffset>3858895</wp:posOffset>
            </wp:positionV>
            <wp:extent cx="320675" cy="175260"/>
            <wp:effectExtent l="0" t="0" r="0" b="0"/>
            <wp:wrapNone/>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58"/>
                    <a:stretch>
                      <a:fillRect/>
                    </a:stretch>
                  </pic:blipFill>
                  <pic:spPr>
                    <a:xfrm>
                      <a:off x="0" y="0"/>
                      <a:ext cx="320827" cy="175018"/>
                    </a:xfrm>
                    <a:prstGeom prst="rect">
                      <a:avLst/>
                    </a:prstGeom>
                  </pic:spPr>
                </pic:pic>
              </a:graphicData>
            </a:graphic>
          </wp:anchor>
        </w:drawing>
      </w:r>
      <w:r>
        <w:drawing>
          <wp:anchor distT="0" distB="0" distL="0" distR="0" simplePos="0" relativeHeight="25172480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5"/>
        <w:rPr>
          <w:rFonts w:ascii="Arial" w:hAnsi="Arial" w:eastAsia="Arial" w:cs="Arial"/>
          <w:sz w:val="20"/>
          <w:szCs w:val="20"/>
        </w:rPr>
      </w:pPr>
      <w:r>
        <w:rPr>
          <w:rFonts w:ascii="SimHei" w:hAnsi="SimHei" w:eastAsia="SimHei" w:cs="SimHei"/>
          <w:color w:val="1A67B3"/>
          <w:spacing w:val="26"/>
          <w:position w:val="1"/>
          <w:sz w:val="21"/>
          <w:szCs w:val="21"/>
          <w14:textOutline w14:w="3175" w14:cap="flat" w14:cmpd="sng">
            <w14:solidFill>
              <w14:srgbClr w14:val="1A67B3"/>
            </w14:solidFill>
            <w14:prstDash w14:val="solid"/>
            <w14:miter w14:val="0"/>
          </w14:textOutline>
        </w:rPr>
        <w:t>综合篇</w:t>
      </w:r>
      <w:r>
        <w:rPr>
          <w:rFonts w:ascii="SimHei" w:hAnsi="SimHei" w:eastAsia="SimHei" w:cs="SimHei"/>
          <w:color w:val="1A67B3"/>
          <w:spacing w:val="26"/>
          <w:position w:val="1"/>
          <w:sz w:val="21"/>
          <w:szCs w:val="21"/>
        </w:rPr>
        <w:t xml:space="preserve"> </w:t>
      </w:r>
      <w:r>
        <w:rPr>
          <w:position w:val="-3"/>
          <w:sz w:val="21"/>
          <w:szCs w:val="21"/>
        </w:rPr>
        <w:drawing>
          <wp:inline distT="0" distB="0" distL="0" distR="0">
            <wp:extent cx="3175" cy="147320"/>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6"/>
          <w:position w:val="1"/>
          <w:sz w:val="21"/>
          <w:szCs w:val="21"/>
        </w:rPr>
        <w:t xml:space="preserve">  </w:t>
      </w:r>
      <w:r>
        <w:rPr>
          <w:rFonts w:ascii="宋体" w:hAnsi="宋体" w:eastAsia="宋体" w:cs="宋体"/>
          <w:color w:val="537DBF"/>
          <w:spacing w:val="26"/>
          <w:position w:val="1"/>
          <w:sz w:val="21"/>
          <w:szCs w:val="21"/>
        </w:rPr>
        <w:t xml:space="preserve">中国外商投资报告 2022  </w:t>
      </w:r>
      <w:r>
        <w:rPr>
          <w:position w:val="-3"/>
          <w:sz w:val="21"/>
          <w:szCs w:val="21"/>
        </w:rPr>
        <w:drawing>
          <wp:inline distT="0" distB="0" distL="0" distR="0">
            <wp:extent cx="3175" cy="14732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6"/>
          <w:position w:val="1"/>
          <w:sz w:val="21"/>
          <w:szCs w:val="21"/>
        </w:rPr>
        <w:t xml:space="preserve">  </w:t>
      </w:r>
      <w:r>
        <w:rPr>
          <w:rFonts w:ascii="Arial" w:hAnsi="Arial" w:eastAsia="Arial" w:cs="Arial"/>
          <w:color w:val="231F20"/>
          <w:spacing w:val="22"/>
          <w:position w:val="1"/>
          <w:sz w:val="20"/>
          <w:szCs w:val="20"/>
        </w:rPr>
        <w:t>9</w:t>
      </w:r>
    </w:p>
    <w:p/>
    <w:p/>
    <w:p/>
    <w:p>
      <w:pPr>
        <w:spacing w:line="134" w:lineRule="exact"/>
      </w:pPr>
    </w:p>
    <w:p>
      <w:pPr>
        <w:sectPr>
          <w:pgSz w:w="12246" w:h="16498"/>
          <w:pgMar w:top="400" w:right="0" w:bottom="400" w:left="0" w:header="0" w:footer="0" w:gutter="0"/>
          <w:cols w:equalWidth="0" w:num="1">
            <w:col w:w="12246"/>
          </w:cols>
        </w:sectPr>
      </w:pPr>
    </w:p>
    <w:p>
      <w:pPr>
        <w:spacing w:before="51" w:line="231" w:lineRule="auto"/>
        <w:ind w:left="2743"/>
        <w:rPr>
          <w:rFonts w:ascii="宋体" w:hAnsi="宋体" w:eastAsia="宋体" w:cs="宋体"/>
          <w:sz w:val="17"/>
          <w:szCs w:val="17"/>
        </w:rPr>
      </w:pPr>
      <w:r>
        <w:rPr>
          <w:rFonts w:ascii="宋体" w:hAnsi="宋体" w:eastAsia="宋体" w:cs="宋体"/>
          <w:color w:val="030303"/>
          <w:spacing w:val="1"/>
          <w:sz w:val="17"/>
          <w:szCs w:val="17"/>
        </w:rPr>
        <w:t>家</w:t>
      </w:r>
    </w:p>
    <w:p>
      <w:pPr>
        <w:spacing w:before="170" w:line="186" w:lineRule="auto"/>
        <w:jc w:val="right"/>
        <w:rPr>
          <w:rFonts w:ascii="Calibri" w:hAnsi="Calibri" w:eastAsia="Calibri" w:cs="Calibri"/>
          <w:sz w:val="17"/>
          <w:szCs w:val="17"/>
        </w:rPr>
      </w:pPr>
      <w:r>
        <w:rPr>
          <w:rFonts w:ascii="Calibri" w:hAnsi="Calibri" w:eastAsia="Calibri" w:cs="Calibri"/>
          <w:color w:val="030303"/>
          <w:spacing w:val="3"/>
          <w:sz w:val="17"/>
          <w:szCs w:val="17"/>
        </w:rPr>
        <w:t>70000</w:t>
      </w:r>
    </w:p>
    <w:p>
      <w:pPr>
        <w:spacing w:before="229" w:line="186" w:lineRule="auto"/>
        <w:jc w:val="right"/>
        <w:rPr>
          <w:rFonts w:ascii="Calibri" w:hAnsi="Calibri" w:eastAsia="Calibri" w:cs="Calibri"/>
          <w:sz w:val="17"/>
          <w:szCs w:val="17"/>
        </w:rPr>
      </w:pPr>
      <w:r>
        <w:rPr>
          <w:rFonts w:ascii="Calibri" w:hAnsi="Calibri" w:eastAsia="Calibri" w:cs="Calibri"/>
          <w:color w:val="030303"/>
          <w:spacing w:val="3"/>
          <w:sz w:val="17"/>
          <w:szCs w:val="17"/>
        </w:rPr>
        <w:t>6000</w:t>
      </w:r>
      <w:r>
        <w:rPr>
          <w:rFonts w:ascii="Calibri" w:hAnsi="Calibri" w:eastAsia="Calibri" w:cs="Calibri"/>
          <w:color w:val="030303"/>
          <w:spacing w:val="2"/>
          <w:sz w:val="17"/>
          <w:szCs w:val="17"/>
        </w:rPr>
        <w:t>0</w:t>
      </w:r>
    </w:p>
    <w:p>
      <w:pPr>
        <w:spacing w:before="231" w:line="186" w:lineRule="auto"/>
        <w:jc w:val="right"/>
        <w:rPr>
          <w:rFonts w:ascii="Calibri" w:hAnsi="Calibri" w:eastAsia="Calibri" w:cs="Calibri"/>
          <w:sz w:val="17"/>
          <w:szCs w:val="17"/>
        </w:rPr>
      </w:pPr>
      <w:r>
        <w:rPr>
          <w:rFonts w:ascii="Calibri" w:hAnsi="Calibri" w:eastAsia="Calibri" w:cs="Calibri"/>
          <w:color w:val="030303"/>
          <w:spacing w:val="3"/>
          <w:sz w:val="17"/>
          <w:szCs w:val="17"/>
        </w:rPr>
        <w:t>50000</w:t>
      </w:r>
    </w:p>
    <w:p>
      <w:pPr>
        <w:spacing w:before="230" w:line="186" w:lineRule="auto"/>
        <w:jc w:val="right"/>
        <w:rPr>
          <w:rFonts w:ascii="Calibri" w:hAnsi="Calibri" w:eastAsia="Calibri" w:cs="Calibri"/>
          <w:sz w:val="17"/>
          <w:szCs w:val="17"/>
        </w:rPr>
      </w:pPr>
      <w:r>
        <w:rPr>
          <w:rFonts w:ascii="Calibri" w:hAnsi="Calibri" w:eastAsia="Calibri" w:cs="Calibri"/>
          <w:color w:val="030303"/>
          <w:spacing w:val="4"/>
          <w:sz w:val="17"/>
          <w:szCs w:val="17"/>
        </w:rPr>
        <w:t>4000</w:t>
      </w:r>
      <w:r>
        <w:rPr>
          <w:rFonts w:ascii="Calibri" w:hAnsi="Calibri" w:eastAsia="Calibri" w:cs="Calibri"/>
          <w:color w:val="030303"/>
          <w:spacing w:val="3"/>
          <w:sz w:val="17"/>
          <w:szCs w:val="17"/>
        </w:rPr>
        <w:t>0</w:t>
      </w:r>
    </w:p>
    <w:p>
      <w:pPr>
        <w:spacing w:before="230" w:line="186" w:lineRule="auto"/>
        <w:jc w:val="right"/>
        <w:rPr>
          <w:rFonts w:ascii="Calibri" w:hAnsi="Calibri" w:eastAsia="Calibri" w:cs="Calibri"/>
          <w:sz w:val="17"/>
          <w:szCs w:val="17"/>
        </w:rPr>
      </w:pPr>
      <w:r>
        <w:rPr>
          <w:rFonts w:ascii="Calibri" w:hAnsi="Calibri" w:eastAsia="Calibri" w:cs="Calibri"/>
          <w:color w:val="030303"/>
          <w:spacing w:val="3"/>
          <w:sz w:val="17"/>
          <w:szCs w:val="17"/>
        </w:rPr>
        <w:t>3000</w:t>
      </w:r>
      <w:r>
        <w:rPr>
          <w:rFonts w:ascii="Calibri" w:hAnsi="Calibri" w:eastAsia="Calibri" w:cs="Calibri"/>
          <w:color w:val="030303"/>
          <w:spacing w:val="2"/>
          <w:sz w:val="17"/>
          <w:szCs w:val="17"/>
        </w:rPr>
        <w:t>0</w:t>
      </w:r>
    </w:p>
    <w:p>
      <w:pPr>
        <w:spacing w:before="231" w:line="186" w:lineRule="auto"/>
        <w:jc w:val="right"/>
        <w:rPr>
          <w:rFonts w:ascii="Calibri" w:hAnsi="Calibri" w:eastAsia="Calibri" w:cs="Calibri"/>
          <w:sz w:val="17"/>
          <w:szCs w:val="17"/>
        </w:rPr>
      </w:pPr>
      <w:r>
        <w:rPr>
          <w:rFonts w:ascii="Calibri" w:hAnsi="Calibri" w:eastAsia="Calibri" w:cs="Calibri"/>
          <w:color w:val="030303"/>
          <w:spacing w:val="4"/>
          <w:sz w:val="17"/>
          <w:szCs w:val="17"/>
        </w:rPr>
        <w:t>2</w:t>
      </w:r>
      <w:r>
        <w:rPr>
          <w:rFonts w:ascii="Calibri" w:hAnsi="Calibri" w:eastAsia="Calibri" w:cs="Calibri"/>
          <w:color w:val="030303"/>
          <w:spacing w:val="3"/>
          <w:sz w:val="17"/>
          <w:szCs w:val="17"/>
        </w:rPr>
        <w:t>0</w:t>
      </w:r>
      <w:r>
        <w:rPr>
          <w:rFonts w:ascii="Calibri" w:hAnsi="Calibri" w:eastAsia="Calibri" w:cs="Calibri"/>
          <w:color w:val="030303"/>
          <w:spacing w:val="2"/>
          <w:sz w:val="17"/>
          <w:szCs w:val="17"/>
        </w:rPr>
        <w:t>000</w:t>
      </w:r>
    </w:p>
    <w:p>
      <w:pPr>
        <w:spacing w:before="230" w:line="186" w:lineRule="auto"/>
        <w:jc w:val="right"/>
        <w:rPr>
          <w:rFonts w:ascii="Calibri" w:hAnsi="Calibri" w:eastAsia="Calibri" w:cs="Calibri"/>
          <w:sz w:val="17"/>
          <w:szCs w:val="17"/>
        </w:rPr>
      </w:pPr>
      <w:r>
        <w:rPr>
          <w:rFonts w:ascii="Calibri" w:hAnsi="Calibri" w:eastAsia="Calibri" w:cs="Calibri"/>
          <w:color w:val="030303"/>
          <w:spacing w:val="2"/>
          <w:sz w:val="17"/>
          <w:szCs w:val="17"/>
        </w:rPr>
        <w:t>100</w:t>
      </w:r>
      <w:r>
        <w:rPr>
          <w:rFonts w:ascii="Calibri" w:hAnsi="Calibri" w:eastAsia="Calibri" w:cs="Calibri"/>
          <w:color w:val="030303"/>
          <w:spacing w:val="1"/>
          <w:sz w:val="17"/>
          <w:szCs w:val="17"/>
        </w:rPr>
        <w:t>00</w:t>
      </w:r>
    </w:p>
    <w:p>
      <w:pPr>
        <w:spacing w:before="231" w:line="186" w:lineRule="auto"/>
        <w:jc w:val="right"/>
        <w:rPr>
          <w:rFonts w:ascii="Calibri" w:hAnsi="Calibri" w:eastAsia="Calibri" w:cs="Calibri"/>
          <w:sz w:val="17"/>
          <w:szCs w:val="17"/>
        </w:rPr>
      </w:pPr>
      <w:r>
        <w:rPr>
          <w:rFonts w:ascii="Calibri" w:hAnsi="Calibri" w:eastAsia="Calibri" w:cs="Calibri"/>
          <w:color w:val="030303"/>
          <w:spacing w:val="-2"/>
          <w:sz w:val="17"/>
          <w:szCs w:val="17"/>
        </w:rPr>
        <w:t>0</w:t>
      </w:r>
    </w:p>
    <w:p/>
    <w:p/>
    <w:p>
      <w:pPr>
        <w:spacing w:line="198" w:lineRule="exact"/>
      </w:pPr>
    </w:p>
    <w:p>
      <w:pPr>
        <w:spacing w:line="14" w:lineRule="auto"/>
        <w:rPr>
          <w:rFonts w:ascii="Arial"/>
          <w:sz w:val="2"/>
        </w:rPr>
      </w:pPr>
      <w:r>
        <w:rPr>
          <w:rFonts w:ascii="Arial" w:hAnsi="Arial" w:eastAsia="Arial" w:cs="Arial"/>
          <w:sz w:val="2"/>
          <w:szCs w:val="2"/>
        </w:rPr>
        <w:br w:type="column"/>
      </w:r>
    </w:p>
    <w:p>
      <w:pPr>
        <w:spacing w:before="46" w:line="240" w:lineRule="exact"/>
        <w:ind w:left="6322"/>
        <w:rPr>
          <w:rFonts w:ascii="Arial" w:hAnsi="Arial" w:eastAsia="Arial" w:cs="Arial"/>
          <w:sz w:val="17"/>
          <w:szCs w:val="17"/>
        </w:rPr>
      </w:pPr>
      <w:r>
        <w:rPr>
          <w:rFonts w:ascii="Arial" w:hAnsi="Arial" w:eastAsia="Arial" w:cs="Arial"/>
          <w:color w:val="231F20"/>
          <w:position w:val="1"/>
          <w:sz w:val="17"/>
          <w:szCs w:val="17"/>
        </w:rPr>
        <w:t>%</w:t>
      </w:r>
    </w:p>
    <w:p>
      <w:pPr>
        <w:spacing w:line="129" w:lineRule="exact"/>
      </w:pPr>
    </w:p>
    <w:tbl>
      <w:tblPr>
        <w:tblStyle w:val="4"/>
        <w:tblW w:w="6259" w:type="dxa"/>
        <w:tblInd w:w="2" w:type="dxa"/>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Layout w:type="fixed"/>
        <w:tblCellMar>
          <w:top w:w="0" w:type="dxa"/>
          <w:left w:w="0" w:type="dxa"/>
          <w:bottom w:w="0" w:type="dxa"/>
          <w:right w:w="0" w:type="dxa"/>
        </w:tblCellMar>
      </w:tblPr>
      <w:tblGrid>
        <w:gridCol w:w="3222"/>
        <w:gridCol w:w="3037"/>
      </w:tblGrid>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457" w:hRule="atLeast"/>
        </w:trPr>
        <w:tc>
          <w:tcPr>
            <w:tcW w:w="6259" w:type="dxa"/>
            <w:gridSpan w:val="2"/>
            <w:tcBorders>
              <w:left w:val="single" w:color="231F20" w:sz="2" w:space="0"/>
              <w:right w:val="single" w:color="231F20" w:sz="2" w:space="0"/>
            </w:tcBorders>
            <w:vAlign w:val="top"/>
          </w:tcPr>
          <w:p>
            <w:pPr>
              <w:spacing w:before="84" w:line="176" w:lineRule="exact"/>
              <w:ind w:left="1684"/>
              <w:rPr>
                <w:rFonts w:ascii="微软雅黑" w:hAnsi="微软雅黑" w:eastAsia="微软雅黑" w:cs="微软雅黑"/>
                <w:sz w:val="17"/>
                <w:szCs w:val="17"/>
              </w:rPr>
            </w:pPr>
            <w:r>
              <w:rPr>
                <w:rFonts w:ascii="微软雅黑" w:hAnsi="微软雅黑" w:eastAsia="微软雅黑" w:cs="微软雅黑"/>
                <w:color w:val="030303"/>
                <w:spacing w:val="4"/>
                <w:position w:val="-1"/>
                <w:sz w:val="17"/>
                <w:szCs w:val="17"/>
              </w:rPr>
              <w:t>69.8</w:t>
            </w:r>
            <w:r>
              <w:rPr>
                <w:rFonts w:ascii="微软雅黑" w:hAnsi="微软雅黑" w:eastAsia="微软雅黑" w:cs="微软雅黑"/>
                <w:color w:val="030303"/>
                <w:spacing w:val="3"/>
                <w:position w:val="-1"/>
                <w:sz w:val="17"/>
                <w:szCs w:val="17"/>
              </w:rPr>
              <w:t>%</w:t>
            </w:r>
          </w:p>
          <w:p>
            <w:pPr>
              <w:spacing w:line="133" w:lineRule="exact"/>
              <w:ind w:left="1814"/>
            </w:pPr>
            <w:r>
              <w:pict>
                <v:shape id="_x0000_s1057" o:spid="_x0000_s1057" style="position:absolute;left:0pt;margin-left:93.6pt;margin-top:0.8pt;height:118.95pt;width:63.4pt;z-index:-251592704;mso-width-relative:page;mso-height-relative:page;" filled="f" stroked="t" coordsize="1268,2378" path="m22,22l1244,2356e">
                  <v:fill on="f" focussize="0,0"/>
                  <v:stroke weight="2.25pt" color="#92B165" miterlimit="10" endcap="round"/>
                  <v:imagedata o:title=""/>
                  <o:lock v:ext="edit"/>
                </v:shape>
              </w:pict>
            </w:r>
            <w:r>
              <w:pict>
                <v:shape id="_x0000_s1058" o:spid="_x0000_s1058" style="position:absolute;left:0pt;margin-left:32.45pt;margin-top:0.8pt;height:50.2pt;width:63.4pt;z-index:-251590656;mso-width-relative:page;mso-height-relative:page;" filled="f" stroked="t" coordsize="1268,1004" path="m22,981l1244,22e">
                  <v:fill on="f" focussize="0,0"/>
                  <v:stroke weight="2.25pt" color="#92B165" miterlimit="10" endcap="round"/>
                  <v:imagedata o:title=""/>
                  <o:lock v:ext="edit"/>
                </v:shape>
              </w:pict>
            </w:r>
            <w:r>
              <w:rPr>
                <w:position w:val="-3"/>
              </w:rPr>
              <w:drawing>
                <wp:inline distT="0" distB="0" distL="0" distR="0">
                  <wp:extent cx="84455" cy="84455"/>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59"/>
                          <a:stretch>
                            <a:fillRect/>
                          </a:stretch>
                        </pic:blipFill>
                        <pic:spPr>
                          <a:xfrm>
                            <a:off x="0" y="0"/>
                            <a:ext cx="85013" cy="85001"/>
                          </a:xfrm>
                          <a:prstGeom prst="rect">
                            <a:avLst/>
                          </a:prstGeom>
                        </pic:spPr>
                      </pic:pic>
                    </a:graphicData>
                  </a:graphic>
                </wp:inline>
              </w:drawing>
            </w: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86" w:hRule="atLeast"/>
        </w:trPr>
        <w:tc>
          <w:tcPr>
            <w:tcW w:w="6259" w:type="dxa"/>
            <w:gridSpan w:val="2"/>
            <w:tcBorders>
              <w:left w:val="single" w:color="231F20" w:sz="2" w:space="0"/>
              <w:right w:val="single" w:color="231F20" w:sz="2" w:space="0"/>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85" w:hRule="atLeast"/>
        </w:trPr>
        <w:tc>
          <w:tcPr>
            <w:tcW w:w="3222" w:type="dxa"/>
            <w:tcBorders>
              <w:left w:val="single" w:color="231F20" w:sz="2" w:space="0"/>
              <w:right w:val="nil"/>
            </w:tcBorders>
            <w:vAlign w:val="top"/>
          </w:tcPr>
          <w:p>
            <w:pPr>
              <w:spacing w:before="173" w:line="174" w:lineRule="auto"/>
              <w:ind w:left="538"/>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27.8</w:t>
            </w:r>
            <w:r>
              <w:rPr>
                <w:rFonts w:ascii="微软雅黑" w:hAnsi="微软雅黑" w:eastAsia="微软雅黑" w:cs="微软雅黑"/>
                <w:color w:val="030303"/>
                <w:spacing w:val="3"/>
                <w:sz w:val="17"/>
                <w:szCs w:val="17"/>
              </w:rPr>
              <w:t>%</w:t>
            </w:r>
          </w:p>
        </w:tc>
        <w:tc>
          <w:tcPr>
            <w:tcW w:w="3037" w:type="dxa"/>
            <w:tcBorders>
              <w:left w:val="nil"/>
              <w:right w:val="single" w:color="231F20" w:sz="2" w:space="0"/>
            </w:tcBorders>
            <w:vAlign w:val="top"/>
          </w:tcPr>
          <w:p>
            <w:pPr>
              <w:spacing w:before="274" w:line="111" w:lineRule="exact"/>
              <w:ind w:left="2171"/>
              <w:rPr>
                <w:rFonts w:ascii="微软雅黑" w:hAnsi="微软雅黑" w:eastAsia="微软雅黑" w:cs="微软雅黑"/>
                <w:sz w:val="14"/>
                <w:szCs w:val="14"/>
              </w:rPr>
            </w:pPr>
            <w:r>
              <w:rPr>
                <w:rFonts w:ascii="微软雅黑" w:hAnsi="微软雅黑" w:eastAsia="微软雅黑" w:cs="微软雅黑"/>
                <w:color w:val="030303"/>
                <w:spacing w:val="21"/>
                <w:position w:val="-2"/>
                <w:sz w:val="14"/>
                <w:szCs w:val="14"/>
              </w:rPr>
              <w:t>2</w:t>
            </w:r>
            <w:r>
              <w:rPr>
                <w:rFonts w:ascii="微软雅黑" w:hAnsi="微软雅黑" w:eastAsia="微软雅黑" w:cs="微软雅黑"/>
                <w:color w:val="030303"/>
                <w:spacing w:val="19"/>
                <w:position w:val="-2"/>
                <w:sz w:val="14"/>
                <w:szCs w:val="14"/>
              </w:rPr>
              <w:t>3 5%</w:t>
            </w: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85" w:hRule="atLeast"/>
        </w:trPr>
        <w:tc>
          <w:tcPr>
            <w:tcW w:w="3222" w:type="dxa"/>
            <w:tcBorders>
              <w:left w:val="single" w:color="231F20" w:sz="2" w:space="0"/>
              <w:right w:val="nil"/>
            </w:tcBorders>
            <w:vAlign w:val="top"/>
          </w:tcPr>
          <w:p>
            <w:pPr>
              <w:spacing w:line="116" w:lineRule="exact"/>
              <w:ind w:left="578"/>
            </w:pPr>
            <w:r>
              <w:rPr>
                <w:position w:val="-2"/>
              </w:rPr>
              <w:drawing>
                <wp:inline distT="0" distB="0" distL="0" distR="0">
                  <wp:extent cx="84455" cy="7366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60"/>
                          <a:stretch>
                            <a:fillRect/>
                          </a:stretch>
                        </pic:blipFill>
                        <pic:spPr>
                          <a:xfrm>
                            <a:off x="0" y="0"/>
                            <a:ext cx="85013" cy="73730"/>
                          </a:xfrm>
                          <a:prstGeom prst="rect">
                            <a:avLst/>
                          </a:prstGeom>
                        </pic:spPr>
                      </pic:pic>
                    </a:graphicData>
                  </a:graphic>
                </wp:inline>
              </w:drawing>
            </w:r>
          </w:p>
          <w:p>
            <w:pPr>
              <w:spacing w:before="122" w:line="146" w:lineRule="exact"/>
              <w:ind w:left="1660"/>
              <w:rPr>
                <w:rFonts w:ascii="微软雅黑" w:hAnsi="微软雅黑" w:eastAsia="微软雅黑" w:cs="微软雅黑"/>
                <w:sz w:val="17"/>
                <w:szCs w:val="17"/>
              </w:rPr>
            </w:pPr>
            <w:r>
              <w:rPr>
                <w:rFonts w:ascii="微软雅黑" w:hAnsi="微软雅黑" w:eastAsia="微软雅黑" w:cs="微软雅黑"/>
                <w:color w:val="030303"/>
                <w:spacing w:val="4"/>
                <w:position w:val="-2"/>
                <w:sz w:val="17"/>
                <w:szCs w:val="17"/>
              </w:rPr>
              <w:t>60560</w:t>
            </w:r>
          </w:p>
        </w:tc>
        <w:tc>
          <w:tcPr>
            <w:tcW w:w="3037" w:type="dxa"/>
            <w:tcBorders>
              <w:left w:val="nil"/>
              <w:right w:val="single" w:color="231F20" w:sz="2" w:space="0"/>
            </w:tcBorders>
            <w:vAlign w:val="top"/>
          </w:tcPr>
          <w:p>
            <w:pPr>
              <w:spacing w:before="61" w:line="134" w:lineRule="exact"/>
              <w:ind w:firstLine="2260"/>
              <w:textAlignment w:val="center"/>
            </w:pPr>
            <w:r>
              <w:drawing>
                <wp:inline distT="0" distB="0" distL="0" distR="0">
                  <wp:extent cx="84455" cy="84455"/>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61"/>
                          <a:stretch>
                            <a:fillRect/>
                          </a:stretch>
                        </pic:blipFill>
                        <pic:spPr>
                          <a:xfrm>
                            <a:off x="0" y="0"/>
                            <a:ext cx="85013" cy="85001"/>
                          </a:xfrm>
                          <a:prstGeom prst="rect">
                            <a:avLst/>
                          </a:prstGeom>
                        </pic:spPr>
                      </pic:pic>
                    </a:graphicData>
                  </a:graphic>
                </wp:inline>
              </w:drawing>
            </w: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28" w:hRule="atLeast"/>
        </w:trPr>
        <w:tc>
          <w:tcPr>
            <w:tcW w:w="6259" w:type="dxa"/>
            <w:gridSpan w:val="2"/>
            <w:tcBorders>
              <w:left w:val="single" w:color="231F20" w:sz="2" w:space="0"/>
              <w:right w:val="single" w:color="231F20" w:sz="2" w:space="0"/>
            </w:tcBorders>
            <w:vAlign w:val="top"/>
          </w:tcPr>
          <w:p>
            <w:pPr>
              <w:spacing w:before="133" w:line="195" w:lineRule="exact"/>
              <w:ind w:left="4172"/>
              <w:rPr>
                <w:rFonts w:ascii="微软雅黑" w:hAnsi="微软雅黑" w:eastAsia="微软雅黑" w:cs="微软雅黑"/>
                <w:sz w:val="17"/>
                <w:szCs w:val="17"/>
              </w:rPr>
            </w:pPr>
            <w:r>
              <w:pict>
                <v:shape id="_x0000_s1059" o:spid="_x0000_s1059" style="position:absolute;left:0pt;margin-left:215.8pt;margin-top:-14.95pt;height:35.6pt;width:63.4pt;z-index:251729920;mso-width-relative:page;mso-height-relative:page;" filled="f" stroked="t" coordsize="1268,711" path="m22,688l1244,22e">
                  <v:fill on="f" focussize="0,0"/>
                  <v:stroke weight="2.25pt" color="#92B165" miterlimit="10" endcap="round"/>
                  <v:imagedata o:title=""/>
                  <o:lock v:ext="edit"/>
                </v:shape>
              </w:pict>
            </w:r>
            <w:r>
              <w:rPr>
                <w:rFonts w:ascii="微软雅黑" w:hAnsi="微软雅黑" w:eastAsia="微软雅黑" w:cs="微软雅黑"/>
                <w:color w:val="030303"/>
                <w:spacing w:val="6"/>
                <w:position w:val="-2"/>
                <w:sz w:val="17"/>
                <w:szCs w:val="17"/>
              </w:rPr>
              <w:t>-</w:t>
            </w:r>
            <w:r>
              <w:rPr>
                <w:rFonts w:ascii="微软雅黑" w:hAnsi="微软雅黑" w:eastAsia="微软雅黑" w:cs="微软雅黑"/>
                <w:color w:val="030303"/>
                <w:spacing w:val="5"/>
                <w:position w:val="-2"/>
                <w:sz w:val="17"/>
                <w:szCs w:val="17"/>
              </w:rPr>
              <w:t>5</w:t>
            </w:r>
            <w:r>
              <w:rPr>
                <w:rFonts w:ascii="微软雅黑" w:hAnsi="微软雅黑" w:eastAsia="微软雅黑" w:cs="微软雅黑"/>
                <w:color w:val="030303"/>
                <w:spacing w:val="3"/>
                <w:position w:val="-2"/>
                <w:sz w:val="17"/>
                <w:szCs w:val="17"/>
              </w:rPr>
              <w:t xml:space="preserve">.7%             </w:t>
            </w:r>
            <w:r>
              <w:rPr>
                <w:rFonts w:ascii="微软雅黑" w:hAnsi="微软雅黑" w:eastAsia="微软雅黑" w:cs="微软雅黑"/>
                <w:color w:val="030303"/>
                <w:spacing w:val="3"/>
                <w:position w:val="-1"/>
                <w:sz w:val="17"/>
                <w:szCs w:val="17"/>
              </w:rPr>
              <w:t>47647</w:t>
            </w: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417" w:hRule="atLeast"/>
        </w:trPr>
        <w:tc>
          <w:tcPr>
            <w:tcW w:w="6259" w:type="dxa"/>
            <w:gridSpan w:val="2"/>
            <w:tcBorders>
              <w:left w:val="single" w:color="231F20" w:sz="2" w:space="0"/>
              <w:right w:val="single" w:color="231F20" w:sz="2" w:space="0"/>
            </w:tcBorders>
            <w:vAlign w:val="top"/>
          </w:tcPr>
          <w:p>
            <w:pPr>
              <w:spacing w:before="155" w:line="178" w:lineRule="auto"/>
              <w:ind w:left="4086"/>
              <w:rPr>
                <w:rFonts w:ascii="微软雅黑" w:hAnsi="微软雅黑" w:eastAsia="微软雅黑" w:cs="微软雅黑"/>
                <w:sz w:val="17"/>
                <w:szCs w:val="17"/>
              </w:rPr>
            </w:pPr>
            <w:r>
              <w:pict>
                <v:shape id="_x0000_s1060" o:spid="_x0000_s1060" style="position:absolute;left:0pt;margin-left:154.7pt;margin-top:1.65pt;height:32.85pt;width:63.4pt;z-index:-251593728;mso-width-relative:page;mso-height-relative:page;" filled="f" stroked="t" coordsize="1268,656" path="m22,633l1244,22e">
                  <v:fill on="f" focussize="0,0"/>
                  <v:stroke weight="2.25pt" color="#92B165" miterlimit="10" endcap="round"/>
                  <v:imagedata o:title=""/>
                  <o:lock v:ext="edit"/>
                </v:shape>
              </w:pict>
            </w:r>
            <w:r>
              <w:rPr>
                <w:rFonts w:ascii="微软雅黑" w:hAnsi="微软雅黑" w:eastAsia="微软雅黑" w:cs="微软雅黑"/>
                <w:color w:val="030303"/>
                <w:spacing w:val="5"/>
                <w:sz w:val="17"/>
                <w:szCs w:val="17"/>
              </w:rPr>
              <w:t>3</w:t>
            </w:r>
            <w:r>
              <w:rPr>
                <w:rFonts w:ascii="微软雅黑" w:hAnsi="微软雅黑" w:eastAsia="微软雅黑" w:cs="微软雅黑"/>
                <w:color w:val="030303"/>
                <w:spacing w:val="3"/>
                <w:sz w:val="17"/>
                <w:szCs w:val="17"/>
              </w:rPr>
              <w:t>8578</w:t>
            </w: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467" w:hRule="atLeast"/>
        </w:trPr>
        <w:tc>
          <w:tcPr>
            <w:tcW w:w="6259" w:type="dxa"/>
            <w:gridSpan w:val="2"/>
            <w:tcBorders>
              <w:top w:val="dashed" w:color="231F20" w:sz="2" w:space="0"/>
              <w:left w:val="single" w:color="231F20" w:sz="2" w:space="0"/>
              <w:bottom w:val="single" w:color="231F20" w:sz="2" w:space="0"/>
              <w:right w:val="single" w:color="231F20" w:sz="2" w:space="0"/>
            </w:tcBorders>
            <w:vAlign w:val="top"/>
          </w:tcPr>
          <w:p>
            <w:pPr>
              <w:spacing w:line="186" w:lineRule="exact"/>
              <w:ind w:left="2895"/>
              <w:rPr>
                <w:rFonts w:ascii="微软雅黑" w:hAnsi="微软雅黑" w:eastAsia="微软雅黑" w:cs="微软雅黑"/>
                <w:sz w:val="17"/>
                <w:szCs w:val="17"/>
              </w:rPr>
            </w:pPr>
            <w:r>
              <w:rPr>
                <w:rFonts w:ascii="微软雅黑" w:hAnsi="微软雅黑" w:eastAsia="微软雅黑" w:cs="微软雅黑"/>
                <w:color w:val="030303"/>
                <w:spacing w:val="5"/>
                <w:sz w:val="17"/>
                <w:szCs w:val="17"/>
              </w:rPr>
              <w:t>-</w:t>
            </w:r>
            <w:r>
              <w:rPr>
                <w:rFonts w:ascii="微软雅黑" w:hAnsi="微软雅黑" w:eastAsia="微软雅黑" w:cs="微软雅黑"/>
                <w:color w:val="030303"/>
                <w:spacing w:val="3"/>
                <w:sz w:val="17"/>
                <w:szCs w:val="17"/>
              </w:rPr>
              <w:t>32.5%</w:t>
            </w:r>
          </w:p>
          <w:p>
            <w:pPr>
              <w:spacing w:line="133" w:lineRule="exact"/>
              <w:ind w:left="3067"/>
            </w:pPr>
            <w:r>
              <w:rPr>
                <w:position w:val="-3"/>
              </w:rPr>
              <w:drawing>
                <wp:inline distT="0" distB="0" distL="0" distR="0">
                  <wp:extent cx="84455" cy="8445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62"/>
                          <a:stretch>
                            <a:fillRect/>
                          </a:stretch>
                        </pic:blipFill>
                        <pic:spPr>
                          <a:xfrm>
                            <a:off x="0" y="0"/>
                            <a:ext cx="85013" cy="85001"/>
                          </a:xfrm>
                          <a:prstGeom prst="rect">
                            <a:avLst/>
                          </a:prstGeom>
                        </pic:spPr>
                      </pic:pic>
                    </a:graphicData>
                  </a:graphic>
                </wp:inline>
              </w:drawing>
            </w:r>
          </w:p>
        </w:tc>
      </w:tr>
    </w:tbl>
    <w:p>
      <w:pPr>
        <w:spacing w:before="115" w:line="186" w:lineRule="auto"/>
        <w:ind w:left="504"/>
        <w:rPr>
          <w:rFonts w:ascii="Calibri" w:hAnsi="Calibri" w:eastAsia="Calibri" w:cs="Calibri"/>
          <w:sz w:val="17"/>
          <w:szCs w:val="17"/>
        </w:rPr>
      </w:pPr>
      <w:r>
        <w:rPr>
          <w:rFonts w:ascii="Calibri" w:hAnsi="Calibri" w:eastAsia="Calibri" w:cs="Calibri"/>
          <w:color w:val="030303"/>
          <w:spacing w:val="2"/>
          <w:sz w:val="17"/>
          <w:szCs w:val="17"/>
        </w:rPr>
        <w:t>2017                      201</w:t>
      </w:r>
      <w:r>
        <w:rPr>
          <w:rFonts w:ascii="Calibri" w:hAnsi="Calibri" w:eastAsia="Calibri" w:cs="Calibri"/>
          <w:color w:val="030303"/>
          <w:spacing w:val="1"/>
          <w:sz w:val="17"/>
          <w:szCs w:val="17"/>
        </w:rPr>
        <w:t>8                      2019                      2020                      2021</w:t>
      </w:r>
    </w:p>
    <w:p>
      <w:pPr>
        <w:spacing w:before="225" w:line="230" w:lineRule="auto"/>
        <w:ind w:left="3303"/>
        <w:rPr>
          <w:rFonts w:ascii="宋体" w:hAnsi="宋体" w:eastAsia="宋体" w:cs="宋体"/>
          <w:sz w:val="17"/>
          <w:szCs w:val="17"/>
        </w:rPr>
      </w:pPr>
      <w:r>
        <w:pict>
          <v:shape id="_x0000_s1061" o:spid="_x0000_s1061" o:spt="202" type="#_x0000_t202" style="position:absolute;left:0pt;margin-left:75.35pt;margin-top:10.25pt;height:12.6pt;width:64.55pt;z-index:251731968;mso-width-relative:page;mso-height-relative:page;" filled="f" stroked="f" coordsize="21600,21600">
            <v:path/>
            <v:fill on="f" focussize="0,0"/>
            <v:stroke on="f"/>
            <v:imagedata o:title=""/>
            <o:lock v:ext="edit" aspectratio="f"/>
            <v:textbox inset="0mm,0mm,0mm,0mm">
              <w:txbxContent>
                <w:p>
                  <w:pPr>
                    <w:spacing w:before="20" w:line="230" w:lineRule="auto"/>
                    <w:ind w:left="20"/>
                    <w:rPr>
                      <w:rFonts w:ascii="宋体" w:hAnsi="宋体" w:eastAsia="宋体" w:cs="宋体"/>
                      <w:sz w:val="17"/>
                      <w:szCs w:val="17"/>
                    </w:rPr>
                  </w:pPr>
                  <w:r>
                    <w:rPr>
                      <w:rFonts w:ascii="宋体" w:hAnsi="宋体" w:eastAsia="宋体" w:cs="宋体"/>
                      <w:color w:val="030303"/>
                      <w:spacing w:val="12"/>
                      <w:sz w:val="17"/>
                      <w:szCs w:val="17"/>
                    </w:rPr>
                    <w:t>新</w:t>
                  </w:r>
                  <w:r>
                    <w:rPr>
                      <w:rFonts w:ascii="宋体" w:hAnsi="宋体" w:eastAsia="宋体" w:cs="宋体"/>
                      <w:color w:val="030303"/>
                      <w:spacing w:val="8"/>
                      <w:sz w:val="17"/>
                      <w:szCs w:val="17"/>
                    </w:rPr>
                    <w:t>设外资企业数</w:t>
                  </w:r>
                </w:p>
              </w:txbxContent>
            </v:textbox>
          </v:shape>
        </w:pict>
      </w:r>
      <w:r>
        <w:rPr>
          <w:rFonts w:ascii="宋体" w:hAnsi="宋体" w:eastAsia="宋体" w:cs="宋体"/>
          <w:color w:val="030303"/>
          <w:spacing w:val="9"/>
          <w:sz w:val="17"/>
          <w:szCs w:val="17"/>
        </w:rPr>
        <w:t>新设外资企业数增长率</w:t>
      </w:r>
    </w:p>
    <w:p>
      <w:pPr>
        <w:sectPr>
          <w:type w:val="continuous"/>
          <w:pgSz w:w="12246" w:h="16498"/>
          <w:pgMar w:top="400" w:right="0" w:bottom="400" w:left="0" w:header="0" w:footer="0" w:gutter="0"/>
          <w:cols w:equalWidth="0" w:num="2">
            <w:col w:w="3096" w:space="50"/>
            <w:col w:w="9100"/>
          </w:cols>
        </w:sectPr>
      </w:pPr>
    </w:p>
    <w:p>
      <w:pPr>
        <w:spacing w:before="224" w:line="382" w:lineRule="exact"/>
        <w:ind w:left="3819"/>
        <w:rPr>
          <w:rFonts w:ascii="SimHei" w:hAnsi="SimHei" w:eastAsia="SimHei" w:cs="SimHei"/>
          <w:sz w:val="20"/>
          <w:szCs w:val="20"/>
        </w:rPr>
      </w:pPr>
      <w:r>
        <w:rPr>
          <w:rFonts w:ascii="SimHei" w:hAnsi="SimHei" w:eastAsia="SimHei" w:cs="SimHei"/>
          <w:color w:val="231F20"/>
          <w:spacing w:val="3"/>
          <w:position w:val="13"/>
          <w:sz w:val="20"/>
          <w:szCs w:val="20"/>
        </w:rPr>
        <w:t xml:space="preserve">图 </w:t>
      </w:r>
      <w:r>
        <w:rPr>
          <w:rFonts w:ascii="Times New Roman" w:hAnsi="Times New Roman" w:eastAsia="Times New Roman" w:cs="Times New Roman"/>
          <w:color w:val="231F20"/>
          <w:spacing w:val="3"/>
          <w:position w:val="13"/>
          <w:sz w:val="20"/>
          <w:szCs w:val="20"/>
        </w:rPr>
        <w:t xml:space="preserve">1-4 2017-2021 </w:t>
      </w:r>
      <w:r>
        <w:rPr>
          <w:rFonts w:ascii="SimHei" w:hAnsi="SimHei" w:eastAsia="SimHei" w:cs="SimHei"/>
          <w:color w:val="231F20"/>
          <w:spacing w:val="3"/>
          <w:position w:val="13"/>
          <w:sz w:val="20"/>
          <w:szCs w:val="20"/>
        </w:rPr>
        <w:t>年中国新设外资企业数量变化情况</w:t>
      </w:r>
    </w:p>
    <w:p>
      <w:pPr>
        <w:spacing w:before="1" w:line="222" w:lineRule="auto"/>
        <w:ind w:left="1987"/>
        <w:rPr>
          <w:rFonts w:ascii="KaiTi" w:hAnsi="KaiTi" w:eastAsia="KaiTi" w:cs="KaiTi"/>
          <w:sz w:val="17"/>
          <w:szCs w:val="17"/>
        </w:rPr>
      </w:pPr>
      <w:r>
        <w:rPr>
          <w:rFonts w:ascii="KaiTi" w:hAnsi="KaiTi" w:eastAsia="KaiTi" w:cs="KaiTi"/>
          <w:color w:val="231F20"/>
          <w:spacing w:val="6"/>
          <w:sz w:val="17"/>
          <w:szCs w:val="17"/>
        </w:rPr>
        <w:t>数据来源：商务部外资统计。</w:t>
      </w:r>
    </w:p>
    <w:p>
      <w:pPr>
        <w:spacing w:line="315" w:lineRule="auto"/>
        <w:rPr>
          <w:rFonts w:ascii="Arial"/>
          <w:sz w:val="21"/>
        </w:rPr>
      </w:pPr>
    </w:p>
    <w:p>
      <w:pPr>
        <w:spacing w:before="71" w:line="216"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外商投资流</w:t>
      </w:r>
      <w:r>
        <w:rPr>
          <w:rFonts w:ascii="KaiTi" w:hAnsi="KaiTi" w:eastAsia="KaiTi" w:cs="KaiTi"/>
          <w:color w:val="015DAC"/>
          <w:sz w:val="22"/>
          <w:szCs w:val="22"/>
        </w:rPr>
        <w:t>向相对集中</w:t>
      </w:r>
    </w:p>
    <w:p>
      <w:pPr>
        <w:spacing w:line="265" w:lineRule="auto"/>
        <w:rPr>
          <w:rFonts w:ascii="Arial"/>
          <w:sz w:val="21"/>
        </w:rPr>
      </w:pPr>
    </w:p>
    <w:p>
      <w:pPr>
        <w:spacing w:before="95" w:line="261" w:lineRule="auto"/>
        <w:ind w:left="1996" w:right="1981" w:firstLine="457"/>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近年来 ，</w:t>
      </w:r>
      <w:r>
        <w:rPr>
          <w:rFonts w:ascii="微软雅黑" w:hAnsi="微软雅黑" w:eastAsia="微软雅黑" w:cs="微软雅黑"/>
          <w:color w:val="231F20"/>
          <w:spacing w:val="-2"/>
          <w:sz w:val="22"/>
          <w:szCs w:val="22"/>
        </w:rPr>
        <w:t>受中国产业结构升级、制造业服务化加速发展等因素影响，  中国外商投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资更多流向了服务业。</w:t>
      </w:r>
      <w:r>
        <w:rPr>
          <w:rFonts w:ascii="Times New Roman" w:hAnsi="Times New Roman" w:eastAsia="Times New Roman" w:cs="Times New Roman"/>
          <w:color w:val="231F20"/>
          <w:spacing w:val="1"/>
          <w:sz w:val="22"/>
          <w:szCs w:val="22"/>
        </w:rPr>
        <w:t>2017-</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 ，服务业实际使用外资金额以年均 </w:t>
      </w:r>
      <w:r>
        <w:rPr>
          <w:rFonts w:ascii="Times New Roman" w:hAnsi="Times New Roman" w:eastAsia="Times New Roman" w:cs="Times New Roman"/>
          <w:color w:val="231F20"/>
          <w:sz w:val="22"/>
          <w:szCs w:val="22"/>
        </w:rPr>
        <w:t xml:space="preserve">8.4% </w:t>
      </w:r>
      <w:r>
        <w:rPr>
          <w:rFonts w:ascii="微软雅黑" w:hAnsi="微软雅黑" w:eastAsia="微软雅黑" w:cs="微软雅黑"/>
          <w:color w:val="231F20"/>
          <w:sz w:val="22"/>
          <w:szCs w:val="22"/>
        </w:rPr>
        <w:t xml:space="preserve">的增速快 </w:t>
      </w:r>
      <w:r>
        <w:rPr>
          <w:rFonts w:ascii="微软雅黑" w:hAnsi="微软雅黑" w:eastAsia="微软雅黑" w:cs="微软雅黑"/>
          <w:color w:val="231F20"/>
          <w:spacing w:val="-8"/>
          <w:sz w:val="22"/>
          <w:szCs w:val="22"/>
        </w:rPr>
        <w:t>速增长，  占</w:t>
      </w:r>
      <w:r>
        <w:rPr>
          <w:rFonts w:ascii="微软雅黑" w:hAnsi="微软雅黑" w:eastAsia="微软雅黑" w:cs="微软雅黑"/>
          <w:color w:val="231F20"/>
          <w:spacing w:val="-6"/>
          <w:sz w:val="22"/>
          <w:szCs w:val="22"/>
        </w:rPr>
        <w:t>全</w:t>
      </w:r>
      <w:r>
        <w:rPr>
          <w:rFonts w:ascii="微软雅黑" w:hAnsi="微软雅黑" w:eastAsia="微软雅黑" w:cs="微软雅黑"/>
          <w:color w:val="231F20"/>
          <w:spacing w:val="-4"/>
          <w:sz w:val="22"/>
          <w:szCs w:val="22"/>
        </w:rPr>
        <w:t xml:space="preserve">国实际使用外资的比重从 </w:t>
      </w:r>
      <w:r>
        <w:rPr>
          <w:rFonts w:ascii="Times New Roman" w:hAnsi="Times New Roman" w:eastAsia="Times New Roman" w:cs="Times New Roman"/>
          <w:color w:val="231F20"/>
          <w:spacing w:val="-4"/>
          <w:sz w:val="22"/>
          <w:szCs w:val="22"/>
        </w:rPr>
        <w:t xml:space="preserve">2017 </w:t>
      </w:r>
      <w:r>
        <w:rPr>
          <w:rFonts w:ascii="微软雅黑" w:hAnsi="微软雅黑" w:eastAsia="微软雅黑" w:cs="微软雅黑"/>
          <w:color w:val="231F20"/>
          <w:spacing w:val="-4"/>
          <w:sz w:val="22"/>
          <w:szCs w:val="22"/>
        </w:rPr>
        <w:t xml:space="preserve">年的 </w:t>
      </w:r>
      <w:r>
        <w:rPr>
          <w:rFonts w:ascii="Times New Roman" w:hAnsi="Times New Roman" w:eastAsia="Times New Roman" w:cs="Times New Roman"/>
          <w:color w:val="231F20"/>
          <w:spacing w:val="-4"/>
          <w:sz w:val="22"/>
          <w:szCs w:val="22"/>
        </w:rPr>
        <w:t xml:space="preserve">73.9% </w:t>
      </w:r>
      <w:r>
        <w:rPr>
          <w:rFonts w:ascii="微软雅黑" w:hAnsi="微软雅黑" w:eastAsia="微软雅黑" w:cs="微软雅黑"/>
          <w:color w:val="231F20"/>
          <w:spacing w:val="-4"/>
          <w:sz w:val="22"/>
          <w:szCs w:val="22"/>
        </w:rPr>
        <w:t xml:space="preserve">上升至 </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79.6%</w:t>
      </w:r>
      <w:r>
        <w:rPr>
          <w:rFonts w:ascii="微软雅黑" w:hAnsi="微软雅黑" w:eastAsia="微软雅黑" w:cs="微软雅黑"/>
          <w:color w:val="231F20"/>
          <w:spacing w:val="-4"/>
          <w:sz w:val="22"/>
          <w:szCs w:val="22"/>
        </w:rPr>
        <w:t>。制造业</w:t>
      </w:r>
    </w:p>
    <w:p>
      <w:pPr>
        <w:spacing w:line="65" w:lineRule="exact"/>
      </w:pPr>
    </w:p>
    <w:tbl>
      <w:tblPr>
        <w:tblStyle w:val="4"/>
        <w:tblW w:w="8192" w:type="dxa"/>
        <w:tblInd w:w="1989"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542"/>
        <w:gridCol w:w="7257"/>
        <w:gridCol w:w="393"/>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52" w:hRule="atLeast"/>
        </w:trPr>
        <w:tc>
          <w:tcPr>
            <w:tcW w:w="7799" w:type="dxa"/>
            <w:gridSpan w:val="2"/>
            <w:tcBorders>
              <w:top w:val="single" w:color="F6F7F7" w:sz="2" w:space="0"/>
              <w:left w:val="single" w:color="F6F7F7" w:sz="4" w:space="0"/>
            </w:tcBorders>
            <w:vAlign w:val="top"/>
          </w:tcPr>
          <w:p>
            <w:pPr>
              <w:spacing w:before="167" w:line="231" w:lineRule="auto"/>
              <w:ind w:left="72"/>
              <w:rPr>
                <w:rFonts w:ascii="宋体" w:hAnsi="宋体" w:eastAsia="宋体" w:cs="宋体"/>
                <w:sz w:val="17"/>
                <w:szCs w:val="17"/>
              </w:rPr>
            </w:pPr>
            <w:r>
              <w:rPr>
                <w:rFonts w:ascii="宋体" w:hAnsi="宋体" w:eastAsia="宋体" w:cs="宋体"/>
                <w:color w:val="030303"/>
                <w:spacing w:val="7"/>
                <w:sz w:val="17"/>
                <w:szCs w:val="17"/>
              </w:rPr>
              <w:t>亿美元</w:t>
            </w:r>
          </w:p>
        </w:tc>
        <w:tc>
          <w:tcPr>
            <w:tcW w:w="393" w:type="dxa"/>
            <w:vMerge w:val="restart"/>
            <w:tcBorders>
              <w:top w:val="single" w:color="F6F7F7" w:sz="2" w:space="0"/>
              <w:bottom w:val="nil"/>
            </w:tcBorders>
            <w:vAlign w:val="top"/>
          </w:tcPr>
          <w:p>
            <w:pPr>
              <w:spacing w:before="156" w:line="240" w:lineRule="exact"/>
              <w:ind w:left="86"/>
              <w:rPr>
                <w:rFonts w:ascii="Arial" w:hAnsi="Arial" w:eastAsia="Arial" w:cs="Arial"/>
                <w:sz w:val="17"/>
                <w:szCs w:val="17"/>
              </w:rPr>
            </w:pPr>
            <w:r>
              <w:rPr>
                <w:rFonts w:ascii="Arial" w:hAnsi="Arial" w:eastAsia="Arial" w:cs="Arial"/>
                <w:color w:val="231F20"/>
                <w:position w:val="1"/>
                <w:sz w:val="17"/>
                <w:szCs w:val="17"/>
              </w:rPr>
              <w:t>%</w:t>
            </w:r>
          </w:p>
          <w:p>
            <w:pPr>
              <w:spacing w:before="192" w:line="186" w:lineRule="auto"/>
              <w:ind w:left="51"/>
              <w:rPr>
                <w:rFonts w:ascii="Calibri" w:hAnsi="Calibri" w:eastAsia="Calibri" w:cs="Calibri"/>
                <w:sz w:val="17"/>
                <w:szCs w:val="17"/>
              </w:rPr>
            </w:pPr>
            <w:r>
              <w:rPr>
                <w:rFonts w:ascii="Calibri" w:hAnsi="Calibri" w:eastAsia="Calibri" w:cs="Calibri"/>
                <w:color w:val="030303"/>
                <w:spacing w:val="1"/>
                <w:sz w:val="17"/>
                <w:szCs w:val="17"/>
              </w:rPr>
              <w:t>90</w:t>
            </w:r>
          </w:p>
          <w:p>
            <w:pPr>
              <w:spacing w:before="218" w:line="186" w:lineRule="auto"/>
              <w:ind w:left="51"/>
              <w:rPr>
                <w:rFonts w:ascii="Calibri" w:hAnsi="Calibri" w:eastAsia="Calibri" w:cs="Calibri"/>
                <w:sz w:val="17"/>
                <w:szCs w:val="17"/>
              </w:rPr>
            </w:pPr>
            <w:r>
              <w:rPr>
                <w:rFonts w:ascii="Calibri" w:hAnsi="Calibri" w:eastAsia="Calibri" w:cs="Calibri"/>
                <w:color w:val="030303"/>
                <w:spacing w:val="1"/>
                <w:sz w:val="17"/>
                <w:szCs w:val="17"/>
              </w:rPr>
              <w:t>80</w:t>
            </w:r>
          </w:p>
          <w:p>
            <w:pPr>
              <w:spacing w:before="220" w:line="186" w:lineRule="auto"/>
              <w:ind w:left="52"/>
              <w:rPr>
                <w:rFonts w:ascii="Calibri" w:hAnsi="Calibri" w:eastAsia="Calibri" w:cs="Calibri"/>
                <w:sz w:val="17"/>
                <w:szCs w:val="17"/>
              </w:rPr>
            </w:pPr>
            <w:r>
              <w:rPr>
                <w:rFonts w:ascii="Calibri" w:hAnsi="Calibri" w:eastAsia="Calibri" w:cs="Calibri"/>
                <w:color w:val="030303"/>
                <w:spacing w:val="1"/>
                <w:sz w:val="17"/>
                <w:szCs w:val="17"/>
              </w:rPr>
              <w:t>7</w:t>
            </w:r>
            <w:r>
              <w:rPr>
                <w:rFonts w:ascii="Calibri" w:hAnsi="Calibri" w:eastAsia="Calibri" w:cs="Calibri"/>
                <w:color w:val="030303"/>
                <w:sz w:val="17"/>
                <w:szCs w:val="17"/>
              </w:rPr>
              <w:t>0</w:t>
            </w:r>
          </w:p>
          <w:p>
            <w:pPr>
              <w:spacing w:before="221" w:line="186" w:lineRule="auto"/>
              <w:ind w:left="53"/>
              <w:rPr>
                <w:rFonts w:ascii="Calibri" w:hAnsi="Calibri" w:eastAsia="Calibri" w:cs="Calibri"/>
                <w:sz w:val="17"/>
                <w:szCs w:val="17"/>
              </w:rPr>
            </w:pPr>
            <w:r>
              <w:rPr>
                <w:rFonts w:ascii="Calibri" w:hAnsi="Calibri" w:eastAsia="Calibri" w:cs="Calibri"/>
                <w:color w:val="030303"/>
                <w:sz w:val="17"/>
                <w:szCs w:val="17"/>
              </w:rPr>
              <w:t>60</w:t>
            </w:r>
          </w:p>
          <w:p>
            <w:pPr>
              <w:spacing w:before="220" w:line="186" w:lineRule="auto"/>
              <w:ind w:left="53"/>
              <w:rPr>
                <w:rFonts w:ascii="Calibri" w:hAnsi="Calibri" w:eastAsia="Calibri" w:cs="Calibri"/>
                <w:sz w:val="17"/>
                <w:szCs w:val="17"/>
              </w:rPr>
            </w:pPr>
            <w:r>
              <w:rPr>
                <w:rFonts w:ascii="Calibri" w:hAnsi="Calibri" w:eastAsia="Calibri" w:cs="Calibri"/>
                <w:color w:val="030303"/>
                <w:sz w:val="17"/>
                <w:szCs w:val="17"/>
              </w:rPr>
              <w:t>50</w:t>
            </w:r>
          </w:p>
          <w:p>
            <w:pPr>
              <w:spacing w:before="220" w:line="186" w:lineRule="auto"/>
              <w:ind w:left="48"/>
              <w:rPr>
                <w:rFonts w:ascii="Calibri" w:hAnsi="Calibri" w:eastAsia="Calibri" w:cs="Calibri"/>
                <w:sz w:val="17"/>
                <w:szCs w:val="17"/>
              </w:rPr>
            </w:pPr>
            <w:r>
              <w:rPr>
                <w:rFonts w:ascii="Calibri" w:hAnsi="Calibri" w:eastAsia="Calibri" w:cs="Calibri"/>
                <w:color w:val="030303"/>
                <w:spacing w:val="3"/>
                <w:sz w:val="17"/>
                <w:szCs w:val="17"/>
              </w:rPr>
              <w:t>4</w:t>
            </w:r>
            <w:r>
              <w:rPr>
                <w:rFonts w:ascii="Calibri" w:hAnsi="Calibri" w:eastAsia="Calibri" w:cs="Calibri"/>
                <w:color w:val="030303"/>
                <w:spacing w:val="2"/>
                <w:sz w:val="17"/>
                <w:szCs w:val="17"/>
              </w:rPr>
              <w:t>0</w:t>
            </w:r>
          </w:p>
          <w:p>
            <w:pPr>
              <w:spacing w:before="221" w:line="186" w:lineRule="auto"/>
              <w:ind w:left="53"/>
              <w:rPr>
                <w:rFonts w:ascii="Calibri" w:hAnsi="Calibri" w:eastAsia="Calibri" w:cs="Calibri"/>
                <w:sz w:val="17"/>
                <w:szCs w:val="17"/>
              </w:rPr>
            </w:pPr>
            <w:r>
              <w:rPr>
                <w:rFonts w:ascii="Calibri" w:hAnsi="Calibri" w:eastAsia="Calibri" w:cs="Calibri"/>
                <w:color w:val="030303"/>
                <w:sz w:val="17"/>
                <w:szCs w:val="17"/>
              </w:rPr>
              <w:t>30</w:t>
            </w:r>
          </w:p>
          <w:p>
            <w:pPr>
              <w:spacing w:before="220" w:line="186" w:lineRule="auto"/>
              <w:ind w:left="54"/>
              <w:rPr>
                <w:rFonts w:ascii="Calibri" w:hAnsi="Calibri" w:eastAsia="Calibri" w:cs="Calibri"/>
                <w:sz w:val="17"/>
                <w:szCs w:val="17"/>
              </w:rPr>
            </w:pPr>
            <w:r>
              <w:rPr>
                <w:rFonts w:ascii="Calibri" w:hAnsi="Calibri" w:eastAsia="Calibri" w:cs="Calibri"/>
                <w:color w:val="030303"/>
                <w:spacing w:val="-1"/>
                <w:sz w:val="17"/>
                <w:szCs w:val="17"/>
              </w:rPr>
              <w:t>2</w:t>
            </w:r>
            <w:r>
              <w:rPr>
                <w:rFonts w:ascii="Calibri" w:hAnsi="Calibri" w:eastAsia="Calibri" w:cs="Calibri"/>
                <w:color w:val="030303"/>
                <w:sz w:val="17"/>
                <w:szCs w:val="17"/>
              </w:rPr>
              <w:t>0</w:t>
            </w:r>
          </w:p>
          <w:p>
            <w:pPr>
              <w:spacing w:before="221" w:line="186" w:lineRule="auto"/>
              <w:ind w:left="59"/>
              <w:rPr>
                <w:rFonts w:ascii="Calibri" w:hAnsi="Calibri" w:eastAsia="Calibri" w:cs="Calibri"/>
                <w:sz w:val="17"/>
                <w:szCs w:val="17"/>
              </w:rPr>
            </w:pPr>
            <w:r>
              <w:rPr>
                <w:rFonts w:ascii="Calibri" w:hAnsi="Calibri" w:eastAsia="Calibri" w:cs="Calibri"/>
                <w:color w:val="030303"/>
                <w:spacing w:val="-2"/>
                <w:sz w:val="17"/>
                <w:szCs w:val="17"/>
              </w:rPr>
              <w:t>1</w:t>
            </w:r>
            <w:r>
              <w:rPr>
                <w:rFonts w:ascii="Calibri" w:hAnsi="Calibri" w:eastAsia="Calibri" w:cs="Calibri"/>
                <w:color w:val="030303"/>
                <w:spacing w:val="-1"/>
                <w:sz w:val="17"/>
                <w:szCs w:val="17"/>
              </w:rPr>
              <w:t>0</w:t>
            </w:r>
          </w:p>
          <w:p>
            <w:pPr>
              <w:spacing w:before="151" w:line="241" w:lineRule="exact"/>
              <w:ind w:left="50"/>
              <w:rPr>
                <w:rFonts w:ascii="Calibri" w:hAnsi="Calibri" w:eastAsia="Calibri" w:cs="Calibri"/>
                <w:sz w:val="17"/>
                <w:szCs w:val="17"/>
              </w:rPr>
            </w:pPr>
            <w:r>
              <w:rPr>
                <w:rFonts w:ascii="Calibri" w:hAnsi="Calibri" w:eastAsia="Calibri" w:cs="Calibri"/>
                <w:color w:val="030303"/>
                <w:spacing w:val="3"/>
                <w:position w:val="2"/>
                <w:sz w:val="17"/>
                <w:szCs w:val="17"/>
              </w:rPr>
              <w:t>0</w:t>
            </w:r>
            <w:r>
              <w:rPr>
                <w:rFonts w:ascii="Calibri" w:hAnsi="Calibri" w:eastAsia="Calibri" w:cs="Calibri"/>
                <w:color w:val="030303"/>
                <w:spacing w:val="2"/>
                <w:position w:val="2"/>
                <w:sz w:val="17"/>
                <w:szCs w:val="17"/>
                <w:highlight w:val="white"/>
              </w:rPr>
              <w:t>%</w:t>
            </w:r>
            <w:r>
              <w:rPr>
                <w:rFonts w:ascii="Calibri" w:hAnsi="Calibri" w:eastAsia="Calibri" w:cs="Calibri"/>
                <w:color w:val="030303"/>
                <w:position w:val="2"/>
                <w:sz w:val="17"/>
                <w:szCs w:val="17"/>
                <w:highlight w:val="white"/>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733" w:hRule="atLeast"/>
        </w:trPr>
        <w:tc>
          <w:tcPr>
            <w:tcW w:w="542" w:type="dxa"/>
            <w:vMerge w:val="restart"/>
            <w:tcBorders>
              <w:left w:val="single" w:color="F6F7F7" w:sz="4" w:space="0"/>
              <w:bottom w:val="nil"/>
            </w:tcBorders>
            <w:vAlign w:val="top"/>
          </w:tcPr>
          <w:p>
            <w:pPr>
              <w:spacing w:before="135" w:line="186" w:lineRule="auto"/>
              <w:ind w:left="160"/>
              <w:rPr>
                <w:rFonts w:ascii="Calibri" w:hAnsi="Calibri" w:eastAsia="Calibri" w:cs="Calibri"/>
                <w:sz w:val="17"/>
                <w:szCs w:val="17"/>
              </w:rPr>
            </w:pPr>
            <w:r>
              <w:rPr>
                <w:rFonts w:ascii="Calibri" w:hAnsi="Calibri" w:eastAsia="Calibri" w:cs="Calibri"/>
                <w:color w:val="030303"/>
                <w:spacing w:val="1"/>
                <w:sz w:val="17"/>
                <w:szCs w:val="17"/>
              </w:rPr>
              <w:t>160</w:t>
            </w:r>
            <w:r>
              <w:rPr>
                <w:rFonts w:ascii="Calibri" w:hAnsi="Calibri" w:eastAsia="Calibri" w:cs="Calibri"/>
                <w:color w:val="030303"/>
                <w:sz w:val="17"/>
                <w:szCs w:val="17"/>
              </w:rPr>
              <w:t>0</w:t>
            </w:r>
          </w:p>
          <w:p>
            <w:pPr>
              <w:spacing w:before="267" w:line="186" w:lineRule="auto"/>
              <w:ind w:left="160"/>
              <w:rPr>
                <w:rFonts w:ascii="Calibri" w:hAnsi="Calibri" w:eastAsia="Calibri" w:cs="Calibri"/>
                <w:sz w:val="17"/>
                <w:szCs w:val="17"/>
              </w:rPr>
            </w:pPr>
            <w:r>
              <w:rPr>
                <w:rFonts w:ascii="Calibri" w:hAnsi="Calibri" w:eastAsia="Calibri" w:cs="Calibri"/>
                <w:color w:val="030303"/>
                <w:spacing w:val="1"/>
                <w:sz w:val="17"/>
                <w:szCs w:val="17"/>
              </w:rPr>
              <w:t>140</w:t>
            </w:r>
            <w:r>
              <w:rPr>
                <w:rFonts w:ascii="Calibri" w:hAnsi="Calibri" w:eastAsia="Calibri" w:cs="Calibri"/>
                <w:color w:val="030303"/>
                <w:sz w:val="17"/>
                <w:szCs w:val="17"/>
              </w:rPr>
              <w:t>0</w:t>
            </w:r>
          </w:p>
          <w:p>
            <w:pPr>
              <w:spacing w:before="267" w:line="186" w:lineRule="auto"/>
              <w:ind w:left="160"/>
              <w:rPr>
                <w:rFonts w:ascii="Calibri" w:hAnsi="Calibri" w:eastAsia="Calibri" w:cs="Calibri"/>
                <w:sz w:val="17"/>
                <w:szCs w:val="17"/>
              </w:rPr>
            </w:pPr>
            <w:r>
              <w:rPr>
                <w:rFonts w:ascii="Calibri" w:hAnsi="Calibri" w:eastAsia="Calibri" w:cs="Calibri"/>
                <w:color w:val="030303"/>
                <w:spacing w:val="1"/>
                <w:sz w:val="17"/>
                <w:szCs w:val="17"/>
              </w:rPr>
              <w:t>120</w:t>
            </w:r>
            <w:r>
              <w:rPr>
                <w:rFonts w:ascii="Calibri" w:hAnsi="Calibri" w:eastAsia="Calibri" w:cs="Calibri"/>
                <w:color w:val="030303"/>
                <w:sz w:val="17"/>
                <w:szCs w:val="17"/>
              </w:rPr>
              <w:t>0</w:t>
            </w:r>
          </w:p>
          <w:p>
            <w:pPr>
              <w:spacing w:before="269" w:line="186" w:lineRule="auto"/>
              <w:ind w:left="160"/>
              <w:rPr>
                <w:rFonts w:ascii="Calibri" w:hAnsi="Calibri" w:eastAsia="Calibri" w:cs="Calibri"/>
                <w:sz w:val="17"/>
                <w:szCs w:val="17"/>
              </w:rPr>
            </w:pPr>
            <w:r>
              <w:rPr>
                <w:rFonts w:ascii="Calibri" w:hAnsi="Calibri" w:eastAsia="Calibri" w:cs="Calibri"/>
                <w:color w:val="030303"/>
                <w:spacing w:val="1"/>
                <w:sz w:val="17"/>
                <w:szCs w:val="17"/>
              </w:rPr>
              <w:t>100</w:t>
            </w:r>
            <w:r>
              <w:rPr>
                <w:rFonts w:ascii="Calibri" w:hAnsi="Calibri" w:eastAsia="Calibri" w:cs="Calibri"/>
                <w:color w:val="030303"/>
                <w:sz w:val="17"/>
                <w:szCs w:val="17"/>
              </w:rPr>
              <w:t>0</w:t>
            </w:r>
          </w:p>
          <w:p>
            <w:pPr>
              <w:spacing w:before="267" w:line="186" w:lineRule="auto"/>
              <w:ind w:left="242"/>
              <w:rPr>
                <w:rFonts w:ascii="Calibri" w:hAnsi="Calibri" w:eastAsia="Calibri" w:cs="Calibri"/>
                <w:sz w:val="17"/>
                <w:szCs w:val="17"/>
              </w:rPr>
            </w:pPr>
            <w:r>
              <w:rPr>
                <w:rFonts w:ascii="Calibri" w:hAnsi="Calibri" w:eastAsia="Calibri" w:cs="Calibri"/>
                <w:color w:val="030303"/>
                <w:spacing w:val="3"/>
                <w:sz w:val="17"/>
                <w:szCs w:val="17"/>
              </w:rPr>
              <w:t>8</w:t>
            </w:r>
            <w:r>
              <w:rPr>
                <w:rFonts w:ascii="Calibri" w:hAnsi="Calibri" w:eastAsia="Calibri" w:cs="Calibri"/>
                <w:color w:val="030303"/>
                <w:spacing w:val="2"/>
                <w:sz w:val="17"/>
                <w:szCs w:val="17"/>
              </w:rPr>
              <w:t>00</w:t>
            </w:r>
          </w:p>
          <w:p>
            <w:pPr>
              <w:spacing w:before="269" w:line="186" w:lineRule="auto"/>
              <w:ind w:left="245"/>
              <w:rPr>
                <w:rFonts w:ascii="Calibri" w:hAnsi="Calibri" w:eastAsia="Calibri" w:cs="Calibri"/>
                <w:sz w:val="17"/>
                <w:szCs w:val="17"/>
              </w:rPr>
            </w:pPr>
            <w:r>
              <w:rPr>
                <w:rFonts w:ascii="Calibri" w:hAnsi="Calibri" w:eastAsia="Calibri" w:cs="Calibri"/>
                <w:color w:val="030303"/>
                <w:spacing w:val="2"/>
                <w:sz w:val="17"/>
                <w:szCs w:val="17"/>
              </w:rPr>
              <w:t>60</w:t>
            </w:r>
            <w:r>
              <w:rPr>
                <w:rFonts w:ascii="Calibri" w:hAnsi="Calibri" w:eastAsia="Calibri" w:cs="Calibri"/>
                <w:color w:val="030303"/>
                <w:spacing w:val="1"/>
                <w:sz w:val="17"/>
                <w:szCs w:val="17"/>
              </w:rPr>
              <w:t>0</w:t>
            </w:r>
          </w:p>
          <w:p>
            <w:pPr>
              <w:spacing w:before="268" w:line="186" w:lineRule="auto"/>
              <w:ind w:left="239"/>
              <w:rPr>
                <w:rFonts w:ascii="Calibri" w:hAnsi="Calibri" w:eastAsia="Calibri" w:cs="Calibri"/>
                <w:sz w:val="17"/>
                <w:szCs w:val="17"/>
              </w:rPr>
            </w:pPr>
            <w:r>
              <w:rPr>
                <w:rFonts w:ascii="Calibri" w:hAnsi="Calibri" w:eastAsia="Calibri" w:cs="Calibri"/>
                <w:color w:val="030303"/>
                <w:spacing w:val="4"/>
                <w:sz w:val="17"/>
                <w:szCs w:val="17"/>
              </w:rPr>
              <w:t>4</w:t>
            </w:r>
            <w:r>
              <w:rPr>
                <w:rFonts w:ascii="Calibri" w:hAnsi="Calibri" w:eastAsia="Calibri" w:cs="Calibri"/>
                <w:color w:val="030303"/>
                <w:spacing w:val="3"/>
                <w:sz w:val="17"/>
                <w:szCs w:val="17"/>
              </w:rPr>
              <w:t>00</w:t>
            </w:r>
          </w:p>
          <w:p>
            <w:pPr>
              <w:spacing w:before="268" w:line="186" w:lineRule="auto"/>
              <w:ind w:left="245"/>
              <w:rPr>
                <w:rFonts w:ascii="Calibri" w:hAnsi="Calibri" w:eastAsia="Calibri" w:cs="Calibri"/>
                <w:sz w:val="17"/>
                <w:szCs w:val="17"/>
              </w:rPr>
            </w:pPr>
            <w:r>
              <w:rPr>
                <w:rFonts w:ascii="Calibri" w:hAnsi="Calibri" w:eastAsia="Calibri" w:cs="Calibri"/>
                <w:color w:val="030303"/>
                <w:spacing w:val="2"/>
                <w:sz w:val="17"/>
                <w:szCs w:val="17"/>
              </w:rPr>
              <w:t>2</w:t>
            </w:r>
            <w:r>
              <w:rPr>
                <w:rFonts w:ascii="Calibri" w:hAnsi="Calibri" w:eastAsia="Calibri" w:cs="Calibri"/>
                <w:color w:val="030303"/>
                <w:spacing w:val="1"/>
                <w:sz w:val="17"/>
                <w:szCs w:val="17"/>
              </w:rPr>
              <w:t>00</w:t>
            </w:r>
          </w:p>
          <w:p>
            <w:pPr>
              <w:spacing w:before="268" w:line="186" w:lineRule="auto"/>
              <w:ind w:left="423"/>
              <w:rPr>
                <w:rFonts w:ascii="Calibri" w:hAnsi="Calibri" w:eastAsia="Calibri" w:cs="Calibri"/>
                <w:sz w:val="17"/>
                <w:szCs w:val="17"/>
              </w:rPr>
            </w:pPr>
            <w:r>
              <w:rPr>
                <w:rFonts w:ascii="Calibri" w:hAnsi="Calibri" w:eastAsia="Calibri" w:cs="Calibri"/>
                <w:color w:val="030303"/>
                <w:sz w:val="17"/>
                <w:szCs w:val="17"/>
              </w:rPr>
              <w:t>0</w:t>
            </w:r>
          </w:p>
        </w:tc>
        <w:tc>
          <w:tcPr>
            <w:tcW w:w="7257" w:type="dxa"/>
            <w:vAlign w:val="top"/>
          </w:tcPr>
          <w:p>
            <w:pPr>
              <w:spacing w:line="104" w:lineRule="exact"/>
            </w:pPr>
            <w:r>
              <w:pict>
                <v:shape id="_x0000_s1062" o:spid="_x0000_s1062" o:spt="202" type="#_x0000_t202" style="position:absolute;left:0pt;margin-left:28.8pt;margin-top:27pt;height:12.85pt;width:27.55pt;mso-position-horizontal-relative:page;mso-position-vertical-relative:page;z-index:251749376;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73 9%</w:t>
                        </w:r>
                      </w:p>
                    </w:txbxContent>
                  </v:textbox>
                </v:shape>
              </w:pict>
            </w:r>
            <w:r>
              <w:pict>
                <v:shape id="_x0000_s1063" o:spid="_x0000_s1063" o:spt="202" type="#_x0000_t202" style="position:absolute;left:0pt;margin-left:169.9pt;margin-top:28.35pt;height:12.9pt;width:27.55pt;mso-position-horizontal-relative:page;mso-position-vertical-relative:page;z-index:251748352;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7</w:t>
                        </w:r>
                        <w:r>
                          <w:rPr>
                            <w:rFonts w:ascii="微软雅黑" w:hAnsi="微软雅黑" w:eastAsia="微软雅黑" w:cs="微软雅黑"/>
                            <w:color w:val="030303"/>
                            <w:spacing w:val="2"/>
                            <w:sz w:val="17"/>
                            <w:szCs w:val="17"/>
                          </w:rPr>
                          <w:t>3 1%</w:t>
                        </w:r>
                      </w:p>
                    </w:txbxContent>
                  </v:textbox>
                </v:shape>
              </w:pict>
            </w:r>
            <w:r>
              <w:pict>
                <v:shape id="_x0000_s1064" o:spid="_x0000_s1064" o:spt="202" type="#_x0000_t202" style="position:absolute;left:0pt;margin-left:92.4pt;margin-top:108.05pt;height:12.85pt;width:24.9pt;mso-position-horizontal-relative:page;mso-position-vertical-relative:page;z-index:251754496;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5"/>
                            <w:sz w:val="17"/>
                            <w:szCs w:val="17"/>
                          </w:rPr>
                          <w:t>9</w:t>
                        </w:r>
                        <w:r>
                          <w:rPr>
                            <w:rFonts w:ascii="微软雅黑" w:hAnsi="微软雅黑" w:eastAsia="微软雅黑" w:cs="微软雅黑"/>
                            <w:color w:val="030303"/>
                            <w:spacing w:val="3"/>
                            <w:sz w:val="17"/>
                            <w:szCs w:val="17"/>
                          </w:rPr>
                          <w:t>52.0</w:t>
                        </w:r>
                      </w:p>
                    </w:txbxContent>
                  </v:textbox>
                </v:shape>
              </w:pict>
            </w:r>
            <w:r>
              <w:pict>
                <v:shape id="_x0000_s1065" o:spid="_x0000_s1065" o:spt="202" type="#_x0000_t202" style="position:absolute;left:0pt;margin-left:313.8pt;margin-top:132.5pt;height:12.9pt;width:27.1pt;mso-position-horizontal-relative:page;mso-position-vertical-relative:page;z-index:25174732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1"/>
                            <w:sz w:val="17"/>
                            <w:szCs w:val="17"/>
                          </w:rPr>
                          <w:t>1</w:t>
                        </w:r>
                        <w:r>
                          <w:rPr>
                            <w:rFonts w:ascii="微软雅黑" w:hAnsi="微软雅黑" w:eastAsia="微软雅黑" w:cs="微软雅黑"/>
                            <w:color w:val="030303"/>
                            <w:sz w:val="17"/>
                            <w:szCs w:val="17"/>
                          </w:rPr>
                          <w:t>8 6%</w:t>
                        </w:r>
                      </w:p>
                    </w:txbxContent>
                  </v:textbox>
                </v:shape>
              </w:pict>
            </w:r>
            <w:r>
              <w:pict>
                <v:group id="_x0000_s1066" o:spid="_x0000_s1066" o:spt="203" style="position:absolute;left:0pt;margin-left:249.8pt;margin-top:28.4pt;height:6.05pt;width:6.05pt;mso-position-horizontal-relative:page;mso-position-vertical-relative:page;z-index:251744256;mso-width-relative:page;mso-height-relative:page;" coordsize="121,121">
                  <o:lock v:ext="edit"/>
                  <v:shape id="_x0000_s1067" o:spid="_x0000_s1067" style="position:absolute;left:9;top:9;height:101;width:101;" fillcolor="#37AD5A" filled="t" stroked="f" coordsize="101,101" path="m0,50c0,22,22,0,50,0c77,0,100,22,100,50c100,77,77,100,50,100c22,100,0,77,0,50e">
                    <v:path/>
                    <v:fill on="t" focussize="0,0"/>
                    <v:stroke on="f"/>
                    <v:imagedata o:title=""/>
                    <o:lock v:ext="edit"/>
                  </v:shape>
                  <v:shape id="_x0000_s1068" o:spid="_x0000_s1068" style="position:absolute;left:0;top:0;height:121;width:121;" filled="f" stroked="t" coordsize="121,121" path="m9,60c9,32,32,9,60,9c87,9,110,32,110,60c110,87,87,110,60,110c32,110,9,87,9,60e">
                    <v:fill on="f" focussize="0,0"/>
                    <v:stroke weight="1pt" color="#37AD5A" miterlimit="10" endcap="round"/>
                    <v:imagedata o:title=""/>
                    <o:lock v:ext="edit"/>
                  </v:shape>
                </v:group>
              </w:pict>
            </w:r>
          </w:p>
          <w:tbl>
            <w:tblPr>
              <w:tblStyle w:val="4"/>
              <w:tblW w:w="7183" w:type="dxa"/>
              <w:tblInd w:w="2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183"/>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22" w:hRule="atLeast"/>
              </w:trPr>
              <w:tc>
                <w:tcPr>
                  <w:tcW w:w="7183" w:type="dxa"/>
                  <w:tcBorders>
                    <w:top w:val="dashed" w:color="CEE6ED" w:sz="2" w:space="0"/>
                    <w:bottom w:val="dashed" w:color="CEE6ED" w:sz="2" w:space="0"/>
                  </w:tcBorders>
                  <w:vAlign w:val="top"/>
                </w:tcPr>
                <w:p>
                  <w:pPr>
                    <w:spacing w:before="272" w:line="145" w:lineRule="exact"/>
                    <w:ind w:left="4828"/>
                    <w:rPr>
                      <w:rFonts w:ascii="微软雅黑" w:hAnsi="微软雅黑" w:eastAsia="微软雅黑" w:cs="微软雅黑"/>
                      <w:sz w:val="17"/>
                      <w:szCs w:val="17"/>
                    </w:rPr>
                  </w:pPr>
                  <w:r>
                    <w:pict>
                      <v:shape id="_x0000_s1069" o:spid="_x0000_s1069" o:spt="202" type="#_x0000_t202" style="position:absolute;left:0pt;margin-left:313.1pt;margin-top:10.2pt;height:12.85pt;width:27.55pt;z-index:251742208;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79.6</w:t>
                              </w:r>
                              <w:r>
                                <w:rPr>
                                  <w:rFonts w:ascii="微软雅黑" w:hAnsi="微软雅黑" w:eastAsia="微软雅黑" w:cs="微软雅黑"/>
                                  <w:color w:val="030303"/>
                                  <w:spacing w:val="3"/>
                                  <w:sz w:val="17"/>
                                  <w:szCs w:val="17"/>
                                </w:rPr>
                                <w:t>%</w:t>
                              </w:r>
                            </w:p>
                          </w:txbxContent>
                        </v:textbox>
                      </v:shape>
                    </w:pict>
                  </w:r>
                  <w:r>
                    <w:rPr>
                      <w:rFonts w:ascii="微软雅黑" w:hAnsi="微软雅黑" w:eastAsia="微软雅黑" w:cs="微软雅黑"/>
                      <w:color w:val="030303"/>
                      <w:spacing w:val="4"/>
                      <w:position w:val="-2"/>
                      <w:sz w:val="17"/>
                      <w:szCs w:val="17"/>
                    </w:rPr>
                    <w:t>78.5</w:t>
                  </w:r>
                  <w:r>
                    <w:rPr>
                      <w:rFonts w:ascii="微软雅黑" w:hAnsi="微软雅黑" w:eastAsia="微软雅黑" w:cs="微软雅黑"/>
                      <w:color w:val="030303"/>
                      <w:spacing w:val="3"/>
                      <w:position w:val="-2"/>
                      <w:sz w:val="17"/>
                      <w:szCs w:val="17"/>
                    </w:rPr>
                    <w:t>%</w:t>
                  </w:r>
                </w:p>
                <w:p>
                  <w:pPr>
                    <w:spacing w:line="104" w:lineRule="exact"/>
                    <w:ind w:firstLine="5005"/>
                    <w:textAlignment w:val="center"/>
                  </w:pPr>
                  <w:r>
                    <w:pict>
                      <v:group id="_x0000_s1070" o:spid="_x0000_s1070" o:spt="203" style="height:6.4pt;width:75.25pt;" coordsize="1505,128">
                        <o:lock v:ext="edit"/>
                        <v:shape id="_x0000_s1071" o:spid="_x0000_s1071" style="position:absolute;left:0;top:35;height:91;width:1470;" filled="f" stroked="t" coordsize="1470,91" path="m24,66l1444,24e">
                          <v:fill on="f" focussize="0,0"/>
                          <v:stroke weight="2.5pt" color="#37AD5A" miterlimit="10" endcap="round"/>
                          <v:imagedata o:title=""/>
                          <o:lock v:ext="edit"/>
                        </v:shape>
                        <v:shape id="_x0000_s1072" o:spid="_x0000_s1072" style="position:absolute;left:1393;top:9;height:101;width:101;" fillcolor="#37AD5A" filled="t" stroked="f" coordsize="101,101" path="m0,50c0,22,22,0,50,0c77,0,100,22,100,50c100,77,77,100,50,100c22,100,0,77,0,50e">
                          <v:path/>
                          <v:fill on="t" focussize="0,0"/>
                          <v:stroke on="f"/>
                          <v:imagedata o:title=""/>
                          <o:lock v:ext="edit"/>
                        </v:shape>
                        <v:shape id="_x0000_s1073" o:spid="_x0000_s1073" style="position:absolute;left:1383;top:0;height:121;width:121;" filled="f" stroked="t" coordsize="121,121" path="m9,60c9,32,32,9,60,9c87,9,110,32,110,60c110,87,87,110,60,110c32,110,9,87,9,60e">
                          <v:fill on="f" focussize="0,0"/>
                          <v:stroke weight="1pt" color="#37AD5A" miterlimit="10" endcap="round"/>
                          <v:imagedata o:title=""/>
                          <o:lock v:ext="edit"/>
                        </v:shape>
                        <w10:wrap type="none"/>
                        <w10:anchorlock/>
                      </v:group>
                    </w:pic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9" w:hRule="atLeast"/>
              </w:trPr>
              <w:tc>
                <w:tcPr>
                  <w:tcW w:w="7183" w:type="dxa"/>
                  <w:tcBorders>
                    <w:top w:val="dashed" w:color="CEE6ED" w:sz="2" w:space="0"/>
                    <w:bottom w:val="dashed" w:color="CEE6ED" w:sz="2" w:space="0"/>
                  </w:tcBorders>
                  <w:vAlign w:val="top"/>
                </w:tcPr>
                <w:p>
                  <w:pPr>
                    <w:spacing w:before="41" w:line="28" w:lineRule="exact"/>
                    <w:ind w:left="783"/>
                    <w:rPr>
                      <w:rFonts w:ascii="微软雅黑" w:hAnsi="微软雅黑" w:eastAsia="微软雅黑" w:cs="微软雅黑"/>
                      <w:sz w:val="17"/>
                      <w:szCs w:val="17"/>
                    </w:rPr>
                  </w:pPr>
                  <w:r>
                    <w:pict>
                      <v:group id="_x0000_s1074" o:spid="_x0000_s1074" o:spt="203" style="position:absolute;left:0pt;margin-left:35.85pt;margin-top:5.6pt;height:6.05pt;width:6.05pt;mso-position-horizontal-relative:page;mso-position-vertical-relative:page;z-index:251735040;mso-width-relative:page;mso-height-relative:page;" coordsize="121,121">
                        <o:lock v:ext="edit"/>
                        <v:shape id="_x0000_s1075" o:spid="_x0000_s1075" style="position:absolute;left:9;top:9;height:101;width:101;" fillcolor="#37AD5A" filled="t" stroked="f" coordsize="101,101" path="m0,50c0,22,22,0,50,0c77,0,100,22,100,50c100,77,77,100,50,100c22,100,0,77,0,50e">
                          <v:path/>
                          <v:fill on="t" focussize="0,0"/>
                          <v:stroke on="f"/>
                          <v:imagedata o:title=""/>
                          <o:lock v:ext="edit"/>
                        </v:shape>
                        <v:shape id="_x0000_s1076" o:spid="_x0000_s1076" style="position:absolute;left:0;top:0;height:121;width:121;" filled="f" stroked="t" coordsize="121,121" path="m9,60c9,32,32,9,60,9c87,9,110,32,110,60c110,87,87,110,60,110c32,110,9,87,9,60e">
                          <v:fill on="f" focussize="0,0"/>
                          <v:stroke weight="1pt" color="#37AD5A" miterlimit="10" endcap="round"/>
                          <v:imagedata o:title=""/>
                          <o:lock v:ext="edit"/>
                        </v:shape>
                      </v:group>
                    </w:pict>
                  </w:r>
                  <w:r>
                    <w:pict>
                      <v:group id="_x0000_s1077" o:spid="_x0000_s1077" o:spt="203" style="position:absolute;left:0pt;margin-left:177.75pt;margin-top:7.15pt;height:6.05pt;width:6.05pt;mso-position-horizontal-relative:page;mso-position-vertical-relative:page;z-index:251734016;mso-width-relative:page;mso-height-relative:page;" coordsize="121,121">
                        <o:lock v:ext="edit"/>
                        <v:shape id="_x0000_s1078" o:spid="_x0000_s1078" style="position:absolute;left:9;top:9;height:101;width:101;" fillcolor="#37AD5A" filled="t" stroked="f" coordsize="101,101" path="m0,50c0,22,22,0,50,0c77,0,100,22,100,50c100,77,77,100,50,100c22,100,0,77,0,50e">
                          <v:path/>
                          <v:fill on="t" focussize="0,0"/>
                          <v:stroke on="f"/>
                          <v:imagedata o:title=""/>
                          <o:lock v:ext="edit"/>
                        </v:shape>
                        <v:shape id="_x0000_s1079" o:spid="_x0000_s1079" style="position:absolute;left:0;top:0;height:121;width:121;" filled="f" stroked="t" coordsize="121,121" path="m9,60c9,32,32,9,60,9c87,9,110,32,110,60c110,87,87,110,60,110c32,110,9,87,9,60e">
                          <v:fill on="f" focussize="0,0"/>
                          <v:stroke weight="1pt" color="#37AD5A" miterlimit="10" endcap="round"/>
                          <v:imagedata o:title=""/>
                          <o:lock v:ext="edit"/>
                        </v:shape>
                      </v:group>
                    </w:pict>
                  </w:r>
                  <w:r>
                    <w:rPr>
                      <w:rFonts w:ascii="微软雅黑" w:hAnsi="微软雅黑" w:eastAsia="微软雅黑" w:cs="微软雅黑"/>
                      <w:color w:val="030303"/>
                      <w:sz w:val="17"/>
                      <w:szCs w:val="17"/>
                    </w:rPr>
                    <w:t>.</w:t>
                  </w:r>
                </w:p>
                <w:p>
                  <w:pPr>
                    <w:spacing w:line="33" w:lineRule="exact"/>
                    <w:ind w:left="3604"/>
                    <w:rPr>
                      <w:rFonts w:ascii="微软雅黑" w:hAnsi="微软雅黑" w:eastAsia="微软雅黑" w:cs="微软雅黑"/>
                      <w:sz w:val="17"/>
                      <w:szCs w:val="17"/>
                    </w:rPr>
                  </w:pPr>
                  <w:r>
                    <w:pict>
                      <v:shape id="_x0000_s1080" o:spid="_x0000_s1080" style="position:absolute;left:0pt;margin-left:37.4pt;margin-top:-5.05pt;height:21pt;width:215.4pt;z-index:-251589632;mso-width-relative:page;mso-height-relative:page;" filled="f" stroked="t" coordsize="4307,420" path="m24,200l1444,394m1444,394l2863,230m2863,230l4282,24e">
                        <v:fill on="f" focussize="0,0"/>
                        <v:stroke weight="2.5pt" color="#37AD5A" miterlimit="10" endcap="round"/>
                        <v:imagedata o:title=""/>
                        <o:lock v:ext="edit"/>
                      </v:shape>
                    </w:pict>
                  </w:r>
                  <w:r>
                    <w:rPr>
                      <w:rFonts w:ascii="微软雅黑" w:hAnsi="微软雅黑" w:eastAsia="微软雅黑" w:cs="微软雅黑"/>
                      <w:color w:val="030303"/>
                      <w:sz w:val="17"/>
                      <w:szCs w:val="17"/>
                    </w:rPr>
                    <w:t>.</w:t>
                  </w:r>
                </w:p>
                <w:p>
                  <w:pPr>
                    <w:spacing w:before="1" w:line="163" w:lineRule="auto"/>
                    <w:ind w:left="2029"/>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68.8</w:t>
                  </w:r>
                  <w:r>
                    <w:rPr>
                      <w:rFonts w:ascii="微软雅黑" w:hAnsi="微软雅黑" w:eastAsia="微软雅黑" w:cs="微软雅黑"/>
                      <w:color w:val="030303"/>
                      <w:spacing w:val="3"/>
                      <w:sz w:val="17"/>
                      <w:szCs w:val="17"/>
                    </w:rPr>
                    <w:t>%</w:t>
                  </w:r>
                </w:p>
                <w:p>
                  <w:pPr>
                    <w:spacing w:line="107" w:lineRule="exact"/>
                    <w:ind w:firstLine="2132"/>
                    <w:textAlignment w:val="center"/>
                  </w:pPr>
                  <w:r>
                    <w:pict>
                      <v:group id="_x0000_s1081" o:spid="_x0000_s1081" o:spt="203" style="height:6.05pt;width:6.05pt;" coordsize="121,121">
                        <o:lock v:ext="edit"/>
                        <v:shape id="_x0000_s1082" o:spid="_x0000_s1082" style="position:absolute;left:9;top:9;height:101;width:101;" fillcolor="#37AD5A" filled="t" stroked="f" coordsize="101,101" path="m0,50c0,22,22,0,50,0c77,0,100,22,100,50c100,77,77,100,50,100c22,100,0,77,0,50e">
                          <v:path/>
                          <v:fill on="t" focussize="0,0"/>
                          <v:stroke on="f"/>
                          <v:imagedata o:title=""/>
                          <o:lock v:ext="edit"/>
                        </v:shape>
                        <v:shape id="_x0000_s1083" o:spid="_x0000_s1083" style="position:absolute;left:0;top:0;height:121;width:121;" filled="f" stroked="t" coordsize="121,121" path="m9,60c9,32,32,9,60,9c87,9,110,32,110,60c110,87,87,110,60,110c32,110,9,87,9,60e">
                          <v:fill on="f" focussize="0,0"/>
                          <v:stroke weight="1pt" color="#37AD5A" miterlimit="10" endcap="round"/>
                          <v:imagedata o:title=""/>
                          <o:lock v:ext="edit"/>
                        </v:shape>
                        <w10:wrap type="none"/>
                        <w10:anchorlock/>
                      </v:group>
                    </w:pic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32" w:hRule="atLeast"/>
              </w:trPr>
              <w:tc>
                <w:tcPr>
                  <w:tcW w:w="7183" w:type="dxa"/>
                  <w:tcBorders>
                    <w:top w:val="dashed" w:color="CEE6ED" w:sz="2" w:space="0"/>
                    <w:bottom w:val="dashed" w:color="CEE6ED" w:sz="2" w:space="0"/>
                  </w:tcBorders>
                  <w:vAlign w:val="top"/>
                </w:tcPr>
                <w:p>
                  <w:pPr>
                    <w:rPr>
                      <w:rFonts w:ascii="Arial"/>
                      <w:sz w:val="21"/>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32" w:hRule="atLeast"/>
              </w:trPr>
              <w:tc>
                <w:tcPr>
                  <w:tcW w:w="7183" w:type="dxa"/>
                  <w:tcBorders>
                    <w:top w:val="dashed" w:color="CEE6ED" w:sz="2" w:space="0"/>
                    <w:bottom w:val="dashed" w:color="CEE6ED" w:sz="2" w:space="0"/>
                  </w:tcBorders>
                  <w:vAlign w:val="top"/>
                </w:tcPr>
                <w:p>
                  <w:pPr>
                    <w:spacing w:before="211" w:line="179" w:lineRule="auto"/>
                    <w:ind w:left="6096"/>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1</w:t>
                  </w:r>
                  <w:r>
                    <w:rPr>
                      <w:rFonts w:ascii="微软雅黑" w:hAnsi="微软雅黑" w:eastAsia="微软雅黑" w:cs="微软雅黑"/>
                      <w:color w:val="030303"/>
                      <w:spacing w:val="1"/>
                      <w:sz w:val="17"/>
                      <w:szCs w:val="17"/>
                    </w:rPr>
                    <w:t>441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63" w:hRule="atLeast"/>
              </w:trPr>
              <w:tc>
                <w:tcPr>
                  <w:tcW w:w="7183" w:type="dxa"/>
                  <w:tcBorders>
                    <w:top w:val="dashed" w:color="CEE6ED" w:sz="2" w:space="0"/>
                    <w:bottom w:val="dashed" w:color="CEE6ED" w:sz="2" w:space="0"/>
                  </w:tcBorders>
                  <w:vAlign w:val="top"/>
                </w:tcPr>
                <w:p>
                  <w:pPr>
                    <w:spacing w:before="163" w:line="164" w:lineRule="auto"/>
                    <w:ind w:left="3201"/>
                    <w:rPr>
                      <w:rFonts w:ascii="微软雅黑" w:hAnsi="微软雅黑" w:eastAsia="微软雅黑" w:cs="微软雅黑"/>
                      <w:sz w:val="17"/>
                      <w:szCs w:val="17"/>
                    </w:rPr>
                  </w:pPr>
                  <w:r>
                    <w:pict>
                      <v:shape id="_x0000_s1084" o:spid="_x0000_s1084" o:spt="202" type="#_x0000_t202" style="position:absolute;left:0pt;margin-left:16.15pt;margin-top:6.8pt;height:12.9pt;width:29.7pt;z-index:251755520;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1</w:t>
                              </w:r>
                              <w:r>
                                <w:rPr>
                                  <w:rFonts w:ascii="微软雅黑" w:hAnsi="微软雅黑" w:eastAsia="微软雅黑" w:cs="微软雅黑"/>
                                  <w:color w:val="030303"/>
                                  <w:spacing w:val="2"/>
                                  <w:sz w:val="17"/>
                                  <w:szCs w:val="17"/>
                                </w:rPr>
                                <w:t>007.2</w:t>
                              </w:r>
                            </w:p>
                          </w:txbxContent>
                        </v:textbox>
                      </v:shape>
                    </w:pict>
                  </w:r>
                  <w:r>
                    <w:pict>
                      <v:shape id="_x0000_s1085" o:spid="_x0000_s1085" o:spt="202" type="#_x0000_t202" style="position:absolute;left:0pt;margin-left:230pt;margin-top:2.4pt;height:12.9pt;width:29.7pt;z-index:25175756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1</w:t>
                              </w:r>
                              <w:r>
                                <w:rPr>
                                  <w:rFonts w:ascii="微软雅黑" w:hAnsi="微软雅黑" w:eastAsia="微软雅黑" w:cs="微软雅黑"/>
                                  <w:color w:val="030303"/>
                                  <w:spacing w:val="2"/>
                                  <w:sz w:val="17"/>
                                  <w:szCs w:val="17"/>
                                </w:rPr>
                                <w:t>172.6</w:t>
                              </w:r>
                            </w:p>
                          </w:txbxContent>
                        </v:textbox>
                      </v:shape>
                    </w:pict>
                  </w:r>
                  <w:r>
                    <w:rPr>
                      <w:rFonts w:ascii="微软雅黑" w:hAnsi="微软雅黑" w:eastAsia="微软雅黑" w:cs="微软雅黑"/>
                      <w:color w:val="030303"/>
                      <w:spacing w:val="3"/>
                      <w:sz w:val="17"/>
                      <w:szCs w:val="17"/>
                    </w:rPr>
                    <w:t>1</w:t>
                  </w:r>
                  <w:r>
                    <w:rPr>
                      <w:rFonts w:ascii="微软雅黑" w:hAnsi="微软雅黑" w:eastAsia="微软雅黑" w:cs="微软雅黑"/>
                      <w:color w:val="030303"/>
                      <w:spacing w:val="2"/>
                      <w:sz w:val="17"/>
                      <w:szCs w:val="17"/>
                    </w:rPr>
                    <w:t>032.0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32" w:hRule="atLeast"/>
              </w:trPr>
              <w:tc>
                <w:tcPr>
                  <w:tcW w:w="7183" w:type="dxa"/>
                  <w:tcBorders>
                    <w:top w:val="dashed" w:color="CEE6ED" w:sz="2" w:space="0"/>
                    <w:bottom w:val="dashed" w:color="CEE6ED" w:sz="2" w:space="0"/>
                  </w:tcBorders>
                  <w:vAlign w:val="top"/>
                </w:tcPr>
                <w:p>
                  <w:pPr>
                    <w:spacing w:before="167" w:line="131" w:lineRule="exact"/>
                    <w:ind w:left="566"/>
                    <w:rPr>
                      <w:rFonts w:ascii="微软雅黑" w:hAnsi="微软雅黑" w:eastAsia="微软雅黑" w:cs="微软雅黑"/>
                      <w:sz w:val="16"/>
                      <w:szCs w:val="16"/>
                    </w:rPr>
                  </w:pPr>
                  <w:r>
                    <w:pict>
                      <v:shape id="_x0000_s1086" o:spid="_x0000_s1086" o:spt="202" type="#_x0000_t202" style="position:absolute;left:0pt;margin-left:171.95pt;margin-top:5.95pt;height:12.85pt;width:27.55pt;z-index:251751424;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25.0</w:t>
                              </w:r>
                              <w:r>
                                <w:rPr>
                                  <w:rFonts w:ascii="微软雅黑" w:hAnsi="微软雅黑" w:eastAsia="微软雅黑" w:cs="微软雅黑"/>
                                  <w:color w:val="030303"/>
                                  <w:spacing w:val="3"/>
                                  <w:sz w:val="17"/>
                                  <w:szCs w:val="17"/>
                                </w:rPr>
                                <w:t>%</w:t>
                              </w:r>
                            </w:p>
                          </w:txbxContent>
                        </v:textbox>
                      </v:shape>
                    </w:pict>
                  </w:r>
                  <w:r>
                    <w:pict>
                      <v:shape id="_x0000_s1087" o:spid="_x0000_s1087" o:spt="202" type="#_x0000_t202" style="position:absolute;left:0pt;margin-left:100.55pt;margin-top:12.2pt;height:12.85pt;width:27.55pt;z-index:251750400;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29.8</w:t>
                              </w:r>
                              <w:r>
                                <w:rPr>
                                  <w:rFonts w:ascii="微软雅黑" w:hAnsi="微软雅黑" w:eastAsia="微软雅黑" w:cs="微软雅黑"/>
                                  <w:color w:val="030303"/>
                                  <w:spacing w:val="3"/>
                                  <w:sz w:val="17"/>
                                  <w:szCs w:val="17"/>
                                </w:rPr>
                                <w:t>%</w:t>
                              </w:r>
                            </w:p>
                          </w:txbxContent>
                        </v:textbox>
                      </v:shape>
                    </w:pict>
                  </w:r>
                  <w:r>
                    <w:pict>
                      <v:shape id="_x0000_s1088" o:spid="_x0000_s1088" style="position:absolute;left:0pt;margin-left:37.55pt;margin-top:8.55pt;height:12.2pt;width:144.2pt;z-index:-251588608;mso-width-relative:page;mso-height-relative:page;" filled="f" stroked="t" coordsize="2883,243" path="m22,220l1441,22m1441,22l2860,203e">
                        <v:fill on="f" focussize="0,0"/>
                        <v:stroke weight="2.25pt" color="#86A9CB" miterlimit="10" endcap="round"/>
                        <v:imagedata o:title=""/>
                        <o:lock v:ext="edit"/>
                      </v:shape>
                    </w:pict>
                  </w:r>
                  <w:r>
                    <w:pict>
                      <v:shape id="_x0000_s1089" o:spid="_x0000_s1089" style="position:absolute;left:0pt;margin-left:107.3pt;margin-top:7.45pt;height:5.05pt;width:5.05pt;mso-position-horizontal-relative:page;mso-position-vertical-relative:page;z-index:251737088;mso-width-relative:page;mso-height-relative:page;" fillcolor="#86A9CB" filled="t" stroked="f" coordsize="101,101" path="m0,50c0,22,22,0,50,0c77,0,100,22,100,50c100,77,77,100,50,100c22,100,0,77,0,50e">
                        <v:path/>
                        <v:fill on="t" focussize="0,0"/>
                        <v:stroke on="f"/>
                        <v:imagedata o:title=""/>
                        <o:lock v:ext="edit"/>
                      </v:shape>
                    </w:pict>
                  </w:r>
                  <w:r>
                    <w:pict>
                      <v:shape id="_x0000_s1090" o:spid="_x0000_s1090" style="position:absolute;left:0pt;margin-left:178.25pt;margin-top:16.45pt;height:5.05pt;width:5.05pt;mso-position-horizontal-relative:page;mso-position-vertical-relative:page;z-index:251743232;mso-width-relative:page;mso-height-relative:page;" fillcolor="#86A9CB" filled="t" stroked="f" coordsize="101,101" path="m0,50c0,22,22,0,50,0c77,0,100,22,100,50c100,77,77,100,50,100c22,100,0,77,0,50e">
                        <v:path/>
                        <v:fill on="t" focussize="0,0"/>
                        <v:stroke on="f"/>
                        <v:imagedata o:title=""/>
                        <o:lock v:ext="edit"/>
                      </v:shape>
                    </w:pict>
                  </w:r>
                  <w:r>
                    <w:pict>
                      <v:shape id="_x0000_s1091" o:spid="_x0000_s1091" style="position:absolute;left:0pt;margin-left:36.35pt;margin-top:17.35pt;height:5.05pt;width:5.05pt;mso-position-horizontal-relative:page;mso-position-vertical-relative:page;z-index:251736064;mso-width-relative:page;mso-height-relative:page;" fillcolor="#86A9CB" filled="t" stroked="f" coordsize="101,101" path="m0,50c0,22,22,0,50,0c77,0,100,22,100,50c100,77,77,100,50,100c22,100,0,77,0,50e">
                        <v:path/>
                        <v:fill on="t" focussize="0,0"/>
                        <v:stroke on="f"/>
                        <v:imagedata o:title=""/>
                        <o:lock v:ext="edit"/>
                      </v:shape>
                    </w:pict>
                  </w:r>
                  <w:r>
                    <w:rPr>
                      <w:rFonts w:ascii="微软雅黑" w:hAnsi="微软雅黑" w:eastAsia="微软雅黑" w:cs="微软雅黑"/>
                      <w:color w:val="030303"/>
                      <w:spacing w:val="11"/>
                      <w:position w:val="-2"/>
                      <w:sz w:val="16"/>
                      <w:szCs w:val="16"/>
                    </w:rPr>
                    <w:t>2</w:t>
                  </w:r>
                  <w:r>
                    <w:rPr>
                      <w:rFonts w:ascii="微软雅黑" w:hAnsi="微软雅黑" w:eastAsia="微软雅黑" w:cs="微软雅黑"/>
                      <w:color w:val="030303"/>
                      <w:spacing w:val="9"/>
                      <w:position w:val="-2"/>
                      <w:sz w:val="16"/>
                      <w:szCs w:val="16"/>
                    </w:rPr>
                    <w:t>4.6%</w:t>
                  </w:r>
                </w:p>
                <w:p>
                  <w:pPr>
                    <w:spacing w:line="133" w:lineRule="exact"/>
                    <w:ind w:left="4862"/>
                    <w:rPr>
                      <w:rFonts w:ascii="微软雅黑" w:hAnsi="微软雅黑" w:eastAsia="微软雅黑" w:cs="微软雅黑"/>
                      <w:sz w:val="16"/>
                      <w:szCs w:val="16"/>
                    </w:rPr>
                  </w:pPr>
                  <w:r>
                    <w:pict>
                      <v:shape id="_x0000_s1092" o:spid="_x0000_s1092" style="position:absolute;left:0pt;margin-left:179.45pt;margin-top:2.65pt;height:10.45pt;width:73.25pt;z-index:251739136;mso-width-relative:page;mso-height-relative:page;" filled="f" stroked="t" coordsize="1465,208" path="m22,22l1441,185e">
                        <v:fill on="f" focussize="0,0"/>
                        <v:stroke weight="2.25pt" color="#86A9CB" miterlimit="10" endcap="round"/>
                        <v:imagedata o:title=""/>
                        <o:lock v:ext="edit"/>
                      </v:shape>
                    </w:pict>
                  </w:r>
                  <w:r>
                    <w:rPr>
                      <w:rFonts w:ascii="微软雅黑" w:hAnsi="微软雅黑" w:eastAsia="微软雅黑" w:cs="微软雅黑"/>
                      <w:color w:val="030303"/>
                      <w:spacing w:val="11"/>
                      <w:position w:val="-2"/>
                      <w:sz w:val="16"/>
                      <w:szCs w:val="16"/>
                    </w:rPr>
                    <w:t>2</w:t>
                  </w:r>
                  <w:r>
                    <w:rPr>
                      <w:rFonts w:ascii="微软雅黑" w:hAnsi="微软雅黑" w:eastAsia="微软雅黑" w:cs="微软雅黑"/>
                      <w:color w:val="030303"/>
                      <w:spacing w:val="9"/>
                      <w:position w:val="-2"/>
                      <w:sz w:val="16"/>
                      <w:szCs w:val="16"/>
                    </w:rPr>
                    <w:t>0.8%</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32" w:hRule="atLeast"/>
              </w:trPr>
              <w:tc>
                <w:tcPr>
                  <w:tcW w:w="7183" w:type="dxa"/>
                  <w:tcBorders>
                    <w:top w:val="dashed" w:color="CEE6ED" w:sz="2" w:space="0"/>
                    <w:bottom w:val="dashed" w:color="CEE6ED" w:sz="2" w:space="0"/>
                  </w:tcBorders>
                  <w:vAlign w:val="top"/>
                </w:tcPr>
                <w:p>
                  <w:pPr>
                    <w:spacing w:before="59" w:line="74" w:lineRule="exact"/>
                    <w:ind w:left="6473"/>
                    <w:rPr>
                      <w:rFonts w:ascii="微软雅黑" w:hAnsi="微软雅黑" w:eastAsia="微软雅黑" w:cs="微软雅黑"/>
                      <w:sz w:val="17"/>
                      <w:szCs w:val="17"/>
                    </w:rPr>
                  </w:pPr>
                  <w:r>
                    <w:pict>
                      <v:rect id="_x0000_s1093" o:spid="_x0000_s1093" o:spt="1" style="position:absolute;left:0pt;margin-left:249.2pt;margin-top:2.8pt;height:5.05pt;width:5.05pt;mso-position-horizontal-relative:page;mso-position-vertical-relative:page;z-index:251741184;mso-width-relative:page;mso-height-relative:page;" fillcolor="#86A9CB" filled="t" stroked="f" coordsize="21600,21600">
                        <v:path/>
                        <v:fill on="t" focussize="0,0"/>
                        <v:stroke on="f"/>
                        <v:imagedata o:title=""/>
                        <o:lock v:ext="edit"/>
                      </v:rect>
                    </w:pict>
                  </w:r>
                  <w:r>
                    <w:rPr>
                      <w:rFonts w:ascii="微软雅黑" w:hAnsi="微软雅黑" w:eastAsia="微软雅黑" w:cs="微软雅黑"/>
                      <w:color w:val="030303"/>
                      <w:position w:val="1"/>
                      <w:sz w:val="17"/>
                      <w:szCs w:val="17"/>
                    </w:rPr>
                    <w:t>.</w:t>
                  </w:r>
                </w:p>
                <w:p>
                  <w:pPr>
                    <w:tabs>
                      <w:tab w:val="left" w:pos="6500"/>
                    </w:tabs>
                    <w:spacing w:line="100" w:lineRule="exact"/>
                    <w:ind w:left="6399"/>
                    <w:rPr>
                      <w:rFonts w:ascii="Arial"/>
                      <w:sz w:val="21"/>
                    </w:rPr>
                  </w:pPr>
                  <w:r>
                    <w:pict>
                      <v:shape id="_x0000_s1094" o:spid="_x0000_s1094" style="position:absolute;left:0pt;margin-left:250.4pt;margin-top:-2.7pt;height:6.4pt;width:73.25pt;z-index:251740160;mso-width-relative:page;mso-height-relative:page;" filled="f" stroked="t" coordsize="1465,128" path="m22,22l1441,104e">
                        <v:fill on="f" focussize="0,0"/>
                        <v:stroke weight="2.25pt" color="#86A9CB" miterlimit="10" endcap="round"/>
                        <v:imagedata o:title=""/>
                        <o:lock v:ext="edit"/>
                      </v:shape>
                    </w:pict>
                  </w:r>
                  <w:r>
                    <w:rPr>
                      <w:rFonts w:ascii="Arial" w:hAnsi="Arial" w:eastAsia="Arial" w:cs="Arial"/>
                      <w:position w:val="-5"/>
                      <w:sz w:val="21"/>
                      <w:szCs w:val="21"/>
                      <w:shd w:val="clear" w:fill="86A9CB"/>
                    </w:rPr>
                    <w:tab/>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07" w:hRule="atLeast"/>
              </w:trPr>
              <w:tc>
                <w:tcPr>
                  <w:tcW w:w="7183" w:type="dxa"/>
                  <w:tcBorders>
                    <w:top w:val="dashed" w:color="231F20" w:sz="2" w:space="0"/>
                  </w:tcBorders>
                  <w:vAlign w:val="top"/>
                </w:tcPr>
                <w:p>
                  <w:pPr>
                    <w:spacing w:before="29" w:line="179" w:lineRule="auto"/>
                    <w:ind w:left="742"/>
                    <w:rPr>
                      <w:rFonts w:ascii="微软雅黑" w:hAnsi="微软雅黑" w:eastAsia="微软雅黑" w:cs="微软雅黑"/>
                      <w:sz w:val="17"/>
                      <w:szCs w:val="17"/>
                    </w:rPr>
                  </w:pPr>
                  <w:r>
                    <w:pict>
                      <v:shape id="_x0000_s1095" o:spid="_x0000_s1095" o:spt="202" type="#_x0000_t202" style="position:absolute;left:0pt;margin-left:178.5pt;margin-top:-0.1pt;height:12.85pt;width:24.7pt;z-index:251758592;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3</w:t>
                              </w:r>
                              <w:r>
                                <w:rPr>
                                  <w:rFonts w:ascii="微软雅黑" w:hAnsi="微软雅黑" w:eastAsia="微软雅黑" w:cs="微软雅黑"/>
                                  <w:color w:val="030303"/>
                                  <w:spacing w:val="3"/>
                                  <w:sz w:val="17"/>
                                  <w:szCs w:val="17"/>
                                </w:rPr>
                                <w:t>5</w:t>
                              </w:r>
                              <w:r>
                                <w:rPr>
                                  <w:rFonts w:ascii="微软雅黑" w:hAnsi="微软雅黑" w:eastAsia="微软雅黑" w:cs="微软雅黑"/>
                                  <w:color w:val="030303"/>
                                  <w:spacing w:val="2"/>
                                  <w:sz w:val="17"/>
                                  <w:szCs w:val="17"/>
                                </w:rPr>
                                <w:t>3.7</w:t>
                              </w:r>
                            </w:p>
                          </w:txbxContent>
                        </v:textbox>
                      </v:shape>
                    </w:pict>
                  </w:r>
                  <w:r>
                    <w:pict>
                      <v:shape id="_x0000_s1096" o:spid="_x0000_s1096" o:spt="202" type="#_x0000_t202" style="position:absolute;left:0pt;margin-left:319.4pt;margin-top:0.25pt;height:12.85pt;width:24.7pt;z-index:251756544;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3</w:t>
                              </w:r>
                              <w:r>
                                <w:rPr>
                                  <w:rFonts w:ascii="微软雅黑" w:hAnsi="微软雅黑" w:eastAsia="微软雅黑" w:cs="微软雅黑"/>
                                  <w:color w:val="030303"/>
                                  <w:spacing w:val="3"/>
                                  <w:sz w:val="17"/>
                                  <w:szCs w:val="17"/>
                                </w:rPr>
                                <w:t>3</w:t>
                              </w:r>
                              <w:r>
                                <w:rPr>
                                  <w:rFonts w:ascii="微软雅黑" w:hAnsi="微软雅黑" w:eastAsia="微软雅黑" w:cs="微软雅黑"/>
                                  <w:color w:val="030303"/>
                                  <w:spacing w:val="2"/>
                                  <w:sz w:val="17"/>
                                  <w:szCs w:val="17"/>
                                </w:rPr>
                                <w:t>7.3</w:t>
                              </w:r>
                            </w:p>
                          </w:txbxContent>
                        </v:textbox>
                      </v:shape>
                    </w:pict>
                  </w:r>
                  <w:r>
                    <w:pict>
                      <v:shape id="_x0000_s1097" o:spid="_x0000_s1097" o:spt="202" type="#_x0000_t202" style="position:absolute;left:0pt;margin-left:250.65pt;margin-top:1.3pt;height:12.9pt;width:17.25pt;z-index:251753472;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31</w:t>
                              </w:r>
                              <w:r>
                                <w:rPr>
                                  <w:rFonts w:ascii="微软雅黑" w:hAnsi="微软雅黑" w:eastAsia="微软雅黑" w:cs="微软雅黑"/>
                                  <w:color w:val="030303"/>
                                  <w:spacing w:val="1"/>
                                  <w:sz w:val="17"/>
                                  <w:szCs w:val="17"/>
                                </w:rPr>
                                <w:t>0</w:t>
                              </w:r>
                            </w:p>
                          </w:txbxContent>
                        </v:textbox>
                      </v:shape>
                    </w:pict>
                  </w:r>
                  <w:r>
                    <w:pict>
                      <v:shape id="_x0000_s1098" o:spid="_x0000_s1098" o:spt="202" type="#_x0000_t202" style="position:absolute;left:0pt;margin-left:106.55pt;margin-top:-2.7pt;height:12.9pt;width:25.25pt;mso-position-horizontal-relative:page;mso-position-vertical-relative:page;z-index:25175244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5"/>
                                  <w:sz w:val="17"/>
                                  <w:szCs w:val="17"/>
                                </w:rPr>
                                <w:t>411.</w:t>
                              </w:r>
                              <w:r>
                                <w:rPr>
                                  <w:rFonts w:ascii="微软雅黑" w:hAnsi="微软雅黑" w:eastAsia="微软雅黑" w:cs="微软雅黑"/>
                                  <w:color w:val="030303"/>
                                  <w:spacing w:val="4"/>
                                  <w:sz w:val="17"/>
                                  <w:szCs w:val="17"/>
                                </w:rPr>
                                <w:t>7</w:t>
                              </w:r>
                            </w:p>
                          </w:txbxContent>
                        </v:textbox>
                      </v:shape>
                    </w:pict>
                  </w:r>
                  <w:r>
                    <w:pict>
                      <v:shape id="_x0000_s1099" o:spid="_x0000_s1099" style="position:absolute;left:0pt;margin-left:-0.1pt;margin-top:21.35pt;height:0.3pt;width:359.45pt;mso-position-horizontal-relative:page;mso-position-vertical-relative:page;z-index:-251587584;mso-width-relative:page;mso-height-relative:page;" filled="f" stroked="t" coordsize="7189,6" path="m0,2l7188,2e">
                        <v:fill on="f" focussize="0,0"/>
                        <v:stroke weight="0.28pt" color="#231F20" miterlimit="4" joinstyle="miter"/>
                        <v:imagedata o:title=""/>
                        <o:lock v:ext="edit"/>
                      </v:shape>
                    </w:pict>
                  </w:r>
                  <w:r>
                    <w:rPr>
                      <w:rFonts w:ascii="微软雅黑" w:hAnsi="微软雅黑" w:eastAsia="微软雅黑" w:cs="微软雅黑"/>
                      <w:color w:val="030303"/>
                      <w:spacing w:val="4"/>
                      <w:sz w:val="17"/>
                      <w:szCs w:val="17"/>
                    </w:rPr>
                    <w:t>3</w:t>
                  </w:r>
                  <w:r>
                    <w:rPr>
                      <w:rFonts w:ascii="微软雅黑" w:hAnsi="微软雅黑" w:eastAsia="微软雅黑" w:cs="微软雅黑"/>
                      <w:color w:val="030303"/>
                      <w:spacing w:val="3"/>
                      <w:sz w:val="17"/>
                      <w:szCs w:val="17"/>
                    </w:rPr>
                    <w:t>3</w:t>
                  </w:r>
                  <w:r>
                    <w:rPr>
                      <w:rFonts w:ascii="微软雅黑" w:hAnsi="微软雅黑" w:eastAsia="微软雅黑" w:cs="微软雅黑"/>
                      <w:color w:val="030303"/>
                      <w:spacing w:val="2"/>
                      <w:sz w:val="17"/>
                      <w:szCs w:val="17"/>
                    </w:rPr>
                    <w:t>5.1</w:t>
                  </w:r>
                </w:p>
              </w:tc>
            </w:tr>
          </w:tbl>
          <w:p>
            <w:pPr>
              <w:spacing w:line="53" w:lineRule="exact"/>
              <w:rPr>
                <w:rFonts w:ascii="Arial"/>
                <w:sz w:val="4"/>
              </w:rPr>
            </w:pPr>
          </w:p>
        </w:tc>
        <w:tc>
          <w:tcPr>
            <w:tcW w:w="393" w:type="dxa"/>
            <w:vMerge w:val="continue"/>
            <w:tcBorders>
              <w:top w:val="nil"/>
              <w:bottom w:val="nil"/>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03" w:hRule="atLeast"/>
        </w:trPr>
        <w:tc>
          <w:tcPr>
            <w:tcW w:w="542" w:type="dxa"/>
            <w:vMerge w:val="continue"/>
            <w:tcBorders>
              <w:top w:val="nil"/>
              <w:left w:val="single" w:color="F6F7F7" w:sz="4" w:space="0"/>
              <w:bottom w:val="single" w:color="F6F7F7" w:sz="2" w:space="0"/>
            </w:tcBorders>
            <w:vAlign w:val="top"/>
          </w:tcPr>
          <w:p>
            <w:pPr>
              <w:rPr>
                <w:rFonts w:ascii="Arial"/>
                <w:sz w:val="21"/>
              </w:rPr>
            </w:pPr>
          </w:p>
        </w:tc>
        <w:tc>
          <w:tcPr>
            <w:tcW w:w="7257" w:type="dxa"/>
            <w:tcBorders>
              <w:bottom w:val="single" w:color="F6F7F7" w:sz="2" w:space="0"/>
            </w:tcBorders>
            <w:vAlign w:val="top"/>
          </w:tcPr>
          <w:p>
            <w:pPr>
              <w:spacing w:before="60" w:line="186" w:lineRule="auto"/>
              <w:ind w:left="626"/>
              <w:rPr>
                <w:rFonts w:ascii="Calibri" w:hAnsi="Calibri" w:eastAsia="Calibri" w:cs="Calibri"/>
                <w:sz w:val="17"/>
                <w:szCs w:val="17"/>
              </w:rPr>
            </w:pPr>
            <w:r>
              <w:rPr>
                <w:rFonts w:ascii="Calibri" w:hAnsi="Calibri" w:eastAsia="Calibri" w:cs="Calibri"/>
                <w:color w:val="030303"/>
                <w:spacing w:val="2"/>
                <w:sz w:val="17"/>
                <w:szCs w:val="17"/>
              </w:rPr>
              <w:t xml:space="preserve">2017                        </w:t>
            </w:r>
            <w:r>
              <w:rPr>
                <w:rFonts w:ascii="Calibri" w:hAnsi="Calibri" w:eastAsia="Calibri" w:cs="Calibri"/>
                <w:color w:val="030303"/>
                <w:spacing w:val="1"/>
                <w:sz w:val="17"/>
                <w:szCs w:val="17"/>
              </w:rPr>
              <w:t xml:space="preserve">   2018                           2019                           2020                           2021</w:t>
            </w:r>
          </w:p>
          <w:p>
            <w:pPr>
              <w:spacing w:before="224" w:line="311" w:lineRule="auto"/>
              <w:ind w:left="788" w:right="763" w:firstLine="490"/>
              <w:rPr>
                <w:rFonts w:ascii="宋体" w:hAnsi="宋体" w:eastAsia="宋体" w:cs="宋体"/>
                <w:sz w:val="17"/>
                <w:szCs w:val="17"/>
              </w:rPr>
            </w:pPr>
            <w:r>
              <w:rPr>
                <w:rFonts w:ascii="宋体" w:hAnsi="宋体" w:eastAsia="宋体" w:cs="宋体"/>
                <w:color w:val="030303"/>
                <w:spacing w:val="16"/>
                <w:sz w:val="17"/>
                <w:szCs w:val="17"/>
              </w:rPr>
              <w:t>服</w:t>
            </w:r>
            <w:r>
              <w:rPr>
                <w:rFonts w:ascii="宋体" w:hAnsi="宋体" w:eastAsia="宋体" w:cs="宋体"/>
                <w:color w:val="030303"/>
                <w:spacing w:val="8"/>
                <w:sz w:val="17"/>
                <w:szCs w:val="17"/>
              </w:rPr>
              <w:t>务业实际使用外资金额          制造业实际使用外资金额</w:t>
            </w:r>
            <w:r>
              <w:rPr>
                <w:rFonts w:ascii="宋体" w:hAnsi="宋体" w:eastAsia="宋体" w:cs="宋体"/>
                <w:color w:val="030303"/>
                <w:sz w:val="17"/>
                <w:szCs w:val="17"/>
              </w:rPr>
              <w:t xml:space="preserve">    </w:t>
            </w:r>
            <w:r>
              <w:rPr>
                <w:rFonts w:ascii="宋体" w:hAnsi="宋体" w:eastAsia="宋体" w:cs="宋体"/>
                <w:color w:val="030303"/>
                <w:sz w:val="17"/>
                <w:szCs w:val="17"/>
              </w:rPr>
              <w:drawing>
                <wp:inline distT="0" distB="0" distL="0" distR="0">
                  <wp:extent cx="285115" cy="76200"/>
                  <wp:effectExtent l="0" t="0" r="0" b="0"/>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63"/>
                          <a:stretch>
                            <a:fillRect/>
                          </a:stretch>
                        </pic:blipFill>
                        <pic:spPr>
                          <a:xfrm>
                            <a:off x="0" y="0"/>
                            <a:ext cx="285418" cy="76452"/>
                          </a:xfrm>
                          <a:prstGeom prst="rect">
                            <a:avLst/>
                          </a:prstGeom>
                        </pic:spPr>
                      </pic:pic>
                    </a:graphicData>
                  </a:graphic>
                </wp:inline>
              </w:drawing>
            </w:r>
            <w:r>
              <w:rPr>
                <w:rFonts w:ascii="宋体" w:hAnsi="宋体" w:eastAsia="宋体" w:cs="宋体"/>
                <w:color w:val="030303"/>
                <w:spacing w:val="8"/>
                <w:sz w:val="17"/>
                <w:szCs w:val="17"/>
              </w:rPr>
              <w:t xml:space="preserve"> 服务业</w:t>
            </w:r>
            <w:r>
              <w:rPr>
                <w:rFonts w:ascii="宋体" w:hAnsi="宋体" w:eastAsia="宋体" w:cs="宋体"/>
                <w:color w:val="030303"/>
                <w:spacing w:val="7"/>
                <w:sz w:val="17"/>
                <w:szCs w:val="17"/>
              </w:rPr>
              <w:t>实</w:t>
            </w:r>
            <w:r>
              <w:rPr>
                <w:rFonts w:ascii="宋体" w:hAnsi="宋体" w:eastAsia="宋体" w:cs="宋体"/>
                <w:color w:val="030303"/>
                <w:spacing w:val="4"/>
                <w:sz w:val="17"/>
                <w:szCs w:val="17"/>
              </w:rPr>
              <w:t xml:space="preserve">际使用外资金额占比 </w:t>
            </w:r>
            <w:r>
              <w:rPr>
                <w:position w:val="1"/>
                <w:sz w:val="17"/>
                <w:szCs w:val="17"/>
              </w:rPr>
              <w:drawing>
                <wp:inline distT="0" distB="0" distL="0" distR="0">
                  <wp:extent cx="281940" cy="6350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64"/>
                          <a:stretch>
                            <a:fillRect/>
                          </a:stretch>
                        </pic:blipFill>
                        <pic:spPr>
                          <a:xfrm>
                            <a:off x="0" y="0"/>
                            <a:ext cx="282247" cy="63762"/>
                          </a:xfrm>
                          <a:prstGeom prst="rect">
                            <a:avLst/>
                          </a:prstGeom>
                        </pic:spPr>
                      </pic:pic>
                    </a:graphicData>
                  </a:graphic>
                </wp:inline>
              </w:drawing>
            </w:r>
            <w:r>
              <w:rPr>
                <w:rFonts w:ascii="宋体" w:hAnsi="宋体" w:eastAsia="宋体" w:cs="宋体"/>
                <w:color w:val="030303"/>
                <w:spacing w:val="4"/>
                <w:sz w:val="17"/>
                <w:szCs w:val="17"/>
              </w:rPr>
              <w:t xml:space="preserve"> 制造业实际使用外资金额占比</w:t>
            </w:r>
          </w:p>
        </w:tc>
        <w:tc>
          <w:tcPr>
            <w:tcW w:w="393" w:type="dxa"/>
            <w:vMerge w:val="continue"/>
            <w:tcBorders>
              <w:top w:val="nil"/>
              <w:bottom w:val="single" w:color="F6F7F7" w:sz="2" w:space="0"/>
            </w:tcBorders>
            <w:vAlign w:val="top"/>
          </w:tcPr>
          <w:p>
            <w:pPr>
              <w:rPr>
                <w:rFonts w:ascii="Arial"/>
                <w:sz w:val="21"/>
              </w:rPr>
            </w:pPr>
          </w:p>
        </w:tc>
      </w:tr>
    </w:tbl>
    <w:p>
      <w:pPr>
        <w:spacing w:before="3" w:line="226" w:lineRule="auto"/>
        <w:ind w:left="3716"/>
        <w:rPr>
          <w:rFonts w:ascii="SimHei" w:hAnsi="SimHei" w:eastAsia="SimHei" w:cs="SimHei"/>
          <w:sz w:val="20"/>
          <w:szCs w:val="20"/>
        </w:rPr>
      </w:pPr>
      <w:r>
        <w:rPr>
          <w:rFonts w:ascii="SimHei" w:hAnsi="SimHei" w:eastAsia="SimHei" w:cs="SimHei"/>
          <w:color w:val="231F20"/>
          <w:spacing w:val="6"/>
          <w:sz w:val="20"/>
          <w:szCs w:val="20"/>
        </w:rPr>
        <w:t>图</w:t>
      </w:r>
      <w:r>
        <w:rPr>
          <w:rFonts w:ascii="SimHei" w:hAnsi="SimHei" w:eastAsia="SimHei" w:cs="SimHei"/>
          <w:color w:val="231F20"/>
          <w:spacing w:val="4"/>
          <w:sz w:val="20"/>
          <w:szCs w:val="20"/>
        </w:rPr>
        <w:t xml:space="preserve"> </w:t>
      </w:r>
      <w:r>
        <w:rPr>
          <w:rFonts w:ascii="Times New Roman" w:hAnsi="Times New Roman" w:eastAsia="Times New Roman" w:cs="Times New Roman"/>
          <w:color w:val="231F20"/>
          <w:spacing w:val="3"/>
          <w:sz w:val="20"/>
          <w:szCs w:val="20"/>
        </w:rPr>
        <w:t xml:space="preserve">1-5 2017-2021 </w:t>
      </w:r>
      <w:r>
        <w:rPr>
          <w:rFonts w:ascii="SimHei" w:hAnsi="SimHei" w:eastAsia="SimHei" w:cs="SimHei"/>
          <w:color w:val="231F20"/>
          <w:spacing w:val="3"/>
          <w:sz w:val="20"/>
          <w:szCs w:val="20"/>
        </w:rPr>
        <w:t>年服务业和制造业实际使用外资情况</w:t>
      </w:r>
    </w:p>
    <w:p>
      <w:pPr>
        <w:spacing w:before="138" w:line="190" w:lineRule="auto"/>
        <w:ind w:left="1987"/>
        <w:rPr>
          <w:rFonts w:ascii="KaiTi" w:hAnsi="KaiTi" w:eastAsia="KaiTi" w:cs="KaiTi"/>
          <w:sz w:val="17"/>
          <w:szCs w:val="17"/>
        </w:rPr>
      </w:pPr>
      <w:r>
        <w:rPr>
          <w:rFonts w:ascii="KaiTi" w:hAnsi="KaiTi" w:eastAsia="KaiTi" w:cs="KaiTi"/>
          <w:color w:val="231F20"/>
          <w:spacing w:val="6"/>
          <w:sz w:val="17"/>
          <w:szCs w:val="17"/>
        </w:rPr>
        <w:t>数据来源：商务部外资统计。</w:t>
      </w:r>
    </w:p>
    <w:p>
      <w:pPr>
        <w:sectPr>
          <w:type w:val="continuous"/>
          <w:pgSz w:w="12246" w:h="16498"/>
          <w:pgMar w:top="400" w:right="0" w:bottom="400" w:left="0" w:header="0" w:footer="0" w:gutter="0"/>
          <w:cols w:equalWidth="0" w:num="1">
            <w:col w:w="12246"/>
          </w:cols>
        </w:sectPr>
      </w:pPr>
    </w:p>
    <w:p>
      <w:pPr>
        <w:spacing w:line="357" w:lineRule="auto"/>
        <w:rPr>
          <w:rFonts w:ascii="Arial"/>
          <w:sz w:val="21"/>
        </w:rPr>
      </w:pPr>
      <w:r>
        <w:pict>
          <v:rect id="_x0000_s1100" o:spid="_x0000_s1100" o:spt="1" style="position:absolute;left:0pt;margin-left:326.4pt;margin-top:356.45pt;height:0.75pt;width:4.7pt;mso-position-horizontal-relative:page;mso-position-vertical-relative:page;z-index:251780096;mso-width-relative:page;mso-height-relative:page;" fillcolor="#D7D7D8" filled="t" stroked="f" coordsize="21600,21600" o:allowincell="f">
            <v:path/>
            <v:fill on="t" focussize="0,0"/>
            <v:stroke on="f"/>
            <v:imagedata o:title=""/>
            <o:lock v:ext="edit"/>
          </v:rect>
        </w:pict>
      </w:r>
      <w:r>
        <w:pict>
          <v:rect id="_x0000_s1101" o:spid="_x0000_s1101" o:spt="1" style="position:absolute;left:0pt;margin-left:201.1pt;margin-top:426.45pt;height:0.75pt;width:4.7pt;mso-position-horizontal-relative:page;mso-position-vertical-relative:page;z-index:251783168;mso-width-relative:page;mso-height-relative:page;" fillcolor="#D7D7D8" filled="t" stroked="f" coordsize="21600,21600" o:allowincell="f">
            <v:path/>
            <v:fill on="t" focussize="0,0"/>
            <v:stroke on="f"/>
            <v:imagedata o:title=""/>
            <o:lock v:ext="edit"/>
          </v:rect>
        </w:pict>
      </w:r>
      <w:r>
        <w:pict>
          <v:rect id="_x0000_s1102" o:spid="_x0000_s1102" o:spt="1" style="position:absolute;left:0pt;margin-left:201.15pt;margin-top:508.15pt;height:0.75pt;width:4.7pt;mso-position-horizontal-relative:page;mso-position-vertical-relative:page;z-index:251785216;mso-width-relative:page;mso-height-relative:page;" fillcolor="#D7D7D8" filled="t" stroked="f" coordsize="21600,21600" o:allowincell="f">
            <v:path/>
            <v:fill on="t" focussize="0,0"/>
            <v:stroke on="f"/>
            <v:imagedata o:title=""/>
            <o:lock v:ext="edit"/>
          </v:rect>
        </w:pict>
      </w:r>
      <w:r>
        <w:pict>
          <v:rect id="_x0000_s1103" o:spid="_x0000_s1103" o:spt="1" style="position:absolute;left:0pt;margin-left:404.2pt;margin-top:407.2pt;height:0.75pt;width:4.7pt;mso-position-horizontal-relative:page;mso-position-vertical-relative:page;z-index:251784192;mso-width-relative:page;mso-height-relative:page;" fillcolor="#D7D7D8" filled="t" stroked="f" coordsize="21600,21600" o:allowincell="f">
            <v:path/>
            <v:fill on="t" focussize="0,0"/>
            <v:stroke on="f"/>
            <v:imagedata o:title=""/>
            <o:lock v:ext="edit"/>
          </v:rect>
        </w:pict>
      </w:r>
      <w:r>
        <w:pict>
          <v:rect id="_x0000_s1104" o:spid="_x0000_s1104" o:spt="1" style="position:absolute;left:0pt;margin-left:407.2pt;margin-top:490.6pt;height:0.75pt;width:4.7pt;mso-position-horizontal-relative:page;mso-position-vertical-relative:page;z-index:251781120;mso-width-relative:page;mso-height-relative:page;" fillcolor="#D7D7D8" filled="t" stroked="f" coordsize="21600,21600" o:allowincell="f">
            <v:path/>
            <v:fill on="t" focussize="0,0"/>
            <v:stroke on="f"/>
            <v:imagedata o:title=""/>
            <o:lock v:ext="edit"/>
          </v:rect>
        </w:pict>
      </w:r>
      <w:r>
        <w:pict>
          <v:rect id="_x0000_s1105" o:spid="_x0000_s1105" o:spt="1" style="position:absolute;left:0pt;margin-left:276.5pt;margin-top:560.25pt;height:0.75pt;width:4.7pt;mso-position-horizontal-relative:page;mso-position-vertical-relative:page;z-index:251782144;mso-width-relative:page;mso-height-relative:page;" fillcolor="#D7D7D8" filled="t" stroked="f" coordsize="21600,21600" o:allowincell="f">
            <v:path/>
            <v:fill on="t" focussize="0,0"/>
            <v:stroke on="f"/>
            <v:imagedata o:title=""/>
            <o:lock v:ext="edit"/>
          </v:rect>
        </w:pict>
      </w:r>
      <w:r>
        <w:drawing>
          <wp:anchor distT="0" distB="0" distL="0" distR="0" simplePos="0" relativeHeight="25176064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40"/>
                    <a:stretch>
                      <a:fillRect/>
                    </a:stretch>
                  </pic:blipFill>
                  <pic:spPr>
                    <a:xfrm>
                      <a:off x="0" y="0"/>
                      <a:ext cx="7775994" cy="422998"/>
                    </a:xfrm>
                    <a:prstGeom prst="rect">
                      <a:avLst/>
                    </a:prstGeom>
                  </pic:spPr>
                </pic:pic>
              </a:graphicData>
            </a:graphic>
          </wp:anchor>
        </w:drawing>
      </w:r>
      <w:r>
        <w:pict>
          <v:shape id="_x0000_s1106" o:spid="_x0000_s1106" style="position:absolute;left:0pt;margin-left:304.15pt;margin-top:356.45pt;height:10.6pt;width:22.4pt;mso-position-horizontal-relative:page;mso-position-vertical-relative:page;z-index:251773952;mso-width-relative:page;mso-height-relative:page;" filled="f" stroked="t" coordsize="447,212" o:allowincell="f" path="m2,204l444,6e">
            <v:fill on="f" focussize="0,0"/>
            <v:stroke weight="0.7pt" color="#D7D7D8" miterlimit="10"/>
            <v:imagedata o:title=""/>
            <o:lock v:ext="edit"/>
          </v:shape>
        </w:pict>
      </w:r>
      <w:r>
        <w:pict>
          <v:shape id="_x0000_s1107" o:spid="_x0000_s1107" style="position:absolute;left:0pt;margin-left:278.35pt;margin-top:353.85pt;height:14.4pt;width:10.2pt;mso-position-horizontal-relative:page;mso-position-vertical-relative:page;z-index:251776000;mso-width-relative:page;mso-height-relative:page;" filled="f" stroked="t" coordsize="203,287" o:allowincell="f" path="m196,280l100,7,7,7e">
            <v:fill on="f" focussize="0,0"/>
            <v:stroke weight="0.7pt" color="#D7D7D8" miterlimit="10"/>
            <v:imagedata o:title=""/>
            <o:lock v:ext="edit"/>
          </v:shape>
        </w:pict>
      </w:r>
      <w:r>
        <w:pict>
          <v:group id="_x0000_s1108" o:spid="_x0000_s1108" o:spt="203" style="position:absolute;left:0pt;margin-left:273.2pt;margin-top:366pt;height:92.85pt;width:30.45pt;mso-position-horizontal-relative:page;mso-position-vertical-relative:page;z-index:251765760;mso-width-relative:page;mso-height-relative:page;" coordsize="609,1856" o:allowincell="f">
            <o:lock v:ext="edit"/>
            <v:shape id="_x0000_s1109" o:spid="_x0000_s1109" style="position:absolute;left:14;top:14;height:1838;width:580;" fillcolor="#DDE7F1" filled="t" stroked="f" coordsize="580,1838" path="m0,93,0,93c182,32,377,0,579,0l579,0,579,1838,0,93xe">
              <v:path/>
              <v:fill on="t" focussize="0,0"/>
              <v:stroke on="f"/>
              <v:imagedata o:title=""/>
              <o:lock v:ext="edit"/>
            </v:shape>
            <v:shape id="_x0000_s1110" o:spid="_x0000_s1110" style="position:absolute;left:0;top:0;height:1856;width:609;" filled="f" stroked="t" coordsize="609,1856" path="m14,107c196,46,391,14,594,14m593,1852l14,107xe">
              <v:fill on="f" focussize="0,0"/>
              <v:stroke weight="1.41pt" color="#FFFFFF" miterlimit="10"/>
              <v:imagedata o:title=""/>
              <o:lock v:ext="edit"/>
            </v:shape>
          </v:group>
        </w:pict>
      </w:r>
      <w:r>
        <w:pict>
          <v:group id="_x0000_s1111" o:spid="_x0000_s1111" o:spt="203" style="position:absolute;left:0pt;margin-left:302.15pt;margin-top:366pt;height:93.35pt;width:4.3pt;mso-position-horizontal-relative:page;mso-position-vertical-relative:page;z-index:-251554816;mso-width-relative:page;mso-height-relative:page;" coordsize="86,1866" o:allowincell="f">
            <o:lock v:ext="edit"/>
            <v:shape id="_x0000_s1112" o:spid="_x0000_s1112" style="position:absolute;left:14;top:14;height:1838;width:58;" fillcolor="#41658F" filled="t" stroked="f" coordsize="58,1838" path="m0,0c19,0,38,0,57,0l0,1838,0,0xe">
              <v:path/>
              <v:fill on="t" focussize="0,0"/>
              <v:stroke on="f"/>
              <v:imagedata o:title=""/>
              <o:lock v:ext="edit"/>
            </v:shape>
            <v:shape id="_x0000_s1113" o:spid="_x0000_s1113" style="position:absolute;left:0;top:0;height:1866;width:86;" filled="f" stroked="t" coordsize="86,1866" path="m14,14c33,14,52,14,71,14l14,1852,14,14xm14,14l14,1852e">
              <v:fill on="f" focussize="0,0"/>
              <v:stroke weight="1.41pt" color="#FFFFFF" miterlimit="10"/>
              <v:imagedata o:title=""/>
              <o:lock v:ext="edit"/>
            </v:shape>
          </v:group>
        </w:pict>
      </w:r>
      <w:r>
        <w:pict>
          <v:group id="_x0000_s1114" o:spid="_x0000_s1114" o:spt="203" style="position:absolute;left:0pt;margin-left:210.25pt;margin-top:366.05pt;height:184.55pt;width:185.3pt;mso-position-horizontal-relative:page;mso-position-vertical-relative:page;z-index:-251553792;mso-width-relative:page;mso-height-relative:page;" coordsize="3706,3691" o:allowincell="f">
            <o:lock v:ext="edit"/>
            <v:shape id="_x0000_s1115" o:spid="_x0000_s1115" style="position:absolute;left:1852;top:14;height:1838;width:1713;" fillcolor="#41658F" filled="t" stroked="f" coordsize="1713,1838" path="m57,0c813,23,1453,502,1713,1170l0,1837,57,0xe">
              <v:path/>
              <v:fill on="t" focussize="0,0"/>
              <v:stroke on="f"/>
              <v:imagedata o:title=""/>
              <o:lock v:ext="edit"/>
            </v:shape>
            <v:shape id="_x0000_s1116" o:spid="_x0000_s1116" style="position:absolute;left:1838;top:0;height:1866;width:1743;" filled="f" stroked="t" coordsize="1743,1866" path="m71,14c827,37,1467,516,1728,1185l14,1851,71,14xe">
              <v:fill on="f" focussize="0,0"/>
              <v:stroke weight="1.41pt" color="#FFFFFF" miterlimit="10"/>
              <v:imagedata o:title=""/>
              <o:lock v:ext="edit"/>
            </v:shape>
            <v:shape id="_x0000_s1117" o:spid="_x0000_s1117" style="position:absolute;left:1852;top:1185;height:666;width:1786;" fillcolor="#436D99" filled="t" stroked="f" coordsize="1786,666" path="m1713,0c1742,75,1767,152,1786,231l0,666,1713,0xe">
              <v:path/>
              <v:fill on="t" focussize="0,0"/>
              <v:stroke on="f"/>
              <v:imagedata o:title=""/>
              <o:lock v:ext="edit"/>
            </v:shape>
            <v:shape id="_x0000_s1118" o:spid="_x0000_s1118" style="position:absolute;left:1838;top:1171;height:695;width:1815;" filled="f" stroked="t" coordsize="1815,695" path="m1727,14c1757,89,1781,166,1800,245l14,680,1727,14xe">
              <v:fill on="f" focussize="0,0"/>
              <v:stroke weight="1.41pt" color="#FFFFFF" miterlimit="10"/>
              <v:imagedata o:title=""/>
              <o:lock v:ext="edit"/>
            </v:shape>
            <v:shape id="_x0000_s1119" o:spid="_x0000_s1119" style="position:absolute;left:1852;top:1416;height:435;width:1836;" fillcolor="#41709F" filled="t" stroked="f" coordsize="1836,435" path="m1786,0c1812,107,1829,218,1835,331l0,434,1786,0xe">
              <v:path/>
              <v:fill on="t" focussize="0,0"/>
              <v:stroke on="f"/>
              <v:imagedata o:title=""/>
              <o:lock v:ext="edit"/>
            </v:shape>
            <v:shape id="_x0000_s1120" o:spid="_x0000_s1120" style="position:absolute;left:1838;top:1402;height:464;width:1863;" filled="f" stroked="t" coordsize="1863,464" path="m1800,14c1826,121,1843,232,1849,345l14,448,1800,14xe">
              <v:fill on="f" focussize="0,0"/>
              <v:stroke weight="1.41pt" color="#FFFFFF" miterlimit="10"/>
              <v:imagedata o:title=""/>
              <o:lock v:ext="edit"/>
            </v:shape>
            <v:shape id="_x0000_s1121" o:spid="_x0000_s1121" style="position:absolute;left:1852;top:1747;height:1204;width:1838;" fillcolor="#497AAF" filled="t" stroked="f" coordsize="1838,1204" path="m1835,0c1837,34,1838,69,1838,104c1838,516,1702,897,1473,1203l0,103,1835,0xe">
              <v:path/>
              <v:fill on="t" focussize="0,0"/>
              <v:stroke on="f"/>
              <v:imagedata o:title=""/>
              <o:lock v:ext="edit"/>
            </v:shape>
            <v:shape id="_x0000_s1122" o:spid="_x0000_s1122" style="position:absolute;left:1838;top:1733;height:1231;width:1866;" filled="f" stroked="t" coordsize="1866,1231" path="m1849,14c1851,48,1852,83,1852,118c1852,530,1717,911,1487,1217l14,118,1849,14xe">
              <v:fill on="f" focussize="0,0"/>
              <v:stroke weight="1.41pt" color="#FFFFFF" miterlimit="10"/>
              <v:imagedata o:title=""/>
              <o:lock v:ext="edit"/>
            </v:shape>
            <v:shape id="_x0000_s1123" o:spid="_x0000_s1123" style="position:absolute;left:1852;top:1851;height:1726;width:1473;" fillcolor="#608AB8" filled="t" stroked="f" coordsize="1473,1726" path="m1473,1099c1262,1382,971,1602,634,1726l0,0,1473,1099xe">
              <v:path/>
              <v:fill on="t" focussize="0,0"/>
              <v:stroke on="f"/>
              <v:imagedata o:title=""/>
              <o:lock v:ext="edit"/>
            </v:shape>
            <v:shape id="_x0000_s1124" o:spid="_x0000_s1124" style="position:absolute;left:1838;top:1837;height:1755;width:1501;" filled="f" stroked="t" coordsize="1501,1755" path="m1487,1113c1276,1396,985,1616,648,1740l14,14,1487,1113xe">
              <v:fill on="f" focussize="0,0"/>
              <v:stroke weight="1.41pt" color="#FFFFFF" miterlimit="10"/>
              <v:imagedata o:title=""/>
              <o:lock v:ext="edit"/>
            </v:shape>
            <v:shape id="_x0000_s1125" o:spid="_x0000_s1125" style="position:absolute;left:1026;top:1851;height:1838;width:1460;" fillcolor="#739AC1" filled="t" stroked="f" coordsize="1460,1838" path="m1459,1725,1459,1725c1261,1798,1047,1838,824,1838c528,1838,247,1768,0,1643l825,0,1459,1725xe">
              <v:path/>
              <v:fill on="t" focussize="0,0"/>
              <v:stroke on="f"/>
              <v:imagedata o:title=""/>
              <o:lock v:ext="edit"/>
            </v:shape>
            <v:shape id="_x0000_s1126" o:spid="_x0000_s1126" style="position:absolute;left:1014;top:1845;height:1738;width:1485;" filled="f" stroked="t" coordsize="1485,1738" path="m12,1649l838,6,1471,1732xe">
              <v:fill on="f" focussize="0,0"/>
              <v:stroke weight="1.41pt" color="#FFFFFF" miterlimit="10"/>
              <v:imagedata o:title=""/>
              <o:lock v:ext="edit"/>
            </v:shape>
            <v:shape id="_x0000_s1127" o:spid="_x0000_s1127" style="position:absolute;left:14;top:1770;height:1725;width:1838;" fillcolor="#7CA1C5" filled="t" stroked="f" coordsize="1838,1725" path="m1013,1724c412,1422,0,799,0,80c0,53,0,26,1,0l1838,81,1013,1724xe">
              <v:path/>
              <v:fill on="t" focussize="0,0"/>
              <v:stroke on="f"/>
              <v:imagedata o:title=""/>
              <o:lock v:ext="edit"/>
            </v:shape>
            <v:shape id="_x0000_s1128" o:spid="_x0000_s1128" style="position:absolute;left:0;top:1756;height:1753;width:1866;" filled="f" stroked="t" coordsize="1866,1753" path="m1027,1738c426,1436,14,813,14,94c14,67,14,40,15,14l1852,95,1027,1738xe">
              <v:fill on="f" focussize="0,0"/>
              <v:stroke weight="1.41pt" color="#FFFFFF" miterlimit="10"/>
              <v:imagedata o:title=""/>
              <o:lock v:ext="edit"/>
            </v:shape>
            <v:shape id="_x0000_s1129" o:spid="_x0000_s1129" style="position:absolute;left:15;top:488;height:1363;width:1836;" fillcolor="#90B0CF" filled="t" stroked="f" coordsize="1836,1363" path="m0,1282c22,774,250,319,603,0l1836,1363,0,1282xe">
              <v:path/>
              <v:fill on="t" focussize="0,0"/>
              <v:stroke on="f"/>
              <v:imagedata o:title=""/>
              <o:lock v:ext="edit"/>
            </v:shape>
            <v:shape id="_x0000_s1130" o:spid="_x0000_s1130" style="position:absolute;left:1;top:473;height:1391;width:1866;" filled="f" stroked="t" coordsize="1866,1391" path="m14,1296c36,788,264,333,617,14l1850,1377,14,1296xe">
              <v:fill on="f" focussize="0,0"/>
              <v:stroke weight="1.41pt" color="#FFFFFF" miterlimit="10"/>
              <v:imagedata o:title=""/>
              <o:lock v:ext="edit"/>
            </v:shape>
            <v:shape id="_x0000_s1131" o:spid="_x0000_s1131" style="position:absolute;left:619;top:106;height:1746;width:1234;" fillcolor="#B9CDE2" filled="t" stroked="f" coordsize="1234,1746" path="m0,381,0,381c186,212,408,81,653,0l1233,1745,0,381xe">
              <v:path/>
              <v:fill on="t" focussize="0,0"/>
              <v:stroke on="f"/>
              <v:imagedata o:title=""/>
              <o:lock v:ext="edit"/>
            </v:shape>
            <v:shape id="_x0000_s1132" o:spid="_x0000_s1132" style="position:absolute;left:65;top:42;height:315;width:3528;" filled="f" stroked="t" coordsize="3528,315" path="m2848,308l3525,6m860,220l1,12e">
              <v:fill on="f" focussize="0,0"/>
              <v:stroke weight="0.7pt" color="#D7D7D8" miterlimit="10"/>
              <v:imagedata o:title=""/>
              <o:lock v:ext="edit"/>
            </v:shape>
          </v:group>
        </w:pict>
      </w:r>
      <w:r>
        <w:pict>
          <v:shape id="_x0000_s1133" o:spid="_x0000_s1133" style="position:absolute;left:0pt;margin-left:240.5pt;margin-top:370.65pt;height:88.45pt;width:63.05pt;mso-position-horizontal-relative:page;mso-position-vertical-relative:page;z-index:-251551744;mso-width-relative:page;mso-height-relative:page;" filled="f" stroked="t" coordsize="1260,1768" o:allowincell="f" path="m14,395c201,226,422,95,667,14l1247,1759,14,395xe">
            <v:fill on="f" focussize="0,0"/>
            <v:stroke weight="1.41pt" color="#FFFFFF" miterlimit="10"/>
            <v:imagedata o:title=""/>
            <o:lock v:ext="edit"/>
          </v:shape>
        </w:pict>
      </w:r>
      <w:r>
        <w:pict>
          <v:shape id="_x0000_s1134" o:spid="_x0000_s1134" style="position:absolute;left:0pt;margin-left:390.25pt;margin-top:407.35pt;height:23.9pt;width:14.3pt;mso-position-horizontal-relative:page;mso-position-vertical-relative:page;z-index:251772928;mso-width-relative:page;mso-height-relative:page;" filled="f" stroked="t" coordsize="286,477" o:allowincell="f" path="m6,473l279,3e">
            <v:fill on="f" focussize="0,0"/>
            <v:stroke weight="0.7pt" color="#D7D7D8" miterlimit="10"/>
            <v:imagedata o:title=""/>
            <o:lock v:ext="edit"/>
          </v:shape>
        </w:pict>
      </w:r>
      <w:r>
        <w:pict>
          <v:shape id="_x0000_s1135" o:spid="_x0000_s1135" style="position:absolute;left:0pt;margin-left:205.65pt;margin-top:419.2pt;height:7.95pt;width:14.25pt;mso-position-horizontal-relative:page;mso-position-vertical-relative:page;z-index:251777024;mso-width-relative:page;mso-height-relative:page;" filled="f" stroked="t" coordsize="285,158" o:allowincell="f" path="m280,6l3,152e">
            <v:fill on="f" focussize="0,0"/>
            <v:stroke weight="0.7pt" color="#D7D7D8" miterlimit="10"/>
            <v:imagedata o:title=""/>
            <o:lock v:ext="edit"/>
          </v:shape>
        </w:pict>
      </w:r>
      <w:r>
        <w:pict>
          <v:shape id="_x0000_s1136" o:spid="_x0000_s1136" style="position:absolute;left:0pt;margin-left:393.45pt;margin-top:444.75pt;height:2.65pt;width:15.9pt;mso-position-horizontal-relative:page;mso-position-vertical-relative:page;z-index:251779072;mso-width-relative:page;mso-height-relative:page;" filled="f" stroked="t" coordsize="317,53" o:allowincell="f" path="m7,7l216,45,310,45e">
            <v:fill on="f" focussize="0,0"/>
            <v:stroke weight="0.7pt" color="#D7D7D8" miterlimit="10"/>
            <v:imagedata o:title=""/>
            <o:lock v:ext="edit"/>
          </v:shape>
        </w:pict>
      </w:r>
      <w:r>
        <w:pict>
          <v:shape id="_x0000_s1137" o:spid="_x0000_s1137" style="position:absolute;left:0pt;margin-left:390.75pt;margin-top:484.8pt;height:6.5pt;width:16.6pt;mso-position-horizontal-relative:page;mso-position-vertical-relative:page;z-index:251778048;mso-width-relative:page;mso-height-relative:page;" filled="f" stroked="t" coordsize="332,130" o:allowincell="f" path="m2,6l328,123e">
            <v:fill on="f" focussize="0,0"/>
            <v:stroke weight="0.7pt" color="#D7D7D8" miterlimit="10"/>
            <v:imagedata o:title=""/>
            <o:lock v:ext="edit"/>
          </v:shape>
        </w:pict>
      </w:r>
      <w:r>
        <w:pict>
          <v:shape id="_x0000_s1138" o:spid="_x0000_s1138" style="position:absolute;left:0pt;margin-left:281.05pt;margin-top:550.1pt;height:10.8pt;width:16.85pt;mso-position-horizontal-relative:page;mso-position-vertical-relative:page;z-index:251774976;mso-width-relative:page;mso-height-relative:page;" filled="f" stroked="t" coordsize="337,216" o:allowincell="f" path="m332,5l3,209e">
            <v:fill on="f" focussize="0,0"/>
            <v:stroke weight="0.7pt" color="#D7D7D8" miterlimit="10"/>
            <v:imagedata o:title=""/>
            <o:lock v:ext="edit"/>
          </v:shape>
        </w:pict>
      </w:r>
      <w:r>
        <w:pict>
          <v:shape id="_x0000_s1139" o:spid="_x0000_s1139" style="position:absolute;left:0pt;margin-left:357.65pt;margin-top:532pt;height:17.15pt;width:30.9pt;mso-position-horizontal-relative:page;mso-position-vertical-relative:page;z-index:-251552768;mso-width-relative:page;mso-height-relative:page;" filled="f" stroked="t" coordsize="617,342" o:allowincell="f" path="m3,6l613,336e">
            <v:fill on="f" focussize="0,0"/>
            <v:stroke weight="0.7pt" color="#D7D7D8" miterlimit="10"/>
            <v:imagedata o:title=""/>
            <o:lock v:ext="edit"/>
          </v:shape>
        </w:pict>
      </w:r>
    </w:p>
    <w:p>
      <w:pPr>
        <w:spacing w:line="358" w:lineRule="auto"/>
        <w:rPr>
          <w:rFonts w:ascii="Arial"/>
          <w:sz w:val="21"/>
        </w:rPr>
      </w:pPr>
    </w:p>
    <w:p>
      <w:pPr>
        <w:spacing w:before="68" w:line="239" w:lineRule="auto"/>
        <w:ind w:left="1609"/>
        <w:rPr>
          <w:rFonts w:ascii="SimHei" w:hAnsi="SimHei" w:eastAsia="SimHei" w:cs="SimHei"/>
          <w:sz w:val="21"/>
          <w:szCs w:val="21"/>
        </w:rPr>
      </w:pPr>
      <w:r>
        <w:rPr>
          <w:rFonts w:ascii="Arial" w:hAnsi="Arial" w:eastAsia="Arial" w:cs="Arial"/>
          <w:color w:val="231F20"/>
          <w:spacing w:val="27"/>
          <w:sz w:val="20"/>
          <w:szCs w:val="20"/>
        </w:rPr>
        <w:t>1</w:t>
      </w:r>
      <w:r>
        <w:rPr>
          <w:rFonts w:ascii="Arial" w:hAnsi="Arial" w:eastAsia="Arial" w:cs="Arial"/>
          <w:color w:val="231F20"/>
          <w:spacing w:val="21"/>
          <w:sz w:val="20"/>
          <w:szCs w:val="20"/>
        </w:rPr>
        <w:t xml:space="preserve">0  </w:t>
      </w:r>
      <w:r>
        <w:rPr>
          <w:position w:val="-5"/>
          <w:sz w:val="20"/>
          <w:szCs w:val="20"/>
        </w:rPr>
        <w:drawing>
          <wp:inline distT="0" distB="0" distL="0" distR="0">
            <wp:extent cx="3175" cy="14732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综合篇</w:t>
      </w: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94" w:line="261" w:lineRule="auto"/>
        <w:ind w:left="1989" w:right="1978" w:firstLine="11"/>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实际使用外资规模保持相对稳定 ，其中，</w:t>
      </w:r>
      <w:r>
        <w:rPr>
          <w:rFonts w:ascii="Times New Roman" w:hAnsi="Times New Roman" w:eastAsia="Times New Roman" w:cs="Times New Roman"/>
          <w:color w:val="231F20"/>
          <w:spacing w:val="-2"/>
          <w:sz w:val="22"/>
          <w:szCs w:val="22"/>
        </w:rPr>
        <w:t>202</w:t>
      </w:r>
      <w:r>
        <w:rPr>
          <w:rFonts w:ascii="Times New Roman" w:hAnsi="Times New Roman" w:eastAsia="Times New Roman" w:cs="Times New Roman"/>
          <w:color w:val="231F20"/>
          <w:spacing w:val="-1"/>
          <w:sz w:val="22"/>
          <w:szCs w:val="22"/>
        </w:rPr>
        <w:t xml:space="preserve">0 </w:t>
      </w:r>
      <w:r>
        <w:rPr>
          <w:rFonts w:ascii="微软雅黑" w:hAnsi="微软雅黑" w:eastAsia="微软雅黑" w:cs="微软雅黑"/>
          <w:color w:val="231F20"/>
          <w:spacing w:val="-1"/>
          <w:sz w:val="22"/>
          <w:szCs w:val="22"/>
        </w:rPr>
        <w:t>年受疫情影响 ，制造业实际使用外资规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模有所下降 ，达到 </w:t>
      </w:r>
      <w:r>
        <w:rPr>
          <w:rFonts w:ascii="Times New Roman" w:hAnsi="Times New Roman" w:eastAsia="Times New Roman" w:cs="Times New Roman"/>
          <w:color w:val="231F20"/>
          <w:spacing w:val="-2"/>
          <w:sz w:val="22"/>
          <w:szCs w:val="22"/>
        </w:rPr>
        <w:t xml:space="preserve">310 </w:t>
      </w:r>
      <w:r>
        <w:rPr>
          <w:rFonts w:ascii="微软雅黑" w:hAnsi="微软雅黑" w:eastAsia="微软雅黑" w:cs="微软雅黑"/>
          <w:color w:val="231F20"/>
          <w:spacing w:val="-2"/>
          <w:sz w:val="22"/>
          <w:szCs w:val="22"/>
        </w:rPr>
        <w:t>亿</w:t>
      </w:r>
      <w:r>
        <w:rPr>
          <w:rFonts w:ascii="微软雅黑" w:hAnsi="微软雅黑" w:eastAsia="微软雅黑" w:cs="微软雅黑"/>
          <w:color w:val="231F20"/>
          <w:spacing w:val="-1"/>
          <w:sz w:val="22"/>
          <w:szCs w:val="22"/>
        </w:rPr>
        <w:t>美元 ，随着新冠肺炎疫情在中国得到有效防控，</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年中国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制造业实际使用外资金额达到 </w:t>
      </w:r>
      <w:r>
        <w:rPr>
          <w:rFonts w:ascii="Times New Roman" w:hAnsi="Times New Roman" w:eastAsia="Times New Roman" w:cs="Times New Roman"/>
          <w:color w:val="231F20"/>
          <w:spacing w:val="-1"/>
          <w:sz w:val="22"/>
          <w:szCs w:val="22"/>
        </w:rPr>
        <w:t xml:space="preserve">337.3 </w:t>
      </w:r>
      <w:r>
        <w:rPr>
          <w:rFonts w:ascii="微软雅黑" w:hAnsi="微软雅黑" w:eastAsia="微软雅黑" w:cs="微软雅黑"/>
          <w:color w:val="231F20"/>
          <w:spacing w:val="-1"/>
          <w:sz w:val="22"/>
          <w:szCs w:val="22"/>
        </w:rPr>
        <w:t xml:space="preserve">亿美元，  同比增长 </w:t>
      </w:r>
      <w:r>
        <w:rPr>
          <w:rFonts w:ascii="Times New Roman" w:hAnsi="Times New Roman" w:eastAsia="Times New Roman" w:cs="Times New Roman"/>
          <w:color w:val="231F20"/>
          <w:spacing w:val="-1"/>
          <w:sz w:val="22"/>
          <w:szCs w:val="22"/>
        </w:rPr>
        <w:t>8</w:t>
      </w:r>
      <w:r>
        <w:rPr>
          <w:rFonts w:ascii="Times New Roman" w:hAnsi="Times New Roman" w:eastAsia="Times New Roman" w:cs="Times New Roman"/>
          <w:color w:val="231F20"/>
          <w:sz w:val="22"/>
          <w:szCs w:val="22"/>
        </w:rPr>
        <w:t>.8%</w:t>
      </w:r>
      <w:r>
        <w:rPr>
          <w:rFonts w:ascii="微软雅黑" w:hAnsi="微软雅黑" w:eastAsia="微软雅黑" w:cs="微软雅黑"/>
          <w:color w:val="231F20"/>
          <w:sz w:val="22"/>
          <w:szCs w:val="22"/>
        </w:rPr>
        <w:t xml:space="preserve">。但制造业实际使用外资 </w:t>
      </w:r>
      <w:r>
        <w:rPr>
          <w:rFonts w:ascii="微软雅黑" w:hAnsi="微软雅黑" w:eastAsia="微软雅黑" w:cs="微软雅黑"/>
          <w:color w:val="231F20"/>
          <w:spacing w:val="-4"/>
          <w:sz w:val="22"/>
          <w:szCs w:val="22"/>
        </w:rPr>
        <w:t>占全行业实际使用外资比重呈现下</w:t>
      </w:r>
      <w:r>
        <w:rPr>
          <w:rFonts w:ascii="微软雅黑" w:hAnsi="微软雅黑" w:eastAsia="微软雅黑" w:cs="微软雅黑"/>
          <w:color w:val="231F20"/>
          <w:spacing w:val="-3"/>
          <w:sz w:val="22"/>
          <w:szCs w:val="22"/>
        </w:rPr>
        <w:t>降</w:t>
      </w:r>
      <w:r>
        <w:rPr>
          <w:rFonts w:ascii="微软雅黑" w:hAnsi="微软雅黑" w:eastAsia="微软雅黑" w:cs="微软雅黑"/>
          <w:color w:val="231F20"/>
          <w:spacing w:val="-2"/>
          <w:sz w:val="22"/>
          <w:szCs w:val="22"/>
        </w:rPr>
        <w:t xml:space="preserve">趋势，从 </w:t>
      </w:r>
      <w:r>
        <w:rPr>
          <w:rFonts w:ascii="Times New Roman" w:hAnsi="Times New Roman" w:eastAsia="Times New Roman" w:cs="Times New Roman"/>
          <w:color w:val="231F20"/>
          <w:spacing w:val="-2"/>
          <w:sz w:val="22"/>
          <w:szCs w:val="22"/>
        </w:rPr>
        <w:t xml:space="preserve">2017 </w:t>
      </w:r>
      <w:r>
        <w:rPr>
          <w:rFonts w:ascii="微软雅黑" w:hAnsi="微软雅黑" w:eastAsia="微软雅黑" w:cs="微软雅黑"/>
          <w:color w:val="231F20"/>
          <w:spacing w:val="-2"/>
          <w:sz w:val="22"/>
          <w:szCs w:val="22"/>
        </w:rPr>
        <w:t xml:space="preserve">年的 </w:t>
      </w:r>
      <w:r>
        <w:rPr>
          <w:rFonts w:ascii="Times New Roman" w:hAnsi="Times New Roman" w:eastAsia="Times New Roman" w:cs="Times New Roman"/>
          <w:color w:val="231F20"/>
          <w:spacing w:val="-2"/>
          <w:sz w:val="22"/>
          <w:szCs w:val="22"/>
        </w:rPr>
        <w:t xml:space="preserve">24.6% </w:t>
      </w:r>
      <w:r>
        <w:rPr>
          <w:rFonts w:ascii="微软雅黑" w:hAnsi="微软雅黑" w:eastAsia="微软雅黑" w:cs="微软雅黑"/>
          <w:color w:val="231F20"/>
          <w:spacing w:val="-2"/>
          <w:sz w:val="22"/>
          <w:szCs w:val="22"/>
        </w:rPr>
        <w:t xml:space="preserve">下降到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18.6%</w:t>
      </w:r>
      <w:r>
        <w:rPr>
          <w:rFonts w:ascii="微软雅黑" w:hAnsi="微软雅黑" w:eastAsia="微软雅黑" w:cs="微软雅黑"/>
          <w:color w:val="231F20"/>
          <w:spacing w:val="-2"/>
          <w:sz w:val="22"/>
          <w:szCs w:val="22"/>
        </w:rPr>
        <w:t>。</w:t>
      </w:r>
    </w:p>
    <w:p>
      <w:pPr>
        <w:spacing w:before="184" w:line="258" w:lineRule="auto"/>
        <w:ind w:left="1995" w:right="1976" w:firstLine="452"/>
        <w:rPr>
          <w:rFonts w:ascii="微软雅黑" w:hAnsi="微软雅黑" w:eastAsia="微软雅黑" w:cs="微软雅黑"/>
          <w:sz w:val="22"/>
          <w:szCs w:val="22"/>
        </w:rPr>
      </w:pP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 ，租赁和商务服务业 ，房地产业 ，科学研究和技术服务业 ，信息传输</w:t>
      </w:r>
      <w:r>
        <w:rPr>
          <w:rFonts w:ascii="微软雅黑" w:hAnsi="微软雅黑" w:eastAsia="微软雅黑" w:cs="微软雅黑"/>
          <w:color w:val="231F20"/>
          <w:sz w:val="22"/>
          <w:szCs w:val="22"/>
        </w:rPr>
        <w:t xml:space="preserve"> 、 </w:t>
      </w:r>
      <w:r>
        <w:rPr>
          <w:rFonts w:ascii="微软雅黑" w:hAnsi="微软雅黑" w:eastAsia="微软雅黑" w:cs="微软雅黑"/>
          <w:color w:val="231F20"/>
          <w:spacing w:val="2"/>
          <w:sz w:val="22"/>
          <w:szCs w:val="22"/>
        </w:rPr>
        <w:t>软件和信息技术服务业 ，批发和零售业</w:t>
      </w:r>
      <w:r>
        <w:rPr>
          <w:rFonts w:ascii="微软雅黑" w:hAnsi="微软雅黑" w:eastAsia="微软雅黑" w:cs="微软雅黑"/>
          <w:color w:val="231F20"/>
          <w:spacing w:val="1"/>
          <w:sz w:val="22"/>
          <w:szCs w:val="22"/>
        </w:rPr>
        <w:t xml:space="preserve">是服务业实际使用外资规模最大的 </w:t>
      </w:r>
      <w:r>
        <w:rPr>
          <w:rFonts w:ascii="Times New Roman" w:hAnsi="Times New Roman" w:eastAsia="Times New Roman" w:cs="Times New Roman"/>
          <w:color w:val="231F20"/>
          <w:spacing w:val="1"/>
          <w:sz w:val="22"/>
          <w:szCs w:val="22"/>
        </w:rPr>
        <w:t xml:space="preserve">5 </w:t>
      </w:r>
      <w:r>
        <w:rPr>
          <w:rFonts w:ascii="微软雅黑" w:hAnsi="微软雅黑" w:eastAsia="微软雅黑" w:cs="微软雅黑"/>
          <w:color w:val="231F20"/>
          <w:spacing w:val="1"/>
          <w:sz w:val="22"/>
          <w:szCs w:val="22"/>
        </w:rPr>
        <w:t>个行业，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占全国全行业实际使用外资</w:t>
      </w:r>
      <w:r>
        <w:rPr>
          <w:rFonts w:ascii="微软雅黑" w:hAnsi="微软雅黑" w:eastAsia="微软雅黑" w:cs="微软雅黑"/>
          <w:color w:val="231F20"/>
          <w:spacing w:val="-3"/>
          <w:sz w:val="22"/>
          <w:szCs w:val="22"/>
        </w:rPr>
        <w:t xml:space="preserve">金额的比重分别为 </w:t>
      </w:r>
      <w:r>
        <w:rPr>
          <w:rFonts w:ascii="Times New Roman" w:hAnsi="Times New Roman" w:eastAsia="Times New Roman" w:cs="Times New Roman"/>
          <w:color w:val="231F20"/>
          <w:spacing w:val="-3"/>
          <w:sz w:val="22"/>
          <w:szCs w:val="22"/>
        </w:rPr>
        <w:t xml:space="preserve">18.3% </w:t>
      </w:r>
      <w:r>
        <w:rPr>
          <w:rFonts w:ascii="微软雅黑" w:hAnsi="微软雅黑" w:eastAsia="微软雅黑" w:cs="微软雅黑"/>
          <w:color w:val="231F20"/>
          <w:spacing w:val="-3"/>
          <w:sz w:val="22"/>
          <w:szCs w:val="22"/>
        </w:rPr>
        <w:t>、</w:t>
      </w:r>
      <w:r>
        <w:rPr>
          <w:rFonts w:ascii="Times New Roman" w:hAnsi="Times New Roman" w:eastAsia="Times New Roman" w:cs="Times New Roman"/>
          <w:color w:val="231F20"/>
          <w:spacing w:val="-3"/>
          <w:sz w:val="22"/>
          <w:szCs w:val="22"/>
        </w:rPr>
        <w:t xml:space="preserve">13% </w:t>
      </w:r>
      <w:r>
        <w:rPr>
          <w:rFonts w:ascii="微软雅黑" w:hAnsi="微软雅黑" w:eastAsia="微软雅黑" w:cs="微软雅黑"/>
          <w:color w:val="231F20"/>
          <w:spacing w:val="-3"/>
          <w:sz w:val="22"/>
          <w:szCs w:val="22"/>
        </w:rPr>
        <w:t>、</w:t>
      </w:r>
      <w:r>
        <w:rPr>
          <w:rFonts w:ascii="Times New Roman" w:hAnsi="Times New Roman" w:eastAsia="Times New Roman" w:cs="Times New Roman"/>
          <w:color w:val="231F20"/>
          <w:spacing w:val="-3"/>
          <w:sz w:val="22"/>
          <w:szCs w:val="22"/>
        </w:rPr>
        <w:t xml:space="preserve">12.6% </w:t>
      </w:r>
      <w:r>
        <w:rPr>
          <w:rFonts w:ascii="微软雅黑" w:hAnsi="微软雅黑" w:eastAsia="微软雅黑" w:cs="微软雅黑"/>
          <w:color w:val="231F20"/>
          <w:spacing w:val="-3"/>
          <w:sz w:val="22"/>
          <w:szCs w:val="22"/>
        </w:rPr>
        <w:t>，</w:t>
      </w:r>
      <w:r>
        <w:rPr>
          <w:rFonts w:ascii="Times New Roman" w:hAnsi="Times New Roman" w:eastAsia="Times New Roman" w:cs="Times New Roman"/>
          <w:color w:val="231F20"/>
          <w:spacing w:val="-3"/>
          <w:sz w:val="22"/>
          <w:szCs w:val="22"/>
        </w:rPr>
        <w:t xml:space="preserve">11. 1% </w:t>
      </w:r>
      <w:r>
        <w:rPr>
          <w:rFonts w:ascii="微软雅黑" w:hAnsi="微软雅黑" w:eastAsia="微软雅黑" w:cs="微软雅黑"/>
          <w:color w:val="231F20"/>
          <w:spacing w:val="-3"/>
          <w:sz w:val="22"/>
          <w:szCs w:val="22"/>
        </w:rPr>
        <w:t xml:space="preserve">和 </w:t>
      </w:r>
      <w:r>
        <w:rPr>
          <w:rFonts w:ascii="Times New Roman" w:hAnsi="Times New Roman" w:eastAsia="Times New Roman" w:cs="Times New Roman"/>
          <w:color w:val="231F20"/>
          <w:spacing w:val="-3"/>
          <w:sz w:val="22"/>
          <w:szCs w:val="22"/>
        </w:rPr>
        <w:t>9.2%</w:t>
      </w:r>
      <w:r>
        <w:rPr>
          <w:rFonts w:ascii="微软雅黑" w:hAnsi="微软雅黑" w:eastAsia="微软雅黑" w:cs="微软雅黑"/>
          <w:color w:val="231F20"/>
          <w:spacing w:val="-3"/>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合计占全国实</w:t>
      </w:r>
      <w:r>
        <w:rPr>
          <w:rFonts w:ascii="微软雅黑" w:hAnsi="微软雅黑" w:eastAsia="微软雅黑" w:cs="微软雅黑"/>
          <w:color w:val="231F20"/>
          <w:spacing w:val="6"/>
          <w:sz w:val="22"/>
          <w:szCs w:val="22"/>
        </w:rPr>
        <w:t>际</w:t>
      </w:r>
      <w:r>
        <w:rPr>
          <w:rFonts w:ascii="微软雅黑" w:hAnsi="微软雅黑" w:eastAsia="微软雅黑" w:cs="微软雅黑"/>
          <w:color w:val="231F20"/>
          <w:spacing w:val="4"/>
          <w:sz w:val="22"/>
          <w:szCs w:val="22"/>
        </w:rPr>
        <w:t xml:space="preserve">使用外资的 </w:t>
      </w:r>
      <w:r>
        <w:rPr>
          <w:rFonts w:ascii="Times New Roman" w:hAnsi="Times New Roman" w:eastAsia="Times New Roman" w:cs="Times New Roman"/>
          <w:color w:val="231F20"/>
          <w:spacing w:val="4"/>
          <w:sz w:val="22"/>
          <w:szCs w:val="22"/>
        </w:rPr>
        <w:t xml:space="preserve">64.2% </w:t>
      </w:r>
      <w:r>
        <w:rPr>
          <w:rFonts w:ascii="微软雅黑" w:hAnsi="微软雅黑" w:eastAsia="微软雅黑" w:cs="微软雅黑"/>
          <w:color w:val="231F20"/>
          <w:spacing w:val="4"/>
          <w:sz w:val="22"/>
          <w:szCs w:val="22"/>
        </w:rPr>
        <w:t>。其中，  批发和零售业实际使用外资同比增长达</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1"/>
          <w:sz w:val="22"/>
          <w:szCs w:val="22"/>
        </w:rPr>
        <w:t xml:space="preserve">41. 1% </w:t>
      </w:r>
      <w:r>
        <w:rPr>
          <w:rFonts w:ascii="微软雅黑" w:hAnsi="微软雅黑" w:eastAsia="微软雅黑" w:cs="微软雅黑"/>
          <w:color w:val="231F20"/>
          <w:spacing w:val="-1"/>
          <w:sz w:val="22"/>
          <w:szCs w:val="22"/>
        </w:rPr>
        <w:t xml:space="preserve">，租赁和商务服务业 </w:t>
      </w:r>
      <w:r>
        <w:rPr>
          <w:rFonts w:ascii="微软雅黑" w:hAnsi="微软雅黑" w:eastAsia="微软雅黑" w:cs="微软雅黑"/>
          <w:color w:val="231F20"/>
          <w:sz w:val="22"/>
          <w:szCs w:val="22"/>
        </w:rPr>
        <w:t xml:space="preserve">，信息传输 、软件和信息技术服务业实际使用外资分别增 </w:t>
      </w:r>
      <w:r>
        <w:rPr>
          <w:rFonts w:ascii="微软雅黑" w:hAnsi="微软雅黑" w:eastAsia="微软雅黑" w:cs="微软雅黑"/>
          <w:color w:val="231F20"/>
          <w:spacing w:val="-1"/>
          <w:sz w:val="22"/>
          <w:szCs w:val="22"/>
        </w:rPr>
        <w:t xml:space="preserve">长 </w:t>
      </w:r>
      <w:r>
        <w:rPr>
          <w:rFonts w:ascii="Times New Roman" w:hAnsi="Times New Roman" w:eastAsia="Times New Roman" w:cs="Times New Roman"/>
          <w:color w:val="231F20"/>
          <w:spacing w:val="-1"/>
          <w:sz w:val="22"/>
          <w:szCs w:val="22"/>
        </w:rPr>
        <w:t xml:space="preserve">24.6% </w:t>
      </w:r>
      <w:r>
        <w:rPr>
          <w:rFonts w:ascii="微软雅黑" w:hAnsi="微软雅黑" w:eastAsia="微软雅黑" w:cs="微软雅黑"/>
          <w:color w:val="231F20"/>
          <w:spacing w:val="-1"/>
          <w:sz w:val="22"/>
          <w:szCs w:val="22"/>
        </w:rPr>
        <w:t xml:space="preserve">和 </w:t>
      </w:r>
      <w:r>
        <w:rPr>
          <w:rFonts w:ascii="Times New Roman" w:hAnsi="Times New Roman" w:eastAsia="Times New Roman" w:cs="Times New Roman"/>
          <w:color w:val="231F20"/>
          <w:spacing w:val="-1"/>
          <w:sz w:val="22"/>
          <w:szCs w:val="22"/>
        </w:rPr>
        <w:t xml:space="preserve">22.3% </w:t>
      </w:r>
      <w:r>
        <w:rPr>
          <w:rFonts w:ascii="微软雅黑" w:hAnsi="微软雅黑" w:eastAsia="微软雅黑" w:cs="微软雅黑"/>
          <w:color w:val="231F20"/>
          <w:spacing w:val="-1"/>
          <w:sz w:val="22"/>
          <w:szCs w:val="22"/>
        </w:rPr>
        <w:t xml:space="preserve">，均超过全行业 </w:t>
      </w:r>
      <w:r>
        <w:rPr>
          <w:rFonts w:ascii="Times New Roman" w:hAnsi="Times New Roman" w:eastAsia="Times New Roman" w:cs="Times New Roman"/>
          <w:color w:val="231F20"/>
          <w:spacing w:val="-1"/>
          <w:sz w:val="22"/>
          <w:szCs w:val="22"/>
        </w:rPr>
        <w:t xml:space="preserve">21.2% </w:t>
      </w:r>
      <w:r>
        <w:rPr>
          <w:rFonts w:ascii="微软雅黑" w:hAnsi="微软雅黑" w:eastAsia="微软雅黑" w:cs="微软雅黑"/>
          <w:color w:val="231F20"/>
          <w:sz w:val="22"/>
          <w:szCs w:val="22"/>
        </w:rPr>
        <w:t>的增长速度。</w:t>
      </w:r>
    </w:p>
    <w:p>
      <w:pPr>
        <w:spacing w:line="327" w:lineRule="auto"/>
        <w:rPr>
          <w:rFonts w:ascii="Arial"/>
          <w:sz w:val="21"/>
        </w:rPr>
      </w:pPr>
    </w:p>
    <w:p>
      <w:pPr>
        <w:spacing w:before="52" w:line="200" w:lineRule="auto"/>
        <w:ind w:left="6684"/>
        <w:rPr>
          <w:rFonts w:ascii="宋体" w:hAnsi="宋体" w:eastAsia="宋体" w:cs="宋体"/>
          <w:sz w:val="16"/>
          <w:szCs w:val="16"/>
        </w:rPr>
      </w:pPr>
      <w:r>
        <w:pict>
          <v:shape id="_x0000_s1140" o:spid="_x0000_s1140" o:spt="202" type="#_x0000_t202" style="position:absolute;left:0pt;margin-left:237.6pt;margin-top:2.55pt;height:13.35pt;width:39.3pt;z-index:251771904;mso-width-relative:page;mso-height-relative:page;" filled="f" stroked="f" coordsize="21600,21600">
            <v:path/>
            <v:fill on="f" focussize="0,0"/>
            <v:stroke on="f"/>
            <v:imagedata o:title=""/>
            <o:lock v:ext="edit" aspectratio="f"/>
            <v:textbox inset="0mm,0mm,0mm,0mm">
              <w:txbxContent>
                <w:p>
                  <w:pPr>
                    <w:spacing w:before="20" w:line="226" w:lineRule="exact"/>
                    <w:ind w:left="20"/>
                    <w:rPr>
                      <w:rFonts w:ascii="Calibri" w:hAnsi="Calibri" w:eastAsia="Calibri" w:cs="Calibri"/>
                      <w:sz w:val="16"/>
                      <w:szCs w:val="16"/>
                    </w:rPr>
                  </w:pPr>
                  <w:r>
                    <w:rPr>
                      <w:rFonts w:ascii="宋体" w:hAnsi="宋体" w:eastAsia="宋体" w:cs="宋体"/>
                      <w:color w:val="030303"/>
                      <w:spacing w:val="4"/>
                      <w:position w:val="1"/>
                      <w:sz w:val="16"/>
                      <w:szCs w:val="16"/>
                    </w:rPr>
                    <w:t>其他</w:t>
                  </w:r>
                  <w:r>
                    <w:rPr>
                      <w:rFonts w:ascii="Calibri" w:hAnsi="Calibri" w:eastAsia="Calibri" w:cs="Calibri"/>
                      <w:color w:val="030303"/>
                      <w:spacing w:val="4"/>
                      <w:position w:val="1"/>
                      <w:sz w:val="16"/>
                      <w:szCs w:val="16"/>
                    </w:rPr>
                    <w:t>, 5.1%</w:t>
                  </w:r>
                </w:p>
              </w:txbxContent>
            </v:textbox>
          </v:shape>
        </w:pict>
      </w:r>
      <w:r>
        <w:pict>
          <v:shape id="_x0000_s1141" o:spid="_x0000_s1141" o:spt="202" type="#_x0000_t202" style="position:absolute;left:0pt;margin-left:159.35pt;margin-top:17.15pt;height:13.35pt;width:55.25pt;z-index:251768832;mso-width-relative:page;mso-height-relative:page;" filled="f" stroked="f" coordsize="21600,21600">
            <v:path/>
            <v:fill on="f" focussize="0,0"/>
            <v:stroke on="f"/>
            <v:imagedata o:title=""/>
            <o:lock v:ext="edit" aspectratio="f"/>
            <v:textbox inset="0mm,0mm,0mm,0mm">
              <w:txbxContent>
                <w:p>
                  <w:pPr>
                    <w:spacing w:before="20" w:line="226" w:lineRule="exact"/>
                    <w:ind w:left="20"/>
                    <w:rPr>
                      <w:rFonts w:ascii="Calibri" w:hAnsi="Calibri" w:eastAsia="Calibri" w:cs="Calibri"/>
                      <w:sz w:val="16"/>
                      <w:szCs w:val="16"/>
                    </w:rPr>
                  </w:pPr>
                  <w:r>
                    <w:rPr>
                      <w:rFonts w:ascii="宋体" w:hAnsi="宋体" w:eastAsia="宋体" w:cs="宋体"/>
                      <w:color w:val="030303"/>
                      <w:spacing w:val="8"/>
                      <w:position w:val="1"/>
                      <w:sz w:val="16"/>
                      <w:szCs w:val="16"/>
                    </w:rPr>
                    <w:t>金</w:t>
                  </w:r>
                  <w:r>
                    <w:rPr>
                      <w:rFonts w:ascii="宋体" w:hAnsi="宋体" w:eastAsia="宋体" w:cs="宋体"/>
                      <w:color w:val="030303"/>
                      <w:spacing w:val="4"/>
                      <w:position w:val="1"/>
                      <w:sz w:val="16"/>
                      <w:szCs w:val="16"/>
                    </w:rPr>
                    <w:t>融业</w:t>
                  </w:r>
                  <w:r>
                    <w:rPr>
                      <w:rFonts w:ascii="Calibri" w:hAnsi="Calibri" w:eastAsia="Calibri" w:cs="Calibri"/>
                      <w:color w:val="030303"/>
                      <w:spacing w:val="4"/>
                      <w:position w:val="1"/>
                      <w:sz w:val="16"/>
                      <w:szCs w:val="16"/>
                    </w:rPr>
                    <w:t>, 6.6%</w:t>
                  </w:r>
                  <w:r>
                    <w:rPr>
                      <w:rFonts w:ascii="Calibri" w:hAnsi="Calibri" w:eastAsia="Calibri" w:cs="Calibri"/>
                      <w:strike/>
                      <w:color w:val="030303"/>
                      <w:position w:val="1"/>
                      <w:sz w:val="16"/>
                      <w:szCs w:val="16"/>
                    </w:rPr>
                    <w:t xml:space="preserve">    </w:t>
                  </w:r>
                </w:p>
              </w:txbxContent>
            </v:textbox>
          </v:shape>
        </w:pict>
      </w:r>
      <w:r>
        <w:pict>
          <v:shape id="_x0000_s1142" o:spid="_x0000_s1142" o:spt="202" type="#_x0000_t202" style="position:absolute;left:0pt;margin-left:396.65pt;margin-top:18.25pt;height:11.65pt;width:52pt;z-index:251770880;mso-width-relative:page;mso-height-relative:page;" filled="f" stroked="f" coordsize="21600,21600">
            <v:path/>
            <v:fill on="f" focussize="0,0"/>
            <v:stroke on="f"/>
            <v:imagedata o:title=""/>
            <o:lock v:ext="edit" aspectratio="f"/>
            <v:textbox inset="0mm,0mm,0mm,0mm">
              <w:txbxContent>
                <w:p>
                  <w:pPr>
                    <w:spacing w:before="19" w:line="223" w:lineRule="auto"/>
                    <w:ind w:left="20"/>
                    <w:rPr>
                      <w:rFonts w:ascii="Calibri" w:hAnsi="Calibri" w:eastAsia="Calibri" w:cs="Calibri"/>
                      <w:sz w:val="16"/>
                      <w:szCs w:val="16"/>
                    </w:rPr>
                  </w:pPr>
                  <w:r>
                    <w:rPr>
                      <w:rFonts w:ascii="宋体" w:hAnsi="宋体" w:eastAsia="宋体" w:cs="宋体"/>
                      <w:color w:val="030303"/>
                      <w:spacing w:val="8"/>
                      <w:sz w:val="16"/>
                      <w:szCs w:val="16"/>
                    </w:rPr>
                    <w:t>制</w:t>
                  </w:r>
                  <w:r>
                    <w:rPr>
                      <w:rFonts w:ascii="宋体" w:hAnsi="宋体" w:eastAsia="宋体" w:cs="宋体"/>
                      <w:color w:val="030303"/>
                      <w:spacing w:val="5"/>
                      <w:sz w:val="16"/>
                      <w:szCs w:val="16"/>
                    </w:rPr>
                    <w:t>造</w:t>
                  </w:r>
                  <w:r>
                    <w:rPr>
                      <w:rFonts w:ascii="宋体" w:hAnsi="宋体" w:eastAsia="宋体" w:cs="宋体"/>
                      <w:color w:val="030303"/>
                      <w:spacing w:val="4"/>
                      <w:sz w:val="16"/>
                      <w:szCs w:val="16"/>
                    </w:rPr>
                    <w:t>业</w:t>
                  </w:r>
                  <w:r>
                    <w:rPr>
                      <w:rFonts w:ascii="Calibri" w:hAnsi="Calibri" w:eastAsia="Calibri" w:cs="Calibri"/>
                      <w:color w:val="030303"/>
                      <w:spacing w:val="4"/>
                      <w:sz w:val="16"/>
                      <w:szCs w:val="16"/>
                    </w:rPr>
                    <w:t>, 18.6%</w:t>
                  </w:r>
                </w:p>
              </w:txbxContent>
            </v:textbox>
          </v:shape>
        </w:pict>
      </w:r>
      <w:r>
        <w:rPr>
          <w:rFonts w:ascii="宋体" w:hAnsi="宋体" w:eastAsia="宋体" w:cs="宋体"/>
          <w:color w:val="030303"/>
          <w:spacing w:val="8"/>
          <w:sz w:val="16"/>
          <w:szCs w:val="16"/>
        </w:rPr>
        <w:t>农、林、牧、渔</w:t>
      </w:r>
    </w:p>
    <w:p>
      <w:pPr>
        <w:spacing w:line="226" w:lineRule="exact"/>
        <w:ind w:left="6983"/>
        <w:rPr>
          <w:rFonts w:ascii="Calibri" w:hAnsi="Calibri" w:eastAsia="Calibri" w:cs="Calibri"/>
          <w:sz w:val="16"/>
          <w:szCs w:val="16"/>
        </w:rPr>
      </w:pPr>
      <w:r>
        <w:rPr>
          <w:rFonts w:ascii="宋体" w:hAnsi="宋体" w:eastAsia="宋体" w:cs="宋体"/>
          <w:color w:val="030303"/>
          <w:spacing w:val="6"/>
          <w:position w:val="2"/>
          <w:sz w:val="16"/>
          <w:szCs w:val="16"/>
        </w:rPr>
        <w:t>业</w:t>
      </w:r>
      <w:r>
        <w:rPr>
          <w:rFonts w:ascii="Calibri" w:hAnsi="Calibri" w:eastAsia="Calibri" w:cs="Calibri"/>
          <w:color w:val="030303"/>
          <w:spacing w:val="3"/>
          <w:position w:val="2"/>
          <w:sz w:val="16"/>
          <w:szCs w:val="16"/>
        </w:rPr>
        <w:t>, 0.5%</w:t>
      </w:r>
      <w:r>
        <w:rPr>
          <w:rFonts w:ascii="Calibri" w:hAnsi="Calibri" w:eastAsia="Calibri" w:cs="Calibri"/>
          <w:color w:val="030303"/>
          <w:position w:val="2"/>
          <w:sz w:val="16"/>
          <w:szCs w:val="16"/>
        </w:rPr>
        <w:t xml:space="preserve">         </w:t>
      </w:r>
    </w:p>
    <w:p>
      <w:pPr>
        <w:spacing w:line="458" w:lineRule="auto"/>
        <w:rPr>
          <w:rFonts w:ascii="Arial"/>
          <w:sz w:val="21"/>
        </w:rPr>
      </w:pPr>
    </w:p>
    <w:p>
      <w:pPr>
        <w:spacing w:before="53" w:line="230" w:lineRule="auto"/>
        <w:ind w:left="8260"/>
        <w:rPr>
          <w:rFonts w:ascii="宋体" w:hAnsi="宋体" w:eastAsia="宋体" w:cs="宋体"/>
          <w:sz w:val="16"/>
          <w:szCs w:val="16"/>
        </w:rPr>
      </w:pPr>
      <w:r>
        <w:rPr>
          <w:rFonts w:ascii="宋体" w:hAnsi="宋体" w:eastAsia="宋体" w:cs="宋体"/>
          <w:color w:val="030303"/>
          <w:spacing w:val="6"/>
          <w:sz w:val="16"/>
          <w:szCs w:val="16"/>
        </w:rPr>
        <w:t>电</w:t>
      </w:r>
      <w:r>
        <w:rPr>
          <w:rFonts w:ascii="宋体" w:hAnsi="宋体" w:eastAsia="宋体" w:cs="宋体"/>
          <w:color w:val="030303"/>
          <w:spacing w:val="5"/>
          <w:sz w:val="16"/>
          <w:szCs w:val="16"/>
        </w:rPr>
        <w:t>力、热力、燃</w:t>
      </w:r>
    </w:p>
    <w:p>
      <w:pPr>
        <w:spacing w:before="4" w:line="200" w:lineRule="auto"/>
        <w:ind w:left="8241"/>
        <w:rPr>
          <w:rFonts w:ascii="宋体" w:hAnsi="宋体" w:eastAsia="宋体" w:cs="宋体"/>
          <w:sz w:val="16"/>
          <w:szCs w:val="16"/>
        </w:rPr>
      </w:pPr>
      <w:r>
        <w:rPr>
          <w:rFonts w:ascii="宋体" w:hAnsi="宋体" w:eastAsia="宋体" w:cs="宋体"/>
          <w:color w:val="030303"/>
          <w:spacing w:val="8"/>
          <w:sz w:val="16"/>
          <w:szCs w:val="16"/>
        </w:rPr>
        <w:t>气及水生产和</w:t>
      </w:r>
      <w:r>
        <w:rPr>
          <w:rFonts w:ascii="宋体" w:hAnsi="宋体" w:eastAsia="宋体" w:cs="宋体"/>
          <w:color w:val="030303"/>
          <w:spacing w:val="7"/>
          <w:sz w:val="16"/>
          <w:szCs w:val="16"/>
        </w:rPr>
        <w:t>供</w:t>
      </w:r>
    </w:p>
    <w:p>
      <w:pPr>
        <w:spacing w:line="226" w:lineRule="exact"/>
        <w:ind w:left="8455"/>
        <w:rPr>
          <w:rFonts w:ascii="Calibri" w:hAnsi="Calibri" w:eastAsia="Calibri" w:cs="Calibri"/>
          <w:sz w:val="16"/>
          <w:szCs w:val="16"/>
        </w:rPr>
      </w:pPr>
      <w:r>
        <w:pict>
          <v:shape id="_x0000_s1143" o:spid="_x0000_s1143" o:spt="202" type="#_x0000_t202" style="position:absolute;left:0pt;margin-left:138.45pt;margin-top:4.45pt;height:21.75pt;width:60.85pt;z-index:251766784;mso-width-relative:page;mso-height-relative:page;" filled="f" stroked="f" coordsize="21600,21600">
            <v:path/>
            <v:fill on="f" focussize="0,0"/>
            <v:stroke on="f"/>
            <v:imagedata o:title=""/>
            <o:lock v:ext="edit" aspectratio="f"/>
            <v:textbox inset="0mm,0mm,0mm,0mm">
              <w:txbxContent>
                <w:p>
                  <w:pPr>
                    <w:spacing w:before="19" w:line="228" w:lineRule="auto"/>
                    <w:ind w:left="106" w:right="20" w:hanging="87"/>
                    <w:rPr>
                      <w:rFonts w:ascii="Calibri" w:hAnsi="Calibri" w:eastAsia="Calibri" w:cs="Calibri"/>
                      <w:sz w:val="16"/>
                      <w:szCs w:val="16"/>
                    </w:rPr>
                  </w:pPr>
                  <w:r>
                    <w:rPr>
                      <w:rFonts w:ascii="宋体" w:hAnsi="宋体" w:eastAsia="宋体" w:cs="宋体"/>
                      <w:color w:val="030303"/>
                      <w:spacing w:val="8"/>
                      <w:sz w:val="16"/>
                      <w:szCs w:val="16"/>
                    </w:rPr>
                    <w:t>科学研究和技术</w:t>
                  </w:r>
                  <w:r>
                    <w:rPr>
                      <w:rFonts w:ascii="宋体" w:hAnsi="宋体" w:eastAsia="宋体" w:cs="宋体"/>
                      <w:color w:val="030303"/>
                      <w:sz w:val="16"/>
                      <w:szCs w:val="16"/>
                    </w:rPr>
                    <w:t xml:space="preserve"> </w:t>
                  </w:r>
                  <w:r>
                    <w:rPr>
                      <w:rFonts w:ascii="宋体" w:hAnsi="宋体" w:eastAsia="宋体" w:cs="宋体"/>
                      <w:color w:val="030303"/>
                      <w:spacing w:val="8"/>
                      <w:sz w:val="16"/>
                      <w:szCs w:val="16"/>
                    </w:rPr>
                    <w:t>服</w:t>
                  </w:r>
                  <w:r>
                    <w:rPr>
                      <w:rFonts w:ascii="宋体" w:hAnsi="宋体" w:eastAsia="宋体" w:cs="宋体"/>
                      <w:color w:val="030303"/>
                      <w:spacing w:val="6"/>
                      <w:sz w:val="16"/>
                      <w:szCs w:val="16"/>
                    </w:rPr>
                    <w:t>务</w:t>
                  </w:r>
                  <w:r>
                    <w:rPr>
                      <w:rFonts w:ascii="宋体" w:hAnsi="宋体" w:eastAsia="宋体" w:cs="宋体"/>
                      <w:color w:val="030303"/>
                      <w:spacing w:val="4"/>
                      <w:sz w:val="16"/>
                      <w:szCs w:val="16"/>
                    </w:rPr>
                    <w:t>业</w:t>
                  </w:r>
                  <w:r>
                    <w:rPr>
                      <w:rFonts w:ascii="Calibri" w:hAnsi="Calibri" w:eastAsia="Calibri" w:cs="Calibri"/>
                      <w:color w:val="030303"/>
                      <w:spacing w:val="4"/>
                      <w:sz w:val="16"/>
                      <w:szCs w:val="16"/>
                    </w:rPr>
                    <w:t>, 12.6%</w:t>
                  </w:r>
                </w:p>
              </w:txbxContent>
            </v:textbox>
          </v:shape>
        </w:pict>
      </w:r>
      <w:r>
        <w:rPr>
          <w:rFonts w:ascii="宋体" w:hAnsi="宋体" w:eastAsia="宋体" w:cs="宋体"/>
          <w:color w:val="030303"/>
          <w:spacing w:val="5"/>
          <w:position w:val="1"/>
          <w:sz w:val="16"/>
          <w:szCs w:val="16"/>
        </w:rPr>
        <w:t>应</w:t>
      </w:r>
      <w:r>
        <w:rPr>
          <w:rFonts w:ascii="宋体" w:hAnsi="宋体" w:eastAsia="宋体" w:cs="宋体"/>
          <w:color w:val="030303"/>
          <w:spacing w:val="4"/>
          <w:position w:val="1"/>
          <w:sz w:val="16"/>
          <w:szCs w:val="16"/>
        </w:rPr>
        <w:t>业</w:t>
      </w:r>
      <w:r>
        <w:rPr>
          <w:rFonts w:ascii="Calibri" w:hAnsi="Calibri" w:eastAsia="Calibri" w:cs="Calibri"/>
          <w:color w:val="030303"/>
          <w:spacing w:val="4"/>
          <w:position w:val="1"/>
          <w:sz w:val="16"/>
          <w:szCs w:val="16"/>
        </w:rPr>
        <w:t>, 2.1%</w:t>
      </w:r>
    </w:p>
    <w:p>
      <w:pPr>
        <w:spacing w:before="289" w:line="200" w:lineRule="auto"/>
        <w:ind w:left="8245"/>
        <w:rPr>
          <w:rFonts w:ascii="宋体" w:hAnsi="宋体" w:eastAsia="宋体" w:cs="宋体"/>
          <w:sz w:val="16"/>
          <w:szCs w:val="16"/>
        </w:rPr>
      </w:pPr>
      <w:r>
        <w:rPr>
          <w:rFonts w:ascii="宋体" w:hAnsi="宋体" w:eastAsia="宋体" w:cs="宋体"/>
          <w:color w:val="030303"/>
          <w:spacing w:val="11"/>
          <w:sz w:val="16"/>
          <w:szCs w:val="16"/>
        </w:rPr>
        <w:t>交</w:t>
      </w:r>
      <w:r>
        <w:rPr>
          <w:rFonts w:ascii="宋体" w:hAnsi="宋体" w:eastAsia="宋体" w:cs="宋体"/>
          <w:color w:val="030303"/>
          <w:spacing w:val="7"/>
          <w:sz w:val="16"/>
          <w:szCs w:val="16"/>
        </w:rPr>
        <w:t>通运输、仓储</w:t>
      </w:r>
    </w:p>
    <w:p>
      <w:pPr>
        <w:spacing w:line="226" w:lineRule="exact"/>
        <w:ind w:left="8288"/>
        <w:rPr>
          <w:rFonts w:ascii="Calibri" w:hAnsi="Calibri" w:eastAsia="Calibri" w:cs="Calibri"/>
          <w:sz w:val="16"/>
          <w:szCs w:val="16"/>
        </w:rPr>
      </w:pPr>
      <w:r>
        <w:rPr>
          <w:rFonts w:ascii="宋体" w:hAnsi="宋体" w:eastAsia="宋体" w:cs="宋体"/>
          <w:color w:val="030303"/>
          <w:spacing w:val="5"/>
          <w:position w:val="1"/>
          <w:sz w:val="16"/>
          <w:szCs w:val="16"/>
        </w:rPr>
        <w:t>和邮政业</w:t>
      </w:r>
      <w:r>
        <w:rPr>
          <w:rFonts w:ascii="Calibri" w:hAnsi="Calibri" w:eastAsia="Calibri" w:cs="Calibri"/>
          <w:color w:val="030303"/>
          <w:spacing w:val="5"/>
          <w:position w:val="1"/>
          <w:sz w:val="16"/>
          <w:szCs w:val="16"/>
        </w:rPr>
        <w:t>, 2.9%</w:t>
      </w:r>
    </w:p>
    <w:p>
      <w:pPr>
        <w:spacing w:line="323" w:lineRule="auto"/>
        <w:rPr>
          <w:rFonts w:ascii="Arial"/>
          <w:sz w:val="21"/>
        </w:rPr>
      </w:pPr>
    </w:p>
    <w:p>
      <w:pPr>
        <w:spacing w:before="52" w:line="229" w:lineRule="auto"/>
        <w:ind w:left="8300"/>
        <w:rPr>
          <w:rFonts w:ascii="宋体" w:hAnsi="宋体" w:eastAsia="宋体" w:cs="宋体"/>
          <w:sz w:val="16"/>
          <w:szCs w:val="16"/>
        </w:rPr>
      </w:pPr>
      <w:r>
        <w:rPr>
          <w:rFonts w:ascii="宋体" w:hAnsi="宋体" w:eastAsia="宋体" w:cs="宋体"/>
          <w:color w:val="030303"/>
          <w:spacing w:val="8"/>
          <w:sz w:val="16"/>
          <w:szCs w:val="16"/>
        </w:rPr>
        <w:t>信息传输、软件</w:t>
      </w:r>
    </w:p>
    <w:p>
      <w:pPr>
        <w:spacing w:before="4" w:line="230" w:lineRule="auto"/>
        <w:ind w:left="8301"/>
        <w:rPr>
          <w:rFonts w:ascii="宋体" w:hAnsi="宋体" w:eastAsia="宋体" w:cs="宋体"/>
          <w:sz w:val="16"/>
          <w:szCs w:val="16"/>
        </w:rPr>
      </w:pPr>
      <w:r>
        <w:rPr>
          <w:rFonts w:ascii="宋体" w:hAnsi="宋体" w:eastAsia="宋体" w:cs="宋体"/>
          <w:color w:val="030303"/>
          <w:spacing w:val="8"/>
          <w:sz w:val="16"/>
          <w:szCs w:val="16"/>
        </w:rPr>
        <w:t>和信息技术服</w:t>
      </w:r>
      <w:r>
        <w:rPr>
          <w:rFonts w:ascii="宋体" w:hAnsi="宋体" w:eastAsia="宋体" w:cs="宋体"/>
          <w:color w:val="030303"/>
          <w:spacing w:val="7"/>
          <w:sz w:val="16"/>
          <w:szCs w:val="16"/>
        </w:rPr>
        <w:t>务</w:t>
      </w:r>
    </w:p>
    <w:p>
      <w:pPr>
        <w:spacing w:before="3" w:line="192" w:lineRule="auto"/>
        <w:ind w:left="8556"/>
        <w:rPr>
          <w:rFonts w:ascii="Calibri" w:hAnsi="Calibri" w:eastAsia="Calibri" w:cs="Calibri"/>
          <w:sz w:val="16"/>
          <w:szCs w:val="16"/>
        </w:rPr>
      </w:pPr>
      <w:r>
        <w:pict>
          <v:shape id="_x0000_s1144" o:spid="_x0000_s1144" o:spt="202" type="#_x0000_t202" style="position:absolute;left:0pt;margin-left:138.55pt;margin-top:1.5pt;height:21.75pt;width:60.8pt;z-index:251767808;mso-width-relative:page;mso-height-relative:page;" filled="f" stroked="f" coordsize="21600,21600">
            <v:path/>
            <v:fill on="f" focussize="0,0"/>
            <v:stroke on="f"/>
            <v:imagedata o:title=""/>
            <o:lock v:ext="edit" aspectratio="f"/>
            <v:textbox inset="0mm,0mm,0mm,0mm">
              <w:txbxContent>
                <w:p>
                  <w:pPr>
                    <w:spacing w:before="19" w:line="228" w:lineRule="auto"/>
                    <w:ind w:left="273" w:right="20" w:hanging="254"/>
                    <w:rPr>
                      <w:rFonts w:ascii="Calibri" w:hAnsi="Calibri" w:eastAsia="Calibri" w:cs="Calibri"/>
                      <w:sz w:val="16"/>
                      <w:szCs w:val="16"/>
                    </w:rPr>
                  </w:pPr>
                  <w:r>
                    <w:rPr>
                      <w:rFonts w:ascii="宋体" w:hAnsi="宋体" w:eastAsia="宋体" w:cs="宋体"/>
                      <w:color w:val="030303"/>
                      <w:spacing w:val="8"/>
                      <w:sz w:val="16"/>
                      <w:szCs w:val="16"/>
                    </w:rPr>
                    <w:t>租赁和商务服</w:t>
                  </w:r>
                  <w:r>
                    <w:rPr>
                      <w:rFonts w:ascii="宋体" w:hAnsi="宋体" w:eastAsia="宋体" w:cs="宋体"/>
                      <w:color w:val="030303"/>
                      <w:spacing w:val="7"/>
                      <w:sz w:val="16"/>
                      <w:szCs w:val="16"/>
                    </w:rPr>
                    <w:t>务</w:t>
                  </w:r>
                  <w:r>
                    <w:rPr>
                      <w:rFonts w:ascii="宋体" w:hAnsi="宋体" w:eastAsia="宋体" w:cs="宋体"/>
                      <w:color w:val="030303"/>
                      <w:sz w:val="16"/>
                      <w:szCs w:val="16"/>
                    </w:rPr>
                    <w:t xml:space="preserve"> </w:t>
                  </w:r>
                  <w:r>
                    <w:rPr>
                      <w:rFonts w:ascii="宋体" w:hAnsi="宋体" w:eastAsia="宋体" w:cs="宋体"/>
                      <w:color w:val="030303"/>
                      <w:spacing w:val="6"/>
                      <w:sz w:val="16"/>
                      <w:szCs w:val="16"/>
                    </w:rPr>
                    <w:t>业</w:t>
                  </w:r>
                  <w:r>
                    <w:rPr>
                      <w:rFonts w:ascii="Calibri" w:hAnsi="Calibri" w:eastAsia="Calibri" w:cs="Calibri"/>
                      <w:color w:val="030303"/>
                      <w:spacing w:val="5"/>
                      <w:sz w:val="16"/>
                      <w:szCs w:val="16"/>
                    </w:rPr>
                    <w:t>,</w:t>
                  </w:r>
                  <w:r>
                    <w:rPr>
                      <w:rFonts w:ascii="Calibri" w:hAnsi="Calibri" w:eastAsia="Calibri" w:cs="Calibri"/>
                      <w:color w:val="030303"/>
                      <w:spacing w:val="3"/>
                      <w:sz w:val="16"/>
                      <w:szCs w:val="16"/>
                    </w:rPr>
                    <w:t xml:space="preserve"> 18.3%</w:t>
                  </w:r>
                </w:p>
              </w:txbxContent>
            </v:textbox>
          </v:shape>
        </w:pict>
      </w:r>
      <w:r>
        <w:rPr>
          <w:rFonts w:ascii="宋体" w:hAnsi="宋体" w:eastAsia="宋体" w:cs="宋体"/>
          <w:color w:val="030303"/>
          <w:spacing w:val="4"/>
          <w:sz w:val="16"/>
          <w:szCs w:val="16"/>
        </w:rPr>
        <w:t>业</w:t>
      </w:r>
      <w:r>
        <w:rPr>
          <w:rFonts w:ascii="Calibri" w:hAnsi="Calibri" w:eastAsia="Calibri" w:cs="Calibri"/>
          <w:color w:val="030303"/>
          <w:spacing w:val="4"/>
          <w:sz w:val="16"/>
          <w:szCs w:val="16"/>
        </w:rPr>
        <w:t>, 11.1</w:t>
      </w:r>
      <w:r>
        <w:rPr>
          <w:rFonts w:ascii="Calibri" w:hAnsi="Calibri" w:eastAsia="Calibri" w:cs="Calibri"/>
          <w:color w:val="030303"/>
          <w:spacing w:val="3"/>
          <w:sz w:val="16"/>
          <w:szCs w:val="16"/>
        </w:rPr>
        <w:t>%</w:t>
      </w:r>
    </w:p>
    <w:p>
      <w:pPr>
        <w:spacing w:line="77" w:lineRule="exact"/>
        <w:ind w:firstLine="4116"/>
        <w:textAlignment w:val="center"/>
      </w:pPr>
      <w:r>
        <w:pict>
          <v:shape id="_x0000_s1145" o:spid="_x0000_s1145" style="height:4.05pt;width:17.9pt;" filled="f" stroked="t" coordsize="357,81" path="m355,6l1,73e">
            <v:fill on="f" focussize="0,0"/>
            <v:stroke weight="0.7pt" color="#D7D7D8" miterlimit="10"/>
            <v:imagedata o:title=""/>
            <o:lock v:ext="edit"/>
            <w10:wrap type="none"/>
            <w10:anchorlock/>
          </v:shape>
        </w:pict>
      </w:r>
    </w:p>
    <w:p>
      <w:pPr>
        <w:spacing w:line="310" w:lineRule="auto"/>
        <w:rPr>
          <w:rFonts w:ascii="Arial"/>
          <w:sz w:val="21"/>
        </w:rPr>
      </w:pPr>
    </w:p>
    <w:p>
      <w:pPr>
        <w:spacing w:line="311" w:lineRule="auto"/>
        <w:rPr>
          <w:rFonts w:ascii="Arial"/>
          <w:sz w:val="21"/>
        </w:rPr>
      </w:pPr>
    </w:p>
    <w:p>
      <w:pPr>
        <w:spacing w:line="220" w:lineRule="exact"/>
        <w:ind w:firstLine="5218"/>
        <w:textAlignment w:val="center"/>
      </w:pPr>
      <w:r>
        <w:pict>
          <v:shape id="_x0000_s1146" o:spid="_x0000_s1146" style="height:11.2pt;width:74.4pt;" filled="f" stroked="t" coordsize="1488,223" path="m1473,96c1275,169,1061,208,838,208c542,208,261,138,14,14e">
            <v:fill on="f" focussize="0,0"/>
            <v:stroke weight="1.41pt" color="#FFFFFF" miterlimit="10"/>
            <v:imagedata o:title=""/>
            <o:lock v:ext="edit"/>
            <w10:wrap type="none"/>
            <w10:anchorlock/>
          </v:shape>
        </w:pict>
      </w:r>
    </w:p>
    <w:p>
      <w:pPr>
        <w:spacing w:line="199" w:lineRule="auto"/>
        <w:ind w:left="7244"/>
        <w:rPr>
          <w:rFonts w:ascii="Calibri" w:hAnsi="Calibri" w:eastAsia="Calibri" w:cs="Calibri"/>
          <w:sz w:val="16"/>
          <w:szCs w:val="16"/>
        </w:rPr>
      </w:pPr>
      <w:r>
        <w:pict>
          <v:shape id="_x0000_s1147" o:spid="_x0000_s1147" o:spt="202" type="#_x0000_t202" style="position:absolute;left:0pt;margin-left:220.6pt;margin-top:2.7pt;height:13.35pt;width:54.1pt;z-index:251769856;mso-width-relative:page;mso-height-relative:page;" filled="f" stroked="f" coordsize="21600,21600">
            <v:path/>
            <v:fill on="f" focussize="0,0"/>
            <v:stroke on="f"/>
            <v:imagedata o:title=""/>
            <o:lock v:ext="edit" aspectratio="f"/>
            <v:textbox inset="0mm,0mm,0mm,0mm">
              <w:txbxContent>
                <w:p>
                  <w:pPr>
                    <w:spacing w:before="20" w:line="226" w:lineRule="exact"/>
                    <w:ind w:left="20"/>
                    <w:rPr>
                      <w:rFonts w:ascii="Calibri" w:hAnsi="Calibri" w:eastAsia="Calibri" w:cs="Calibri"/>
                      <w:sz w:val="16"/>
                      <w:szCs w:val="16"/>
                    </w:rPr>
                  </w:pPr>
                  <w:r>
                    <w:rPr>
                      <w:rFonts w:ascii="宋体" w:hAnsi="宋体" w:eastAsia="宋体" w:cs="宋体"/>
                      <w:color w:val="030303"/>
                      <w:spacing w:val="8"/>
                      <w:position w:val="1"/>
                      <w:sz w:val="16"/>
                      <w:szCs w:val="16"/>
                    </w:rPr>
                    <w:t>房</w:t>
                  </w:r>
                  <w:r>
                    <w:rPr>
                      <w:rFonts w:ascii="宋体" w:hAnsi="宋体" w:eastAsia="宋体" w:cs="宋体"/>
                      <w:color w:val="030303"/>
                      <w:spacing w:val="5"/>
                      <w:position w:val="1"/>
                      <w:sz w:val="16"/>
                      <w:szCs w:val="16"/>
                    </w:rPr>
                    <w:t>地产业</w:t>
                  </w:r>
                  <w:r>
                    <w:rPr>
                      <w:rFonts w:ascii="Calibri" w:hAnsi="Calibri" w:eastAsia="Calibri" w:cs="Calibri"/>
                      <w:color w:val="030303"/>
                      <w:spacing w:val="5"/>
                      <w:position w:val="1"/>
                      <w:sz w:val="16"/>
                      <w:szCs w:val="16"/>
                    </w:rPr>
                    <w:t>, 13%</w:t>
                  </w:r>
                </w:p>
              </w:txbxContent>
            </v:textbox>
          </v:shape>
        </w:pict>
      </w:r>
      <w:r>
        <w:rPr>
          <w:rFonts w:ascii="宋体" w:hAnsi="宋体" w:eastAsia="宋体" w:cs="宋体"/>
          <w:color w:val="030303"/>
          <w:spacing w:val="8"/>
          <w:sz w:val="16"/>
          <w:szCs w:val="16"/>
        </w:rPr>
        <w:t>批</w:t>
      </w:r>
      <w:r>
        <w:rPr>
          <w:rFonts w:ascii="宋体" w:hAnsi="宋体" w:eastAsia="宋体" w:cs="宋体"/>
          <w:color w:val="030303"/>
          <w:spacing w:val="7"/>
          <w:sz w:val="16"/>
          <w:szCs w:val="16"/>
        </w:rPr>
        <w:t>发和零售业</w:t>
      </w:r>
      <w:r>
        <w:rPr>
          <w:rFonts w:ascii="Calibri" w:hAnsi="Calibri" w:eastAsia="Calibri" w:cs="Calibri"/>
          <w:color w:val="030303"/>
          <w:spacing w:val="7"/>
          <w:sz w:val="16"/>
          <w:szCs w:val="16"/>
        </w:rPr>
        <w:t>,</w:t>
      </w:r>
    </w:p>
    <w:p>
      <w:pPr>
        <w:spacing w:line="225" w:lineRule="exact"/>
        <w:ind w:left="7605"/>
        <w:rPr>
          <w:rFonts w:ascii="Calibri" w:hAnsi="Calibri" w:eastAsia="Calibri" w:cs="Calibri"/>
          <w:sz w:val="16"/>
          <w:szCs w:val="16"/>
        </w:rPr>
      </w:pPr>
      <w:r>
        <w:rPr>
          <w:rFonts w:ascii="Calibri" w:hAnsi="Calibri" w:eastAsia="Calibri" w:cs="Calibri"/>
          <w:color w:val="030303"/>
          <w:spacing w:val="4"/>
          <w:position w:val="2"/>
          <w:sz w:val="16"/>
          <w:szCs w:val="16"/>
        </w:rPr>
        <w:t>9</w:t>
      </w:r>
      <w:r>
        <w:rPr>
          <w:rFonts w:ascii="Calibri" w:hAnsi="Calibri" w:eastAsia="Calibri" w:cs="Calibri"/>
          <w:color w:val="030303"/>
          <w:spacing w:val="2"/>
          <w:position w:val="2"/>
          <w:sz w:val="16"/>
          <w:szCs w:val="16"/>
        </w:rPr>
        <w:t>.2%</w:t>
      </w:r>
    </w:p>
    <w:p>
      <w:pPr>
        <w:spacing w:before="245" w:line="382" w:lineRule="exact"/>
        <w:ind w:left="4269"/>
        <w:rPr>
          <w:rFonts w:ascii="SimHei" w:hAnsi="SimHei" w:eastAsia="SimHei" w:cs="SimHei"/>
          <w:sz w:val="20"/>
          <w:szCs w:val="20"/>
        </w:rPr>
      </w:pPr>
      <w:r>
        <w:rPr>
          <w:rFonts w:ascii="SimHei" w:hAnsi="SimHei" w:eastAsia="SimHei" w:cs="SimHei"/>
          <w:color w:val="231F20"/>
          <w:spacing w:val="4"/>
          <w:position w:val="13"/>
          <w:sz w:val="20"/>
          <w:szCs w:val="20"/>
        </w:rPr>
        <w:t xml:space="preserve">图 </w:t>
      </w:r>
      <w:r>
        <w:rPr>
          <w:rFonts w:ascii="Times New Roman" w:hAnsi="Times New Roman" w:eastAsia="Times New Roman" w:cs="Times New Roman"/>
          <w:color w:val="231F20"/>
          <w:spacing w:val="4"/>
          <w:position w:val="13"/>
          <w:sz w:val="20"/>
          <w:szCs w:val="20"/>
        </w:rPr>
        <w:t>1-6</w:t>
      </w:r>
      <w:r>
        <w:rPr>
          <w:rFonts w:ascii="Times New Roman" w:hAnsi="Times New Roman" w:eastAsia="Times New Roman" w:cs="Times New Roman"/>
          <w:color w:val="231F20"/>
          <w:spacing w:val="3"/>
          <w:position w:val="13"/>
          <w:sz w:val="20"/>
          <w:szCs w:val="20"/>
        </w:rPr>
        <w:t xml:space="preserve"> </w:t>
      </w:r>
      <w:r>
        <w:rPr>
          <w:rFonts w:ascii="Times New Roman" w:hAnsi="Times New Roman" w:eastAsia="Times New Roman" w:cs="Times New Roman"/>
          <w:color w:val="231F20"/>
          <w:spacing w:val="2"/>
          <w:position w:val="13"/>
          <w:sz w:val="20"/>
          <w:szCs w:val="20"/>
        </w:rPr>
        <w:t xml:space="preserve">2021 </w:t>
      </w:r>
      <w:r>
        <w:rPr>
          <w:rFonts w:ascii="SimHei" w:hAnsi="SimHei" w:eastAsia="SimHei" w:cs="SimHei"/>
          <w:color w:val="231F20"/>
          <w:spacing w:val="2"/>
          <w:position w:val="13"/>
          <w:sz w:val="20"/>
          <w:szCs w:val="20"/>
        </w:rPr>
        <w:t>年细分行业外商投资占比情况</w:t>
      </w:r>
    </w:p>
    <w:p>
      <w:pPr>
        <w:spacing w:before="1" w:line="222" w:lineRule="auto"/>
        <w:ind w:left="1987"/>
        <w:rPr>
          <w:rFonts w:ascii="KaiTi" w:hAnsi="KaiTi" w:eastAsia="KaiTi" w:cs="KaiTi"/>
          <w:sz w:val="17"/>
          <w:szCs w:val="17"/>
        </w:rPr>
      </w:pPr>
      <w:r>
        <w:rPr>
          <w:rFonts w:ascii="KaiTi" w:hAnsi="KaiTi" w:eastAsia="KaiTi" w:cs="KaiTi"/>
          <w:color w:val="231F20"/>
          <w:spacing w:val="6"/>
          <w:sz w:val="17"/>
          <w:szCs w:val="17"/>
        </w:rPr>
        <w:t>数据来源：商务部外资统计。</w:t>
      </w:r>
    </w:p>
    <w:p>
      <w:pPr>
        <w:spacing w:line="474" w:lineRule="auto"/>
        <w:rPr>
          <w:rFonts w:ascii="Arial"/>
          <w:sz w:val="21"/>
        </w:rPr>
      </w:pPr>
    </w:p>
    <w:p>
      <w:pPr>
        <w:spacing w:before="71" w:line="216"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外</w:t>
      </w:r>
      <w:r>
        <w:rPr>
          <w:rFonts w:ascii="KaiTi" w:hAnsi="KaiTi" w:eastAsia="KaiTi" w:cs="KaiTi"/>
          <w:color w:val="015DAC"/>
          <w:sz w:val="22"/>
          <w:szCs w:val="22"/>
        </w:rPr>
        <w:t>资来源结构较为稳定</w:t>
      </w:r>
    </w:p>
    <w:p>
      <w:pPr>
        <w:spacing w:line="264" w:lineRule="auto"/>
        <w:rPr>
          <w:rFonts w:ascii="Arial"/>
          <w:sz w:val="21"/>
        </w:rPr>
      </w:pPr>
    </w:p>
    <w:p>
      <w:pPr>
        <w:spacing w:before="96" w:line="266" w:lineRule="auto"/>
        <w:ind w:left="1992" w:right="1985" w:firstLine="461"/>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近年来，  中</w:t>
      </w:r>
      <w:r>
        <w:rPr>
          <w:rFonts w:ascii="微软雅黑" w:hAnsi="微软雅黑" w:eastAsia="微软雅黑" w:cs="微软雅黑"/>
          <w:color w:val="231F20"/>
          <w:spacing w:val="-2"/>
          <w:sz w:val="22"/>
          <w:szCs w:val="22"/>
        </w:rPr>
        <w:t>国外商投资来源地较为集中 ，各主要投资来源地对华投资占外商投资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总规模的比例变动较小，保持相对稳定。</w:t>
      </w:r>
      <w:r>
        <w:rPr>
          <w:rFonts w:ascii="Times New Roman" w:hAnsi="Times New Roman" w:eastAsia="Times New Roman" w:cs="Times New Roman"/>
          <w:color w:val="231F20"/>
          <w:spacing w:val="-1"/>
          <w:sz w:val="22"/>
          <w:szCs w:val="22"/>
        </w:rPr>
        <w:t xml:space="preserve">2017-2021 </w:t>
      </w:r>
      <w:r>
        <w:rPr>
          <w:rFonts w:ascii="微软雅黑" w:hAnsi="微软雅黑" w:eastAsia="微软雅黑" w:cs="微软雅黑"/>
          <w:color w:val="231F20"/>
          <w:spacing w:val="-1"/>
          <w:sz w:val="22"/>
          <w:szCs w:val="22"/>
        </w:rPr>
        <w:t>年，  中</w:t>
      </w:r>
      <w:r>
        <w:rPr>
          <w:rFonts w:ascii="微软雅黑" w:hAnsi="微软雅黑" w:eastAsia="微软雅黑" w:cs="微软雅黑"/>
          <w:color w:val="231F20"/>
          <w:sz w:val="22"/>
          <w:szCs w:val="22"/>
        </w:rPr>
        <w:t xml:space="preserve">国前 </w:t>
      </w:r>
      <w:r>
        <w:rPr>
          <w:rFonts w:ascii="Times New Roman" w:hAnsi="Times New Roman" w:eastAsia="Times New Roman" w:cs="Times New Roman"/>
          <w:color w:val="231F20"/>
          <w:sz w:val="22"/>
          <w:szCs w:val="22"/>
        </w:rPr>
        <w:t xml:space="preserve">10 </w:t>
      </w:r>
      <w:r>
        <w:rPr>
          <w:rFonts w:ascii="微软雅黑" w:hAnsi="微软雅黑" w:eastAsia="微软雅黑" w:cs="微软雅黑"/>
          <w:color w:val="231F20"/>
          <w:sz w:val="22"/>
          <w:szCs w:val="22"/>
        </w:rPr>
        <w:t xml:space="preserve">大外商投资来源地 </w:t>
      </w:r>
      <w:r>
        <w:rPr>
          <w:rFonts w:ascii="Times New Roman" w:hAnsi="Times New Roman" w:eastAsia="Times New Roman" w:cs="Times New Roman"/>
          <w:color w:val="231F20"/>
          <w:spacing w:val="1"/>
          <w:sz w:val="22"/>
          <w:szCs w:val="22"/>
        </w:rPr>
        <w:t xml:space="preserve">5 </w:t>
      </w:r>
      <w:r>
        <w:rPr>
          <w:rFonts w:ascii="微软雅黑" w:hAnsi="微软雅黑" w:eastAsia="微软雅黑" w:cs="微软雅黑"/>
          <w:color w:val="231F20"/>
          <w:spacing w:val="1"/>
          <w:sz w:val="22"/>
          <w:szCs w:val="22"/>
        </w:rPr>
        <w:t>年</w:t>
      </w:r>
      <w:r>
        <w:rPr>
          <w:rFonts w:ascii="微软雅黑" w:hAnsi="微软雅黑" w:eastAsia="微软雅黑" w:cs="微软雅黑"/>
          <w:color w:val="231F20"/>
          <w:sz w:val="22"/>
          <w:szCs w:val="22"/>
        </w:rPr>
        <w:t xml:space="preserve">间累计对华投资占外商投资总规模的 </w:t>
      </w:r>
      <w:r>
        <w:rPr>
          <w:rFonts w:ascii="Times New Roman" w:hAnsi="Times New Roman" w:eastAsia="Times New Roman" w:cs="Times New Roman"/>
          <w:color w:val="231F20"/>
          <w:sz w:val="22"/>
          <w:szCs w:val="22"/>
        </w:rPr>
        <w:t>93.4%</w:t>
      </w:r>
      <w:r>
        <w:rPr>
          <w:rFonts w:ascii="微软雅黑" w:hAnsi="微软雅黑" w:eastAsia="微软雅黑" w:cs="微软雅黑"/>
          <w:color w:val="231F20"/>
          <w:sz w:val="22"/>
          <w:szCs w:val="22"/>
        </w:rPr>
        <w:t>。</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78624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5"/>
        <w:rPr>
          <w:rFonts w:ascii="Arial" w:hAnsi="Arial" w:eastAsia="Arial" w:cs="Arial"/>
          <w:sz w:val="20"/>
          <w:szCs w:val="20"/>
        </w:rPr>
      </w:pPr>
      <w:bookmarkStart w:id="9" w:name="_bookmark11"/>
      <w:bookmarkEnd w:id="9"/>
      <w:r>
        <w:rPr>
          <w:rFonts w:ascii="SimHei" w:hAnsi="SimHei" w:eastAsia="SimHei" w:cs="SimHei"/>
          <w:color w:val="1A67B3"/>
          <w:spacing w:val="38"/>
          <w:position w:val="1"/>
          <w:sz w:val="21"/>
          <w:szCs w:val="21"/>
          <w14:textOutline w14:w="3175" w14:cap="flat" w14:cmpd="sng">
            <w14:solidFill>
              <w14:srgbClr w14:val="1A67B3"/>
            </w14:solidFill>
            <w14:prstDash w14:val="solid"/>
            <w14:miter w14:val="0"/>
          </w14:textOutline>
        </w:rPr>
        <w:t>综</w:t>
      </w:r>
      <w:r>
        <w:rPr>
          <w:rFonts w:ascii="SimHei" w:hAnsi="SimHei" w:eastAsia="SimHei" w:cs="SimHei"/>
          <w:color w:val="1A67B3"/>
          <w:spacing w:val="20"/>
          <w:position w:val="1"/>
          <w:sz w:val="21"/>
          <w:szCs w:val="21"/>
          <w14:textOutline w14:w="3175" w14:cap="flat" w14:cmpd="sng">
            <w14:solidFill>
              <w14:srgbClr w14:val="1A67B3"/>
            </w14:solidFill>
            <w14:prstDash w14:val="solid"/>
            <w14:miter w14:val="0"/>
          </w14:textOutline>
        </w:rPr>
        <w:t>合篇</w:t>
      </w:r>
      <w:r>
        <w:rPr>
          <w:rFonts w:ascii="SimHei" w:hAnsi="SimHei" w:eastAsia="SimHei" w:cs="SimHei"/>
          <w:color w:val="1A67B3"/>
          <w:spacing w:val="20"/>
          <w:position w:val="1"/>
          <w:sz w:val="21"/>
          <w:szCs w:val="21"/>
        </w:rPr>
        <w:t xml:space="preserve"> </w:t>
      </w:r>
      <w:r>
        <w:rPr>
          <w:position w:val="-3"/>
          <w:sz w:val="21"/>
          <w:szCs w:val="21"/>
        </w:rPr>
        <w:drawing>
          <wp:inline distT="0" distB="0" distL="0" distR="0">
            <wp:extent cx="3175" cy="147320"/>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0"/>
          <w:position w:val="1"/>
          <w:sz w:val="21"/>
          <w:szCs w:val="21"/>
        </w:rPr>
        <w:t xml:space="preserve">  </w:t>
      </w:r>
      <w:r>
        <w:rPr>
          <w:rFonts w:ascii="宋体" w:hAnsi="宋体" w:eastAsia="宋体" w:cs="宋体"/>
          <w:color w:val="537DBF"/>
          <w:spacing w:val="20"/>
          <w:position w:val="1"/>
          <w:sz w:val="21"/>
          <w:szCs w:val="21"/>
        </w:rPr>
        <w:t xml:space="preserve">中国外商投资报告 2022  </w:t>
      </w:r>
      <w:r>
        <w:rPr>
          <w:position w:val="-3"/>
          <w:sz w:val="21"/>
          <w:szCs w:val="21"/>
        </w:rPr>
        <w:drawing>
          <wp:inline distT="0" distB="0" distL="0" distR="0">
            <wp:extent cx="3175" cy="14732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0"/>
          <w:position w:val="1"/>
          <w:sz w:val="21"/>
          <w:szCs w:val="21"/>
        </w:rPr>
        <w:t xml:space="preserve">  </w:t>
      </w:r>
      <w:r>
        <w:rPr>
          <w:rFonts w:ascii="Arial" w:hAnsi="Arial" w:eastAsia="Arial" w:cs="Arial"/>
          <w:color w:val="231F20"/>
          <w:spacing w:val="20"/>
          <w:position w:val="1"/>
          <w:sz w:val="20"/>
          <w:szCs w:val="20"/>
        </w:rPr>
        <w:t>11</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94" w:line="264" w:lineRule="auto"/>
        <w:ind w:left="1991" w:right="1983" w:firstLine="451"/>
        <w:rPr>
          <w:rFonts w:ascii="微软雅黑" w:hAnsi="微软雅黑" w:eastAsia="微软雅黑" w:cs="微软雅黑"/>
          <w:sz w:val="22"/>
          <w:szCs w:val="22"/>
        </w:rPr>
      </w:pPr>
      <w:r>
        <w:rPr>
          <w:rFonts w:ascii="Times New Roman" w:hAnsi="Times New Roman" w:eastAsia="Times New Roman" w:cs="Times New Roman"/>
          <w:color w:val="231F20"/>
          <w:spacing w:val="10"/>
          <w:sz w:val="22"/>
          <w:szCs w:val="22"/>
        </w:rPr>
        <w:t xml:space="preserve">2021 </w:t>
      </w:r>
      <w:r>
        <w:rPr>
          <w:rFonts w:ascii="微软雅黑" w:hAnsi="微软雅黑" w:eastAsia="微软雅黑" w:cs="微软雅黑"/>
          <w:color w:val="231F20"/>
          <w:spacing w:val="9"/>
          <w:sz w:val="22"/>
          <w:szCs w:val="22"/>
        </w:rPr>
        <w:t>年</w:t>
      </w:r>
      <w:r>
        <w:rPr>
          <w:rFonts w:ascii="微软雅黑" w:hAnsi="微软雅黑" w:eastAsia="微软雅黑" w:cs="微软雅黑"/>
          <w:color w:val="231F20"/>
          <w:spacing w:val="5"/>
          <w:sz w:val="22"/>
          <w:szCs w:val="22"/>
        </w:rPr>
        <w:t>中国主要外资来源地投资快速增长 ，投资来源集中度有所提升。中国香</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5"/>
          <w:sz w:val="22"/>
          <w:szCs w:val="22"/>
        </w:rPr>
        <w:t>港</w:t>
      </w:r>
      <w:r>
        <w:rPr>
          <w:rFonts w:ascii="微软雅黑" w:hAnsi="微软雅黑" w:eastAsia="微软雅黑" w:cs="微软雅黑"/>
          <w:color w:val="231F20"/>
          <w:spacing w:val="-11"/>
          <w:sz w:val="22"/>
          <w:szCs w:val="22"/>
        </w:rPr>
        <w:t>地区 、新加坡 、英属维尔京群岛 、韩国 、  日本 、美国 、开曼群岛 、中国澳门地区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德</w:t>
      </w:r>
      <w:r>
        <w:rPr>
          <w:rFonts w:ascii="微软雅黑" w:hAnsi="微软雅黑" w:eastAsia="微软雅黑" w:cs="微软雅黑"/>
          <w:color w:val="231F20"/>
          <w:spacing w:val="4"/>
          <w:sz w:val="22"/>
          <w:szCs w:val="22"/>
        </w:rPr>
        <w:t xml:space="preserve">国和英国是中国前 </w:t>
      </w:r>
      <w:r>
        <w:rPr>
          <w:rFonts w:ascii="Times New Roman" w:hAnsi="Times New Roman" w:eastAsia="Times New Roman" w:cs="Times New Roman"/>
          <w:color w:val="231F20"/>
          <w:spacing w:val="4"/>
          <w:sz w:val="22"/>
          <w:szCs w:val="22"/>
        </w:rPr>
        <w:t xml:space="preserve">10 </w:t>
      </w:r>
      <w:r>
        <w:rPr>
          <w:rFonts w:ascii="微软雅黑" w:hAnsi="微软雅黑" w:eastAsia="微软雅黑" w:cs="微软雅黑"/>
          <w:color w:val="231F20"/>
          <w:spacing w:val="4"/>
          <w:sz w:val="22"/>
          <w:szCs w:val="22"/>
        </w:rPr>
        <w:t>大外商投资来源地 ，合计投资额占中国外商投资总规模的比</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重达到 </w:t>
      </w:r>
      <w:r>
        <w:rPr>
          <w:rFonts w:ascii="Times New Roman" w:hAnsi="Times New Roman" w:eastAsia="Times New Roman" w:cs="Times New Roman"/>
          <w:color w:val="231F20"/>
          <w:spacing w:val="-1"/>
          <w:sz w:val="22"/>
          <w:szCs w:val="22"/>
        </w:rPr>
        <w:t>95</w:t>
      </w:r>
      <w:r>
        <w:rPr>
          <w:rFonts w:ascii="Times New Roman" w:hAnsi="Times New Roman" w:eastAsia="Times New Roman" w:cs="Times New Roman"/>
          <w:color w:val="231F20"/>
          <w:sz w:val="22"/>
          <w:szCs w:val="22"/>
        </w:rPr>
        <w:t>.3%</w:t>
      </w:r>
      <w:r>
        <w:rPr>
          <w:rFonts w:ascii="微软雅黑" w:hAnsi="微软雅黑" w:eastAsia="微软雅黑" w:cs="微软雅黑"/>
          <w:color w:val="231F20"/>
          <w:sz w:val="22"/>
          <w:szCs w:val="22"/>
        </w:rPr>
        <w:t>。</w:t>
      </w:r>
    </w:p>
    <w:p>
      <w:pPr>
        <w:spacing w:before="131" w:line="216" w:lineRule="auto"/>
        <w:ind w:left="2437"/>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4. </w:t>
      </w:r>
      <w:r>
        <w:rPr>
          <w:rFonts w:ascii="KaiTi" w:hAnsi="KaiTi" w:eastAsia="KaiTi" w:cs="KaiTi"/>
          <w:color w:val="015DAC"/>
          <w:spacing w:val="1"/>
          <w:sz w:val="22"/>
          <w:szCs w:val="22"/>
        </w:rPr>
        <w:t>中部地区实际使用外资增</w:t>
      </w:r>
      <w:r>
        <w:rPr>
          <w:rFonts w:ascii="KaiTi" w:hAnsi="KaiTi" w:eastAsia="KaiTi" w:cs="KaiTi"/>
          <w:color w:val="015DAC"/>
          <w:sz w:val="22"/>
          <w:szCs w:val="22"/>
        </w:rPr>
        <w:t>速较快</w:t>
      </w:r>
    </w:p>
    <w:p>
      <w:pPr>
        <w:spacing w:before="285" w:line="279" w:lineRule="auto"/>
        <w:ind w:left="1995" w:right="1989" w:firstLine="443"/>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年东部地区实际</w:t>
      </w:r>
      <w:r>
        <w:rPr>
          <w:rFonts w:ascii="微软雅黑" w:hAnsi="微软雅黑" w:eastAsia="微软雅黑" w:cs="微软雅黑"/>
          <w:color w:val="231F20"/>
          <w:spacing w:val="1"/>
          <w:sz w:val="22"/>
          <w:szCs w:val="22"/>
        </w:rPr>
        <w:t xml:space="preserve">使用外资占全国实际使用外资的比重为 </w:t>
      </w:r>
      <w:r>
        <w:rPr>
          <w:rFonts w:ascii="Times New Roman" w:hAnsi="Times New Roman" w:eastAsia="Times New Roman" w:cs="Times New Roman"/>
          <w:color w:val="231F20"/>
          <w:spacing w:val="1"/>
          <w:sz w:val="22"/>
          <w:szCs w:val="22"/>
        </w:rPr>
        <w:t>84.4%</w:t>
      </w:r>
      <w:r>
        <w:rPr>
          <w:rFonts w:ascii="微软雅黑" w:hAnsi="微软雅黑" w:eastAsia="微软雅黑" w:cs="微软雅黑"/>
          <w:color w:val="231F20"/>
          <w:spacing w:val="1"/>
          <w:sz w:val="22"/>
          <w:szCs w:val="22"/>
        </w:rPr>
        <w:t xml:space="preserve">，  比 </w:t>
      </w:r>
      <w:r>
        <w:rPr>
          <w:rFonts w:ascii="Times New Roman" w:hAnsi="Times New Roman" w:eastAsia="Times New Roman" w:cs="Times New Roman"/>
          <w:color w:val="231F20"/>
          <w:spacing w:val="1"/>
          <w:sz w:val="22"/>
          <w:szCs w:val="22"/>
        </w:rPr>
        <w:t xml:space="preserve">2020 </w:t>
      </w:r>
      <w:r>
        <w:rPr>
          <w:rFonts w:ascii="微软雅黑" w:hAnsi="微软雅黑" w:eastAsia="微软雅黑" w:cs="微软雅黑"/>
          <w:color w:val="231F20"/>
          <w:spacing w:val="1"/>
          <w:sz w:val="22"/>
          <w:szCs w:val="22"/>
        </w:rPr>
        <w:t>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下降 </w:t>
      </w:r>
      <w:r>
        <w:rPr>
          <w:rFonts w:ascii="Times New Roman" w:hAnsi="Times New Roman" w:eastAsia="Times New Roman" w:cs="Times New Roman"/>
          <w:color w:val="231F20"/>
          <w:spacing w:val="-6"/>
          <w:sz w:val="22"/>
          <w:szCs w:val="22"/>
        </w:rPr>
        <w:t xml:space="preserve">1 </w:t>
      </w:r>
      <w:r>
        <w:rPr>
          <w:rFonts w:ascii="微软雅黑" w:hAnsi="微软雅黑" w:eastAsia="微软雅黑" w:cs="微软雅黑"/>
          <w:color w:val="231F20"/>
          <w:spacing w:val="-4"/>
          <w:sz w:val="22"/>
          <w:szCs w:val="22"/>
        </w:rPr>
        <w:t>个</w:t>
      </w:r>
      <w:r>
        <w:rPr>
          <w:rFonts w:ascii="微软雅黑" w:hAnsi="微软雅黑" w:eastAsia="微软雅黑" w:cs="微软雅黑"/>
          <w:color w:val="231F20"/>
          <w:spacing w:val="-3"/>
          <w:sz w:val="22"/>
          <w:szCs w:val="22"/>
        </w:rPr>
        <w:t xml:space="preserve">百分点，  同期中西部地区实际使用外资占比提升 </w:t>
      </w:r>
      <w:r>
        <w:rPr>
          <w:rFonts w:ascii="Times New Roman" w:hAnsi="Times New Roman" w:eastAsia="Times New Roman" w:cs="Times New Roman"/>
          <w:color w:val="231F20"/>
          <w:spacing w:val="-3"/>
          <w:sz w:val="22"/>
          <w:szCs w:val="22"/>
        </w:rPr>
        <w:t xml:space="preserve">0.2 </w:t>
      </w:r>
      <w:r>
        <w:rPr>
          <w:rFonts w:ascii="微软雅黑" w:hAnsi="微软雅黑" w:eastAsia="微软雅黑" w:cs="微软雅黑"/>
          <w:color w:val="231F20"/>
          <w:spacing w:val="-3"/>
          <w:sz w:val="22"/>
          <w:szCs w:val="22"/>
        </w:rPr>
        <w:t>个百分点。</w:t>
      </w:r>
    </w:p>
    <w:p>
      <w:pPr>
        <w:spacing w:before="185" w:line="202" w:lineRule="auto"/>
        <w:ind w:left="2437"/>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 ，外商投资实现各区域全面增长 ，东、中、</w:t>
      </w:r>
      <w:r>
        <w:rPr>
          <w:rFonts w:ascii="微软雅黑" w:hAnsi="微软雅黑" w:eastAsia="微软雅黑" w:cs="微软雅黑"/>
          <w:color w:val="231F20"/>
          <w:spacing w:val="-1"/>
          <w:sz w:val="22"/>
          <w:szCs w:val="22"/>
        </w:rPr>
        <w:t>西部地区实际使用外资分别为</w:t>
      </w:r>
    </w:p>
    <w:p>
      <w:pPr>
        <w:spacing w:before="82" w:line="244" w:lineRule="auto"/>
        <w:ind w:left="1986" w:right="1984" w:firstLine="18"/>
        <w:rPr>
          <w:rFonts w:ascii="微软雅黑" w:hAnsi="微软雅黑" w:eastAsia="微软雅黑" w:cs="微软雅黑"/>
          <w:sz w:val="22"/>
          <w:szCs w:val="22"/>
        </w:rPr>
      </w:pPr>
      <w:r>
        <w:rPr>
          <w:rFonts w:ascii="Times New Roman" w:hAnsi="Times New Roman" w:eastAsia="Times New Roman" w:cs="Times New Roman"/>
          <w:color w:val="231F20"/>
          <w:spacing w:val="-4"/>
          <w:sz w:val="22"/>
          <w:szCs w:val="22"/>
        </w:rPr>
        <w:t xml:space="preserve">1526.8 </w:t>
      </w:r>
      <w:r>
        <w:rPr>
          <w:rFonts w:ascii="微软雅黑" w:hAnsi="微软雅黑" w:eastAsia="微软雅黑" w:cs="微软雅黑"/>
          <w:color w:val="231F20"/>
          <w:spacing w:val="-4"/>
          <w:sz w:val="22"/>
          <w:szCs w:val="22"/>
        </w:rPr>
        <w:t>亿美元、</w:t>
      </w:r>
      <w:r>
        <w:rPr>
          <w:rFonts w:ascii="Times New Roman" w:hAnsi="Times New Roman" w:eastAsia="Times New Roman" w:cs="Times New Roman"/>
          <w:color w:val="231F20"/>
          <w:spacing w:val="-4"/>
          <w:sz w:val="22"/>
          <w:szCs w:val="22"/>
        </w:rPr>
        <w:t>111</w:t>
      </w:r>
      <w:r>
        <w:rPr>
          <w:rFonts w:ascii="Times New Roman" w:hAnsi="Times New Roman" w:eastAsia="Times New Roman" w:cs="Times New Roman"/>
          <w:color w:val="231F20"/>
          <w:spacing w:val="-3"/>
          <w:sz w:val="22"/>
          <w:szCs w:val="22"/>
        </w:rPr>
        <w:t>.</w:t>
      </w:r>
      <w:r>
        <w:rPr>
          <w:rFonts w:ascii="Times New Roman" w:hAnsi="Times New Roman" w:eastAsia="Times New Roman" w:cs="Times New Roman"/>
          <w:color w:val="231F20"/>
          <w:spacing w:val="-2"/>
          <w:sz w:val="22"/>
          <w:szCs w:val="22"/>
        </w:rPr>
        <w:t xml:space="preserve">6 </w:t>
      </w:r>
      <w:r>
        <w:rPr>
          <w:rFonts w:ascii="微软雅黑" w:hAnsi="微软雅黑" w:eastAsia="微软雅黑" w:cs="微软雅黑"/>
          <w:color w:val="231F20"/>
          <w:spacing w:val="-2"/>
          <w:sz w:val="22"/>
          <w:szCs w:val="22"/>
        </w:rPr>
        <w:t xml:space="preserve">亿美元和 </w:t>
      </w:r>
      <w:r>
        <w:rPr>
          <w:rFonts w:ascii="Times New Roman" w:hAnsi="Times New Roman" w:eastAsia="Times New Roman" w:cs="Times New Roman"/>
          <w:color w:val="231F20"/>
          <w:spacing w:val="-2"/>
          <w:sz w:val="22"/>
          <w:szCs w:val="22"/>
        </w:rPr>
        <w:t xml:space="preserve">96.4 </w:t>
      </w:r>
      <w:r>
        <w:rPr>
          <w:rFonts w:ascii="微软雅黑" w:hAnsi="微软雅黑" w:eastAsia="微软雅黑" w:cs="微软雅黑"/>
          <w:color w:val="231F20"/>
          <w:spacing w:val="-2"/>
          <w:sz w:val="22"/>
          <w:szCs w:val="22"/>
        </w:rPr>
        <w:t>亿美元 ，虽然东部地区实际使用外资规模仍然远超</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中西</w:t>
      </w:r>
      <w:r>
        <w:rPr>
          <w:rFonts w:ascii="微软雅黑" w:hAnsi="微软雅黑" w:eastAsia="微软雅黑" w:cs="微软雅黑"/>
          <w:color w:val="231F20"/>
          <w:spacing w:val="-4"/>
          <w:sz w:val="22"/>
          <w:szCs w:val="22"/>
        </w:rPr>
        <w:t xml:space="preserve">部地区，但中部地区实际使用外资增速较快，达到 </w:t>
      </w:r>
      <w:r>
        <w:rPr>
          <w:rFonts w:ascii="Times New Roman" w:hAnsi="Times New Roman" w:eastAsia="Times New Roman" w:cs="Times New Roman"/>
          <w:color w:val="231F20"/>
          <w:spacing w:val="-4"/>
          <w:sz w:val="22"/>
          <w:szCs w:val="22"/>
        </w:rPr>
        <w:t>26.5%</w:t>
      </w:r>
      <w:r>
        <w:rPr>
          <w:rFonts w:ascii="微软雅黑" w:hAnsi="微软雅黑" w:eastAsia="微软雅黑" w:cs="微软雅黑"/>
          <w:color w:val="231F20"/>
          <w:spacing w:val="-4"/>
          <w:sz w:val="22"/>
          <w:szCs w:val="22"/>
        </w:rPr>
        <w:t xml:space="preserve">，比东部地区增速高出 </w:t>
      </w:r>
      <w:r>
        <w:rPr>
          <w:rFonts w:ascii="Times New Roman" w:hAnsi="Times New Roman" w:eastAsia="Times New Roman" w:cs="Times New Roman"/>
          <w:color w:val="231F20"/>
          <w:spacing w:val="-4"/>
          <w:sz w:val="22"/>
          <w:szCs w:val="22"/>
        </w:rPr>
        <w:t>6.8</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2"/>
          <w:sz w:val="22"/>
          <w:szCs w:val="22"/>
        </w:rPr>
        <w:t>个百分点 ，西部地区实际使用外资增速也与东部地区</w:t>
      </w:r>
      <w:r>
        <w:rPr>
          <w:rFonts w:ascii="微软雅黑" w:hAnsi="微软雅黑" w:eastAsia="微软雅黑" w:cs="微软雅黑"/>
          <w:color w:val="231F20"/>
          <w:spacing w:val="1"/>
          <w:sz w:val="22"/>
          <w:szCs w:val="22"/>
        </w:rPr>
        <w:t>基本持平。这主要由于中西部地</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区资源丰富、劳动力充足 ，交通基础设施不断</w:t>
      </w:r>
      <w:r>
        <w:rPr>
          <w:rFonts w:ascii="微软雅黑" w:hAnsi="微软雅黑" w:eastAsia="微软雅黑" w:cs="微软雅黑"/>
          <w:color w:val="231F20"/>
          <w:spacing w:val="-1"/>
          <w:sz w:val="22"/>
          <w:szCs w:val="22"/>
        </w:rPr>
        <w:t>改善 ，产业配套能力不断增强 ，增强了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对外资</w:t>
      </w:r>
      <w:r>
        <w:rPr>
          <w:rFonts w:ascii="微软雅黑" w:hAnsi="微软雅黑" w:eastAsia="微软雅黑" w:cs="微软雅黑"/>
          <w:color w:val="231F20"/>
          <w:sz w:val="22"/>
          <w:szCs w:val="22"/>
        </w:rPr>
        <w:t>企业的吸引力。</w:t>
      </w:r>
    </w:p>
    <w:p>
      <w:pPr>
        <w:spacing w:line="297" w:lineRule="auto"/>
        <w:rPr>
          <w:rFonts w:ascii="Arial"/>
          <w:sz w:val="21"/>
        </w:rPr>
      </w:pPr>
    </w:p>
    <w:p>
      <w:pPr>
        <w:spacing w:line="297" w:lineRule="auto"/>
        <w:rPr>
          <w:rFonts w:ascii="Arial"/>
          <w:sz w:val="21"/>
        </w:rPr>
      </w:pPr>
    </w:p>
    <w:p>
      <w:pPr>
        <w:spacing w:before="66" w:line="229" w:lineRule="auto"/>
        <w:ind w:left="4017"/>
        <w:rPr>
          <w:rFonts w:ascii="SimHei" w:hAnsi="SimHei" w:eastAsia="SimHei" w:cs="SimHei"/>
          <w:sz w:val="20"/>
          <w:szCs w:val="20"/>
        </w:rPr>
      </w:pPr>
      <w:r>
        <w:rPr>
          <w:rFonts w:ascii="SimHei" w:hAnsi="SimHei" w:eastAsia="SimHei" w:cs="SimHei"/>
          <w:color w:val="231F20"/>
          <w:spacing w:val="2"/>
          <w:sz w:val="20"/>
          <w:szCs w:val="20"/>
        </w:rPr>
        <w:t xml:space="preserve">表 </w:t>
      </w:r>
      <w:r>
        <w:rPr>
          <w:rFonts w:ascii="Times New Roman" w:hAnsi="Times New Roman" w:eastAsia="Times New Roman" w:cs="Times New Roman"/>
          <w:color w:val="231F20"/>
          <w:spacing w:val="2"/>
          <w:sz w:val="20"/>
          <w:szCs w:val="20"/>
        </w:rPr>
        <w:t xml:space="preserve">1- 1 </w:t>
      </w:r>
      <w:r>
        <w:rPr>
          <w:rFonts w:ascii="Times New Roman" w:hAnsi="Times New Roman" w:eastAsia="Times New Roman" w:cs="Times New Roman"/>
          <w:color w:val="231F20"/>
          <w:spacing w:val="1"/>
          <w:sz w:val="20"/>
          <w:szCs w:val="20"/>
        </w:rPr>
        <w:t xml:space="preserve">2017-2021 </w:t>
      </w:r>
      <w:r>
        <w:rPr>
          <w:rFonts w:ascii="SimHei" w:hAnsi="SimHei" w:eastAsia="SimHei" w:cs="SimHei"/>
          <w:color w:val="231F20"/>
          <w:spacing w:val="1"/>
          <w:sz w:val="20"/>
          <w:szCs w:val="20"/>
        </w:rPr>
        <w:t>年东、中、西部地区引资情况</w:t>
      </w:r>
    </w:p>
    <w:p>
      <w:pPr>
        <w:spacing w:before="157" w:line="3850" w:lineRule="exact"/>
        <w:ind w:firstLine="1984"/>
        <w:textAlignment w:val="center"/>
      </w:pPr>
      <w:r>
        <w:pict>
          <v:group id="_x0000_s1148" o:spid="_x0000_s1148" o:spt="203" style="height:192.55pt;width:413.9pt;" coordsize="8277,3851">
            <o:lock v:ext="edit"/>
            <v:shape id="_x0000_s1149" o:spid="_x0000_s1149" o:spt="75" type="#_x0000_t75" style="position:absolute;left:0;top:10;height:3831;width:8277;" filled="f" stroked="f" coordsize="21600,21600">
              <v:path/>
              <v:fill on="f" focussize="0,0"/>
              <v:stroke on="f"/>
              <v:imagedata r:id="rId65" o:title=""/>
              <o:lock v:ext="edit" aspectratio="t"/>
            </v:shape>
            <v:shape id="_x0000_s1150" o:spid="_x0000_s1150" o:spt="202" type="#_x0000_t202" style="position:absolute;left:-20;top:-20;height:3891;width:8317;" filled="f" stroked="f" coordsize="21600,21600">
              <v:path/>
              <v:fill on="f" focussize="0,0"/>
              <v:stroke on="f"/>
              <v:imagedata o:title=""/>
              <o:lock v:ext="edit" aspectratio="f"/>
              <v:textbox inset="0mm,0mm,0mm,0mm">
                <w:txbxContent>
                  <w:p>
                    <w:pPr>
                      <w:spacing w:line="20" w:lineRule="exact"/>
                    </w:pPr>
                  </w:p>
                  <w:tbl>
                    <w:tblPr>
                      <w:tblStyle w:val="4"/>
                      <w:tblW w:w="8277" w:type="dxa"/>
                      <w:tblInd w:w="20" w:type="dxa"/>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Layout w:type="fixed"/>
                      <w:tblCellMar>
                        <w:top w:w="0" w:type="dxa"/>
                        <w:left w:w="0" w:type="dxa"/>
                        <w:bottom w:w="0" w:type="dxa"/>
                        <w:right w:w="0" w:type="dxa"/>
                      </w:tblCellMar>
                    </w:tblPr>
                    <w:tblGrid>
                      <w:gridCol w:w="974"/>
                      <w:gridCol w:w="729"/>
                      <w:gridCol w:w="741"/>
                      <w:gridCol w:w="729"/>
                      <w:gridCol w:w="729"/>
                      <w:gridCol w:w="729"/>
                      <w:gridCol w:w="730"/>
                      <w:gridCol w:w="729"/>
                      <w:gridCol w:w="729"/>
                      <w:gridCol w:w="729"/>
                      <w:gridCol w:w="729"/>
                    </w:tblGrid>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513" w:hRule="atLeast"/>
                      </w:trPr>
                      <w:tc>
                        <w:tcPr>
                          <w:tcW w:w="974" w:type="dxa"/>
                          <w:vMerge w:val="restart"/>
                          <w:tcBorders>
                            <w:left w:val="nil"/>
                            <w:bottom w:val="nil"/>
                          </w:tcBorders>
                          <w:vAlign w:val="top"/>
                        </w:tcPr>
                        <w:p>
                          <w:pPr>
                            <w:spacing w:line="364" w:lineRule="auto"/>
                            <w:rPr>
                              <w:rFonts w:ascii="Arial"/>
                              <w:sz w:val="21"/>
                            </w:rPr>
                          </w:pPr>
                        </w:p>
                        <w:p>
                          <w:pPr>
                            <w:spacing w:before="65" w:line="222" w:lineRule="auto"/>
                            <w:ind w:left="305"/>
                            <w:rPr>
                              <w:rFonts w:ascii="SimHei" w:hAnsi="SimHei" w:eastAsia="SimHei" w:cs="SimHei"/>
                              <w:sz w:val="20"/>
                              <w:szCs w:val="20"/>
                            </w:rPr>
                          </w:pPr>
                          <w:r>
                            <w:rPr>
                              <w:rFonts w:ascii="SimHei" w:hAnsi="SimHei" w:eastAsia="SimHei" w:cs="SimHei"/>
                              <w:color w:val="231F20"/>
                              <w:spacing w:val="-6"/>
                              <w:sz w:val="20"/>
                              <w:szCs w:val="20"/>
                            </w:rPr>
                            <w:t>区</w:t>
                          </w:r>
                          <w:r>
                            <w:rPr>
                              <w:rFonts w:ascii="SimHei" w:hAnsi="SimHei" w:eastAsia="SimHei" w:cs="SimHei"/>
                              <w:color w:val="231F20"/>
                              <w:spacing w:val="-4"/>
                              <w:sz w:val="20"/>
                              <w:szCs w:val="20"/>
                            </w:rPr>
                            <w:t>域</w:t>
                          </w:r>
                        </w:p>
                      </w:tc>
                      <w:tc>
                        <w:tcPr>
                          <w:tcW w:w="1470" w:type="dxa"/>
                          <w:gridSpan w:val="2"/>
                          <w:vAlign w:val="top"/>
                        </w:tcPr>
                        <w:p>
                          <w:pPr>
                            <w:spacing w:before="190" w:line="183" w:lineRule="auto"/>
                            <w:ind w:left="537"/>
                            <w:rPr>
                              <w:rFonts w:ascii="SimHei" w:hAnsi="SimHei" w:eastAsia="SimHei" w:cs="SimHei"/>
                              <w:sz w:val="20"/>
                              <w:szCs w:val="20"/>
                            </w:rPr>
                          </w:pPr>
                          <w:r>
                            <w:rPr>
                              <w:rFonts w:ascii="SimHei" w:hAnsi="SimHei" w:eastAsia="SimHei" w:cs="SimHei"/>
                              <w:color w:val="231F20"/>
                              <w:spacing w:val="-1"/>
                              <w:sz w:val="20"/>
                              <w:szCs w:val="20"/>
                            </w:rPr>
                            <w:t>201</w:t>
                          </w:r>
                          <w:r>
                            <w:rPr>
                              <w:rFonts w:ascii="SimHei" w:hAnsi="SimHei" w:eastAsia="SimHei" w:cs="SimHei"/>
                              <w:color w:val="231F20"/>
                              <w:sz w:val="20"/>
                              <w:szCs w:val="20"/>
                            </w:rPr>
                            <w:t>7</w:t>
                          </w:r>
                        </w:p>
                      </w:tc>
                      <w:tc>
                        <w:tcPr>
                          <w:tcW w:w="1458" w:type="dxa"/>
                          <w:gridSpan w:val="2"/>
                          <w:vAlign w:val="top"/>
                        </w:tcPr>
                        <w:p>
                          <w:pPr>
                            <w:spacing w:before="190" w:line="183" w:lineRule="auto"/>
                            <w:ind w:left="531"/>
                            <w:rPr>
                              <w:rFonts w:ascii="SimHei" w:hAnsi="SimHei" w:eastAsia="SimHei" w:cs="SimHei"/>
                              <w:sz w:val="20"/>
                              <w:szCs w:val="20"/>
                            </w:rPr>
                          </w:pPr>
                          <w:r>
                            <w:rPr>
                              <w:rFonts w:ascii="SimHei" w:hAnsi="SimHei" w:eastAsia="SimHei" w:cs="SimHei"/>
                              <w:color w:val="231F20"/>
                              <w:spacing w:val="-1"/>
                              <w:sz w:val="20"/>
                              <w:szCs w:val="20"/>
                            </w:rPr>
                            <w:t>201</w:t>
                          </w:r>
                          <w:r>
                            <w:rPr>
                              <w:rFonts w:ascii="SimHei" w:hAnsi="SimHei" w:eastAsia="SimHei" w:cs="SimHei"/>
                              <w:color w:val="231F20"/>
                              <w:sz w:val="20"/>
                              <w:szCs w:val="20"/>
                            </w:rPr>
                            <w:t>8</w:t>
                          </w:r>
                        </w:p>
                      </w:tc>
                      <w:tc>
                        <w:tcPr>
                          <w:tcW w:w="1459" w:type="dxa"/>
                          <w:gridSpan w:val="2"/>
                          <w:vAlign w:val="top"/>
                        </w:tcPr>
                        <w:p>
                          <w:pPr>
                            <w:spacing w:before="190" w:line="183" w:lineRule="auto"/>
                            <w:ind w:left="531"/>
                            <w:rPr>
                              <w:rFonts w:ascii="SimHei" w:hAnsi="SimHei" w:eastAsia="SimHei" w:cs="SimHei"/>
                              <w:sz w:val="20"/>
                              <w:szCs w:val="20"/>
                            </w:rPr>
                          </w:pPr>
                          <w:r>
                            <w:rPr>
                              <w:rFonts w:ascii="SimHei" w:hAnsi="SimHei" w:eastAsia="SimHei" w:cs="SimHei"/>
                              <w:color w:val="231F20"/>
                              <w:spacing w:val="-1"/>
                              <w:sz w:val="20"/>
                              <w:szCs w:val="20"/>
                            </w:rPr>
                            <w:t>201</w:t>
                          </w:r>
                          <w:r>
                            <w:rPr>
                              <w:rFonts w:ascii="SimHei" w:hAnsi="SimHei" w:eastAsia="SimHei" w:cs="SimHei"/>
                              <w:color w:val="231F20"/>
                              <w:sz w:val="20"/>
                              <w:szCs w:val="20"/>
                            </w:rPr>
                            <w:t>9</w:t>
                          </w:r>
                        </w:p>
                      </w:tc>
                      <w:tc>
                        <w:tcPr>
                          <w:tcW w:w="1458" w:type="dxa"/>
                          <w:gridSpan w:val="2"/>
                          <w:vAlign w:val="top"/>
                        </w:tcPr>
                        <w:p>
                          <w:pPr>
                            <w:spacing w:before="190" w:line="183" w:lineRule="auto"/>
                            <w:ind w:left="530"/>
                            <w:rPr>
                              <w:rFonts w:ascii="SimHei" w:hAnsi="SimHei" w:eastAsia="SimHei" w:cs="SimHei"/>
                              <w:sz w:val="20"/>
                              <w:szCs w:val="20"/>
                            </w:rPr>
                          </w:pPr>
                          <w:r>
                            <w:rPr>
                              <w:rFonts w:ascii="SimHei" w:hAnsi="SimHei" w:eastAsia="SimHei" w:cs="SimHei"/>
                              <w:color w:val="231F20"/>
                              <w:spacing w:val="-1"/>
                              <w:sz w:val="20"/>
                              <w:szCs w:val="20"/>
                            </w:rPr>
                            <w:t>202</w:t>
                          </w:r>
                          <w:r>
                            <w:rPr>
                              <w:rFonts w:ascii="SimHei" w:hAnsi="SimHei" w:eastAsia="SimHei" w:cs="SimHei"/>
                              <w:color w:val="231F20"/>
                              <w:sz w:val="20"/>
                              <w:szCs w:val="20"/>
                            </w:rPr>
                            <w:t>0</w:t>
                          </w:r>
                        </w:p>
                      </w:tc>
                      <w:tc>
                        <w:tcPr>
                          <w:tcW w:w="1458" w:type="dxa"/>
                          <w:gridSpan w:val="2"/>
                          <w:tcBorders>
                            <w:right w:val="nil"/>
                          </w:tcBorders>
                          <w:vAlign w:val="top"/>
                        </w:tcPr>
                        <w:p>
                          <w:pPr>
                            <w:spacing w:before="190" w:line="183" w:lineRule="auto"/>
                            <w:ind w:left="530"/>
                            <w:rPr>
                              <w:rFonts w:ascii="SimHei" w:hAnsi="SimHei" w:eastAsia="SimHei" w:cs="SimHei"/>
                              <w:sz w:val="20"/>
                              <w:szCs w:val="20"/>
                            </w:rPr>
                          </w:pPr>
                          <w:r>
                            <w:rPr>
                              <w:rFonts w:ascii="SimHei" w:hAnsi="SimHei" w:eastAsia="SimHei" w:cs="SimHei"/>
                              <w:color w:val="231F20"/>
                              <w:spacing w:val="-1"/>
                              <w:sz w:val="20"/>
                              <w:szCs w:val="20"/>
                            </w:rPr>
                            <w:t>202</w:t>
                          </w:r>
                          <w:r>
                            <w:rPr>
                              <w:rFonts w:ascii="SimHei" w:hAnsi="SimHei" w:eastAsia="SimHei" w:cs="SimHei"/>
                              <w:color w:val="231F20"/>
                              <w:sz w:val="20"/>
                              <w:szCs w:val="20"/>
                            </w:rPr>
                            <w:t>1</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538" w:hRule="atLeast"/>
                      </w:trPr>
                      <w:tc>
                        <w:tcPr>
                          <w:tcW w:w="974" w:type="dxa"/>
                          <w:vMerge w:val="continue"/>
                          <w:tcBorders>
                            <w:top w:val="nil"/>
                            <w:left w:val="nil"/>
                          </w:tcBorders>
                          <w:vAlign w:val="top"/>
                        </w:tcPr>
                        <w:p>
                          <w:pPr>
                            <w:rPr>
                              <w:rFonts w:ascii="Arial"/>
                              <w:sz w:val="21"/>
                            </w:rPr>
                          </w:pPr>
                        </w:p>
                      </w:tc>
                      <w:tc>
                        <w:tcPr>
                          <w:tcW w:w="729" w:type="dxa"/>
                          <w:vAlign w:val="top"/>
                        </w:tcPr>
                        <w:p>
                          <w:pPr>
                            <w:tabs>
                              <w:tab w:val="left" w:pos="128"/>
                            </w:tabs>
                            <w:spacing w:before="114" w:line="253" w:lineRule="auto"/>
                            <w:ind w:left="60" w:firstLine="163"/>
                            <w:rPr>
                              <w:rFonts w:ascii="SimHei" w:hAnsi="SimHei" w:eastAsia="SimHei" w:cs="SimHei"/>
                              <w:sz w:val="13"/>
                              <w:szCs w:val="13"/>
                            </w:rPr>
                          </w:pPr>
                          <w:r>
                            <w:rPr>
                              <w:rFonts w:ascii="SimHei" w:hAnsi="SimHei" w:eastAsia="SimHei" w:cs="SimHei"/>
                              <w:color w:val="231F20"/>
                              <w:spacing w:val="6"/>
                              <w:sz w:val="13"/>
                              <w:szCs w:val="13"/>
                            </w:rPr>
                            <w:t>规模</w:t>
                          </w:r>
                          <w:r>
                            <w:rPr>
                              <w:rFonts w:ascii="SimHei" w:hAnsi="SimHei" w:eastAsia="SimHei" w:cs="SimHei"/>
                              <w:color w:val="231F20"/>
                              <w:sz w:val="13"/>
                              <w:szCs w:val="13"/>
                            </w:rPr>
                            <w:t xml:space="preserve">   </w:t>
                          </w:r>
                          <w:r>
                            <w:rPr>
                              <w:rFonts w:ascii="SimHei" w:hAnsi="SimHei" w:eastAsia="SimHei" w:cs="SimHei"/>
                              <w:color w:val="231F20"/>
                              <w:sz w:val="13"/>
                              <w:szCs w:val="13"/>
                            </w:rPr>
                            <w:tab/>
                          </w:r>
                          <w:r>
                            <w:rPr>
                              <w:rFonts w:ascii="SimHei" w:hAnsi="SimHei" w:eastAsia="SimHei" w:cs="SimHei"/>
                              <w:color w:val="231F20"/>
                              <w:spacing w:val="2"/>
                              <w:sz w:val="13"/>
                              <w:szCs w:val="13"/>
                            </w:rPr>
                            <w:t>(</w:t>
                          </w:r>
                          <w:r>
                            <w:rPr>
                              <w:rFonts w:ascii="SimHei" w:hAnsi="SimHei" w:eastAsia="SimHei" w:cs="SimHei"/>
                              <w:color w:val="231F20"/>
                              <w:spacing w:val="1"/>
                              <w:sz w:val="13"/>
                              <w:szCs w:val="13"/>
                            </w:rPr>
                            <w:t>亿美元)</w:t>
                          </w:r>
                        </w:p>
                      </w:tc>
                      <w:tc>
                        <w:tcPr>
                          <w:tcW w:w="741" w:type="dxa"/>
                          <w:vAlign w:val="top"/>
                        </w:tcPr>
                        <w:p>
                          <w:pPr>
                            <w:spacing w:before="197" w:line="225" w:lineRule="auto"/>
                            <w:ind w:left="246"/>
                            <w:rPr>
                              <w:rFonts w:ascii="SimHei" w:hAnsi="SimHei" w:eastAsia="SimHei" w:cs="SimHei"/>
                              <w:sz w:val="14"/>
                              <w:szCs w:val="14"/>
                            </w:rPr>
                          </w:pPr>
                          <w:r>
                            <w:rPr>
                              <w:rFonts w:ascii="SimHei" w:hAnsi="SimHei" w:eastAsia="SimHei" w:cs="SimHei"/>
                              <w:color w:val="231F20"/>
                              <w:spacing w:val="-6"/>
                              <w:sz w:val="14"/>
                              <w:szCs w:val="14"/>
                            </w:rPr>
                            <w:t>占</w:t>
                          </w:r>
                          <w:r>
                            <w:rPr>
                              <w:rFonts w:ascii="SimHei" w:hAnsi="SimHei" w:eastAsia="SimHei" w:cs="SimHei"/>
                              <w:color w:val="231F20"/>
                              <w:spacing w:val="-4"/>
                              <w:sz w:val="14"/>
                              <w:szCs w:val="14"/>
                            </w:rPr>
                            <w:t>比</w:t>
                          </w:r>
                        </w:p>
                      </w:tc>
                      <w:tc>
                        <w:tcPr>
                          <w:tcW w:w="729" w:type="dxa"/>
                          <w:vAlign w:val="top"/>
                        </w:tcPr>
                        <w:p>
                          <w:pPr>
                            <w:tabs>
                              <w:tab w:val="left" w:pos="128"/>
                            </w:tabs>
                            <w:spacing w:before="114" w:line="253" w:lineRule="auto"/>
                            <w:ind w:left="60" w:firstLine="163"/>
                            <w:rPr>
                              <w:rFonts w:ascii="SimHei" w:hAnsi="SimHei" w:eastAsia="SimHei" w:cs="SimHei"/>
                              <w:sz w:val="13"/>
                              <w:szCs w:val="13"/>
                            </w:rPr>
                          </w:pPr>
                          <w:r>
                            <w:rPr>
                              <w:rFonts w:ascii="SimHei" w:hAnsi="SimHei" w:eastAsia="SimHei" w:cs="SimHei"/>
                              <w:color w:val="231F20"/>
                              <w:spacing w:val="6"/>
                              <w:sz w:val="13"/>
                              <w:szCs w:val="13"/>
                            </w:rPr>
                            <w:t>规模</w:t>
                          </w:r>
                          <w:r>
                            <w:rPr>
                              <w:rFonts w:ascii="SimHei" w:hAnsi="SimHei" w:eastAsia="SimHei" w:cs="SimHei"/>
                              <w:color w:val="231F20"/>
                              <w:sz w:val="13"/>
                              <w:szCs w:val="13"/>
                            </w:rPr>
                            <w:t xml:space="preserve">   </w:t>
                          </w:r>
                          <w:r>
                            <w:rPr>
                              <w:rFonts w:ascii="SimHei" w:hAnsi="SimHei" w:eastAsia="SimHei" w:cs="SimHei"/>
                              <w:color w:val="231F20"/>
                              <w:sz w:val="13"/>
                              <w:szCs w:val="13"/>
                            </w:rPr>
                            <w:tab/>
                          </w:r>
                          <w:r>
                            <w:rPr>
                              <w:rFonts w:ascii="SimHei" w:hAnsi="SimHei" w:eastAsia="SimHei" w:cs="SimHei"/>
                              <w:color w:val="231F20"/>
                              <w:spacing w:val="2"/>
                              <w:sz w:val="13"/>
                              <w:szCs w:val="13"/>
                            </w:rPr>
                            <w:t>(</w:t>
                          </w:r>
                          <w:r>
                            <w:rPr>
                              <w:rFonts w:ascii="SimHei" w:hAnsi="SimHei" w:eastAsia="SimHei" w:cs="SimHei"/>
                              <w:color w:val="231F20"/>
                              <w:spacing w:val="1"/>
                              <w:sz w:val="13"/>
                              <w:szCs w:val="13"/>
                            </w:rPr>
                            <w:t>亿美元)</w:t>
                          </w:r>
                        </w:p>
                      </w:tc>
                      <w:tc>
                        <w:tcPr>
                          <w:tcW w:w="729" w:type="dxa"/>
                          <w:vAlign w:val="top"/>
                        </w:tcPr>
                        <w:p>
                          <w:pPr>
                            <w:spacing w:before="197" w:line="225" w:lineRule="auto"/>
                            <w:ind w:left="240"/>
                            <w:rPr>
                              <w:rFonts w:ascii="SimHei" w:hAnsi="SimHei" w:eastAsia="SimHei" w:cs="SimHei"/>
                              <w:sz w:val="14"/>
                              <w:szCs w:val="14"/>
                            </w:rPr>
                          </w:pPr>
                          <w:r>
                            <w:rPr>
                              <w:rFonts w:ascii="SimHei" w:hAnsi="SimHei" w:eastAsia="SimHei" w:cs="SimHei"/>
                              <w:color w:val="231F20"/>
                              <w:spacing w:val="-6"/>
                              <w:sz w:val="14"/>
                              <w:szCs w:val="14"/>
                            </w:rPr>
                            <w:t>占</w:t>
                          </w:r>
                          <w:r>
                            <w:rPr>
                              <w:rFonts w:ascii="SimHei" w:hAnsi="SimHei" w:eastAsia="SimHei" w:cs="SimHei"/>
                              <w:color w:val="231F20"/>
                              <w:spacing w:val="-4"/>
                              <w:sz w:val="14"/>
                              <w:szCs w:val="14"/>
                            </w:rPr>
                            <w:t>比</w:t>
                          </w:r>
                        </w:p>
                      </w:tc>
                      <w:tc>
                        <w:tcPr>
                          <w:tcW w:w="729" w:type="dxa"/>
                          <w:vAlign w:val="top"/>
                        </w:tcPr>
                        <w:p>
                          <w:pPr>
                            <w:tabs>
                              <w:tab w:val="left" w:pos="128"/>
                            </w:tabs>
                            <w:spacing w:before="114" w:line="253" w:lineRule="auto"/>
                            <w:ind w:left="60" w:firstLine="163"/>
                            <w:rPr>
                              <w:rFonts w:ascii="SimHei" w:hAnsi="SimHei" w:eastAsia="SimHei" w:cs="SimHei"/>
                              <w:sz w:val="13"/>
                              <w:szCs w:val="13"/>
                            </w:rPr>
                          </w:pPr>
                          <w:r>
                            <w:rPr>
                              <w:rFonts w:ascii="SimHei" w:hAnsi="SimHei" w:eastAsia="SimHei" w:cs="SimHei"/>
                              <w:color w:val="231F20"/>
                              <w:spacing w:val="6"/>
                              <w:sz w:val="13"/>
                              <w:szCs w:val="13"/>
                            </w:rPr>
                            <w:t>规模</w:t>
                          </w:r>
                          <w:r>
                            <w:rPr>
                              <w:rFonts w:ascii="SimHei" w:hAnsi="SimHei" w:eastAsia="SimHei" w:cs="SimHei"/>
                              <w:color w:val="231F20"/>
                              <w:sz w:val="13"/>
                              <w:szCs w:val="13"/>
                            </w:rPr>
                            <w:t xml:space="preserve">   </w:t>
                          </w:r>
                          <w:r>
                            <w:rPr>
                              <w:rFonts w:ascii="SimHei" w:hAnsi="SimHei" w:eastAsia="SimHei" w:cs="SimHei"/>
                              <w:color w:val="231F20"/>
                              <w:sz w:val="13"/>
                              <w:szCs w:val="13"/>
                            </w:rPr>
                            <w:tab/>
                          </w:r>
                          <w:r>
                            <w:rPr>
                              <w:rFonts w:ascii="SimHei" w:hAnsi="SimHei" w:eastAsia="SimHei" w:cs="SimHei"/>
                              <w:color w:val="231F20"/>
                              <w:spacing w:val="2"/>
                              <w:sz w:val="13"/>
                              <w:szCs w:val="13"/>
                            </w:rPr>
                            <w:t>(</w:t>
                          </w:r>
                          <w:r>
                            <w:rPr>
                              <w:rFonts w:ascii="SimHei" w:hAnsi="SimHei" w:eastAsia="SimHei" w:cs="SimHei"/>
                              <w:color w:val="231F20"/>
                              <w:spacing w:val="1"/>
                              <w:sz w:val="13"/>
                              <w:szCs w:val="13"/>
                            </w:rPr>
                            <w:t>亿美元)</w:t>
                          </w:r>
                        </w:p>
                      </w:tc>
                      <w:tc>
                        <w:tcPr>
                          <w:tcW w:w="730" w:type="dxa"/>
                          <w:vAlign w:val="top"/>
                        </w:tcPr>
                        <w:p>
                          <w:pPr>
                            <w:spacing w:before="197" w:line="225" w:lineRule="auto"/>
                            <w:ind w:left="241"/>
                            <w:rPr>
                              <w:rFonts w:ascii="SimHei" w:hAnsi="SimHei" w:eastAsia="SimHei" w:cs="SimHei"/>
                              <w:sz w:val="14"/>
                              <w:szCs w:val="14"/>
                            </w:rPr>
                          </w:pPr>
                          <w:r>
                            <w:rPr>
                              <w:rFonts w:ascii="SimHei" w:hAnsi="SimHei" w:eastAsia="SimHei" w:cs="SimHei"/>
                              <w:color w:val="231F20"/>
                              <w:spacing w:val="-6"/>
                              <w:sz w:val="14"/>
                              <w:szCs w:val="14"/>
                            </w:rPr>
                            <w:t>占</w:t>
                          </w:r>
                          <w:r>
                            <w:rPr>
                              <w:rFonts w:ascii="SimHei" w:hAnsi="SimHei" w:eastAsia="SimHei" w:cs="SimHei"/>
                              <w:color w:val="231F20"/>
                              <w:spacing w:val="-4"/>
                              <w:sz w:val="14"/>
                              <w:szCs w:val="14"/>
                            </w:rPr>
                            <w:t>比</w:t>
                          </w:r>
                        </w:p>
                      </w:tc>
                      <w:tc>
                        <w:tcPr>
                          <w:tcW w:w="729" w:type="dxa"/>
                          <w:vAlign w:val="top"/>
                        </w:tcPr>
                        <w:p>
                          <w:pPr>
                            <w:tabs>
                              <w:tab w:val="left" w:pos="128"/>
                            </w:tabs>
                            <w:spacing w:before="114" w:line="253" w:lineRule="auto"/>
                            <w:ind w:left="59" w:firstLine="163"/>
                            <w:rPr>
                              <w:rFonts w:ascii="SimHei" w:hAnsi="SimHei" w:eastAsia="SimHei" w:cs="SimHei"/>
                              <w:sz w:val="13"/>
                              <w:szCs w:val="13"/>
                            </w:rPr>
                          </w:pPr>
                          <w:r>
                            <w:rPr>
                              <w:rFonts w:ascii="SimHei" w:hAnsi="SimHei" w:eastAsia="SimHei" w:cs="SimHei"/>
                              <w:color w:val="231F20"/>
                              <w:spacing w:val="6"/>
                              <w:sz w:val="13"/>
                              <w:szCs w:val="13"/>
                            </w:rPr>
                            <w:t>规模</w:t>
                          </w:r>
                          <w:r>
                            <w:rPr>
                              <w:rFonts w:ascii="SimHei" w:hAnsi="SimHei" w:eastAsia="SimHei" w:cs="SimHei"/>
                              <w:color w:val="231F20"/>
                              <w:sz w:val="13"/>
                              <w:szCs w:val="13"/>
                            </w:rPr>
                            <w:t xml:space="preserve">   </w:t>
                          </w:r>
                          <w:r>
                            <w:rPr>
                              <w:rFonts w:ascii="SimHei" w:hAnsi="SimHei" w:eastAsia="SimHei" w:cs="SimHei"/>
                              <w:color w:val="231F20"/>
                              <w:sz w:val="13"/>
                              <w:szCs w:val="13"/>
                            </w:rPr>
                            <w:tab/>
                          </w:r>
                          <w:r>
                            <w:rPr>
                              <w:rFonts w:ascii="SimHei" w:hAnsi="SimHei" w:eastAsia="SimHei" w:cs="SimHei"/>
                              <w:color w:val="231F20"/>
                              <w:spacing w:val="2"/>
                              <w:sz w:val="13"/>
                              <w:szCs w:val="13"/>
                            </w:rPr>
                            <w:t>(</w:t>
                          </w:r>
                          <w:r>
                            <w:rPr>
                              <w:rFonts w:ascii="SimHei" w:hAnsi="SimHei" w:eastAsia="SimHei" w:cs="SimHei"/>
                              <w:color w:val="231F20"/>
                              <w:spacing w:val="1"/>
                              <w:sz w:val="13"/>
                              <w:szCs w:val="13"/>
                            </w:rPr>
                            <w:t>亿美元)</w:t>
                          </w:r>
                        </w:p>
                      </w:tc>
                      <w:tc>
                        <w:tcPr>
                          <w:tcW w:w="729" w:type="dxa"/>
                          <w:vAlign w:val="top"/>
                        </w:tcPr>
                        <w:p>
                          <w:pPr>
                            <w:spacing w:before="197" w:line="225" w:lineRule="auto"/>
                            <w:ind w:left="240"/>
                            <w:rPr>
                              <w:rFonts w:ascii="SimHei" w:hAnsi="SimHei" w:eastAsia="SimHei" w:cs="SimHei"/>
                              <w:sz w:val="14"/>
                              <w:szCs w:val="14"/>
                            </w:rPr>
                          </w:pPr>
                          <w:r>
                            <w:rPr>
                              <w:rFonts w:ascii="SimHei" w:hAnsi="SimHei" w:eastAsia="SimHei" w:cs="SimHei"/>
                              <w:color w:val="231F20"/>
                              <w:spacing w:val="-6"/>
                              <w:sz w:val="14"/>
                              <w:szCs w:val="14"/>
                            </w:rPr>
                            <w:t>占</w:t>
                          </w:r>
                          <w:r>
                            <w:rPr>
                              <w:rFonts w:ascii="SimHei" w:hAnsi="SimHei" w:eastAsia="SimHei" w:cs="SimHei"/>
                              <w:color w:val="231F20"/>
                              <w:spacing w:val="-4"/>
                              <w:sz w:val="14"/>
                              <w:szCs w:val="14"/>
                            </w:rPr>
                            <w:t>比</w:t>
                          </w:r>
                        </w:p>
                      </w:tc>
                      <w:tc>
                        <w:tcPr>
                          <w:tcW w:w="729" w:type="dxa"/>
                          <w:vAlign w:val="top"/>
                        </w:tcPr>
                        <w:p>
                          <w:pPr>
                            <w:tabs>
                              <w:tab w:val="left" w:pos="128"/>
                            </w:tabs>
                            <w:spacing w:before="114" w:line="253" w:lineRule="auto"/>
                            <w:ind w:left="59" w:firstLine="163"/>
                            <w:rPr>
                              <w:rFonts w:ascii="SimHei" w:hAnsi="SimHei" w:eastAsia="SimHei" w:cs="SimHei"/>
                              <w:sz w:val="13"/>
                              <w:szCs w:val="13"/>
                            </w:rPr>
                          </w:pPr>
                          <w:r>
                            <w:rPr>
                              <w:rFonts w:ascii="SimHei" w:hAnsi="SimHei" w:eastAsia="SimHei" w:cs="SimHei"/>
                              <w:color w:val="231F20"/>
                              <w:spacing w:val="6"/>
                              <w:sz w:val="13"/>
                              <w:szCs w:val="13"/>
                            </w:rPr>
                            <w:t>规模</w:t>
                          </w:r>
                          <w:r>
                            <w:rPr>
                              <w:rFonts w:ascii="SimHei" w:hAnsi="SimHei" w:eastAsia="SimHei" w:cs="SimHei"/>
                              <w:color w:val="231F20"/>
                              <w:sz w:val="13"/>
                              <w:szCs w:val="13"/>
                            </w:rPr>
                            <w:t xml:space="preserve">   </w:t>
                          </w:r>
                          <w:r>
                            <w:rPr>
                              <w:rFonts w:ascii="SimHei" w:hAnsi="SimHei" w:eastAsia="SimHei" w:cs="SimHei"/>
                              <w:color w:val="231F20"/>
                              <w:sz w:val="13"/>
                              <w:szCs w:val="13"/>
                            </w:rPr>
                            <w:tab/>
                          </w:r>
                          <w:r>
                            <w:rPr>
                              <w:rFonts w:ascii="SimHei" w:hAnsi="SimHei" w:eastAsia="SimHei" w:cs="SimHei"/>
                              <w:color w:val="231F20"/>
                              <w:spacing w:val="2"/>
                              <w:sz w:val="13"/>
                              <w:szCs w:val="13"/>
                            </w:rPr>
                            <w:t>(亿</w:t>
                          </w:r>
                          <w:r>
                            <w:rPr>
                              <w:rFonts w:ascii="SimHei" w:hAnsi="SimHei" w:eastAsia="SimHei" w:cs="SimHei"/>
                              <w:color w:val="231F20"/>
                              <w:spacing w:val="1"/>
                              <w:sz w:val="13"/>
                              <w:szCs w:val="13"/>
                            </w:rPr>
                            <w:t>美元)</w:t>
                          </w:r>
                        </w:p>
                      </w:tc>
                      <w:tc>
                        <w:tcPr>
                          <w:tcW w:w="729" w:type="dxa"/>
                          <w:tcBorders>
                            <w:right w:val="nil"/>
                          </w:tcBorders>
                          <w:vAlign w:val="top"/>
                        </w:tcPr>
                        <w:p>
                          <w:pPr>
                            <w:spacing w:before="197" w:line="225" w:lineRule="auto"/>
                            <w:ind w:left="240"/>
                            <w:rPr>
                              <w:rFonts w:ascii="SimHei" w:hAnsi="SimHei" w:eastAsia="SimHei" w:cs="SimHei"/>
                              <w:sz w:val="14"/>
                              <w:szCs w:val="14"/>
                            </w:rPr>
                          </w:pPr>
                          <w:r>
                            <w:rPr>
                              <w:rFonts w:ascii="SimHei" w:hAnsi="SimHei" w:eastAsia="SimHei" w:cs="SimHei"/>
                              <w:color w:val="231F20"/>
                              <w:spacing w:val="-6"/>
                              <w:sz w:val="14"/>
                              <w:szCs w:val="14"/>
                            </w:rPr>
                            <w:t>占</w:t>
                          </w:r>
                          <w:r>
                            <w:rPr>
                              <w:rFonts w:ascii="SimHei" w:hAnsi="SimHei" w:eastAsia="SimHei" w:cs="SimHei"/>
                              <w:color w:val="231F20"/>
                              <w:spacing w:val="-4"/>
                              <w:sz w:val="14"/>
                              <w:szCs w:val="14"/>
                            </w:rPr>
                            <w:t>比</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688" w:hRule="atLeast"/>
                      </w:trPr>
                      <w:tc>
                        <w:tcPr>
                          <w:tcW w:w="974" w:type="dxa"/>
                          <w:tcBorders>
                            <w:left w:val="nil"/>
                          </w:tcBorders>
                          <w:vAlign w:val="top"/>
                        </w:tcPr>
                        <w:p>
                          <w:pPr>
                            <w:spacing w:before="243" w:line="223" w:lineRule="auto"/>
                            <w:ind w:left="100"/>
                            <w:rPr>
                              <w:rFonts w:ascii="SimHei" w:hAnsi="SimHei" w:eastAsia="SimHei" w:cs="SimHei"/>
                              <w:sz w:val="20"/>
                              <w:szCs w:val="20"/>
                            </w:rPr>
                          </w:pPr>
                          <w:r>
                            <w:rPr>
                              <w:rFonts w:ascii="SimHei" w:hAnsi="SimHei" w:eastAsia="SimHei" w:cs="SimHei"/>
                              <w:color w:val="231F20"/>
                              <w:spacing w:val="-4"/>
                              <w:sz w:val="20"/>
                              <w:szCs w:val="20"/>
                            </w:rPr>
                            <w:t>东</w:t>
                          </w:r>
                          <w:r>
                            <w:rPr>
                              <w:rFonts w:ascii="SimHei" w:hAnsi="SimHei" w:eastAsia="SimHei" w:cs="SimHei"/>
                              <w:color w:val="231F20"/>
                              <w:spacing w:val="-2"/>
                              <w:sz w:val="20"/>
                              <w:szCs w:val="20"/>
                            </w:rPr>
                            <w:t>部地区</w:t>
                          </w:r>
                        </w:p>
                      </w:tc>
                      <w:tc>
                        <w:tcPr>
                          <w:tcW w:w="729" w:type="dxa"/>
                          <w:vAlign w:val="top"/>
                        </w:tcPr>
                        <w:p>
                          <w:pPr>
                            <w:spacing w:before="278" w:line="187" w:lineRule="auto"/>
                            <w:ind w:left="111"/>
                            <w:rPr>
                              <w:rFonts w:ascii="Times New Roman" w:hAnsi="Times New Roman" w:eastAsia="Times New Roman" w:cs="Times New Roman"/>
                              <w:sz w:val="20"/>
                              <w:szCs w:val="20"/>
                            </w:rPr>
                          </w:pPr>
                          <w:r>
                            <w:rPr>
                              <w:rFonts w:ascii="Times New Roman" w:hAnsi="Times New Roman" w:eastAsia="Times New Roman" w:cs="Times New Roman"/>
                              <w:color w:val="231F20"/>
                              <w:spacing w:val="-3"/>
                              <w:sz w:val="20"/>
                              <w:szCs w:val="20"/>
                            </w:rPr>
                            <w:t>1145.9</w:t>
                          </w:r>
                        </w:p>
                      </w:tc>
                      <w:tc>
                        <w:tcPr>
                          <w:tcW w:w="741" w:type="dxa"/>
                          <w:vAlign w:val="top"/>
                        </w:tcPr>
                        <w:p>
                          <w:pPr>
                            <w:spacing w:before="205" w:line="270" w:lineRule="exact"/>
                            <w:ind w:left="119"/>
                            <w:rPr>
                              <w:rFonts w:ascii="Times New Roman" w:hAnsi="Times New Roman" w:eastAsia="Times New Roman" w:cs="Times New Roman"/>
                              <w:sz w:val="20"/>
                              <w:szCs w:val="20"/>
                            </w:rPr>
                          </w:pPr>
                          <w:r>
                            <w:rPr>
                              <w:rFonts w:ascii="Times New Roman" w:hAnsi="Times New Roman" w:eastAsia="Times New Roman" w:cs="Times New Roman"/>
                              <w:color w:val="231F20"/>
                              <w:spacing w:val="-14"/>
                              <w:position w:val="2"/>
                              <w:sz w:val="20"/>
                              <w:szCs w:val="20"/>
                            </w:rPr>
                            <w:t>8</w:t>
                          </w:r>
                          <w:r>
                            <w:rPr>
                              <w:rFonts w:ascii="Times New Roman" w:hAnsi="Times New Roman" w:eastAsia="Times New Roman" w:cs="Times New Roman"/>
                              <w:color w:val="231F20"/>
                              <w:spacing w:val="-9"/>
                              <w:position w:val="2"/>
                              <w:sz w:val="20"/>
                              <w:szCs w:val="20"/>
                            </w:rPr>
                            <w:t>4. 1%</w:t>
                          </w:r>
                        </w:p>
                      </w:tc>
                      <w:tc>
                        <w:tcPr>
                          <w:tcW w:w="729" w:type="dxa"/>
                          <w:vAlign w:val="top"/>
                        </w:tcPr>
                        <w:p>
                          <w:pPr>
                            <w:spacing w:before="278" w:line="187" w:lineRule="auto"/>
                            <w:ind w:left="111"/>
                            <w:rPr>
                              <w:rFonts w:ascii="Times New Roman" w:hAnsi="Times New Roman" w:eastAsia="Times New Roman" w:cs="Times New Roman"/>
                              <w:sz w:val="20"/>
                              <w:szCs w:val="20"/>
                            </w:rPr>
                          </w:pPr>
                          <w:r>
                            <w:rPr>
                              <w:rFonts w:ascii="Times New Roman" w:hAnsi="Times New Roman" w:eastAsia="Times New Roman" w:cs="Times New Roman"/>
                              <w:color w:val="231F20"/>
                              <w:spacing w:val="-4"/>
                              <w:sz w:val="20"/>
                              <w:szCs w:val="20"/>
                            </w:rPr>
                            <w:t>1</w:t>
                          </w:r>
                          <w:r>
                            <w:rPr>
                              <w:rFonts w:ascii="Times New Roman" w:hAnsi="Times New Roman" w:eastAsia="Times New Roman" w:cs="Times New Roman"/>
                              <w:color w:val="231F20"/>
                              <w:spacing w:val="-3"/>
                              <w:sz w:val="20"/>
                              <w:szCs w:val="20"/>
                            </w:rPr>
                            <w:t>153.7</w:t>
                          </w:r>
                        </w:p>
                      </w:tc>
                      <w:tc>
                        <w:tcPr>
                          <w:tcW w:w="729" w:type="dxa"/>
                          <w:vAlign w:val="top"/>
                        </w:tcPr>
                        <w:p>
                          <w:pPr>
                            <w:spacing w:before="205" w:line="270" w:lineRule="exact"/>
                            <w:ind w:left="114"/>
                            <w:rPr>
                              <w:rFonts w:ascii="Times New Roman" w:hAnsi="Times New Roman" w:eastAsia="Times New Roman" w:cs="Times New Roman"/>
                              <w:sz w:val="20"/>
                              <w:szCs w:val="20"/>
                            </w:rPr>
                          </w:pPr>
                          <w:r>
                            <w:rPr>
                              <w:rFonts w:ascii="Times New Roman" w:hAnsi="Times New Roman" w:eastAsia="Times New Roman" w:cs="Times New Roman"/>
                              <w:color w:val="231F20"/>
                              <w:spacing w:val="-2"/>
                              <w:position w:val="1"/>
                              <w:sz w:val="20"/>
                              <w:szCs w:val="20"/>
                            </w:rPr>
                            <w:t>83.4</w:t>
                          </w:r>
                          <w:r>
                            <w:rPr>
                              <w:rFonts w:ascii="Times New Roman" w:hAnsi="Times New Roman" w:eastAsia="Times New Roman" w:cs="Times New Roman"/>
                              <w:color w:val="231F20"/>
                              <w:spacing w:val="-1"/>
                              <w:position w:val="1"/>
                              <w:sz w:val="20"/>
                              <w:szCs w:val="20"/>
                            </w:rPr>
                            <w:t>%</w:t>
                          </w:r>
                        </w:p>
                      </w:tc>
                      <w:tc>
                        <w:tcPr>
                          <w:tcW w:w="729" w:type="dxa"/>
                          <w:vAlign w:val="top"/>
                        </w:tcPr>
                        <w:p>
                          <w:pPr>
                            <w:spacing w:before="278" w:line="186" w:lineRule="auto"/>
                            <w:ind w:left="111"/>
                            <w:rPr>
                              <w:rFonts w:ascii="Times New Roman" w:hAnsi="Times New Roman" w:eastAsia="Times New Roman" w:cs="Times New Roman"/>
                              <w:sz w:val="20"/>
                              <w:szCs w:val="20"/>
                            </w:rPr>
                          </w:pPr>
                          <w:r>
                            <w:rPr>
                              <w:rFonts w:ascii="Times New Roman" w:hAnsi="Times New Roman" w:eastAsia="Times New Roman" w:cs="Times New Roman"/>
                              <w:color w:val="231F20"/>
                              <w:spacing w:val="-11"/>
                              <w:sz w:val="20"/>
                              <w:szCs w:val="20"/>
                            </w:rPr>
                            <w:t>1</w:t>
                          </w:r>
                          <w:r>
                            <w:rPr>
                              <w:rFonts w:ascii="Times New Roman" w:hAnsi="Times New Roman" w:eastAsia="Times New Roman" w:cs="Times New Roman"/>
                              <w:color w:val="231F20"/>
                              <w:spacing w:val="-7"/>
                              <w:sz w:val="20"/>
                              <w:szCs w:val="20"/>
                            </w:rPr>
                            <w:t>191. 1</w:t>
                          </w:r>
                        </w:p>
                      </w:tc>
                      <w:tc>
                        <w:tcPr>
                          <w:tcW w:w="730" w:type="dxa"/>
                          <w:vAlign w:val="top"/>
                        </w:tcPr>
                        <w:p>
                          <w:pPr>
                            <w:spacing w:before="205" w:line="270" w:lineRule="exact"/>
                            <w:ind w:left="114"/>
                            <w:rPr>
                              <w:rFonts w:ascii="Times New Roman" w:hAnsi="Times New Roman" w:eastAsia="Times New Roman" w:cs="Times New Roman"/>
                              <w:sz w:val="20"/>
                              <w:szCs w:val="20"/>
                            </w:rPr>
                          </w:pPr>
                          <w:r>
                            <w:rPr>
                              <w:rFonts w:ascii="Times New Roman" w:hAnsi="Times New Roman" w:eastAsia="Times New Roman" w:cs="Times New Roman"/>
                              <w:color w:val="231F20"/>
                              <w:spacing w:val="-2"/>
                              <w:position w:val="1"/>
                              <w:sz w:val="20"/>
                              <w:szCs w:val="20"/>
                            </w:rPr>
                            <w:t>84.3</w:t>
                          </w:r>
                          <w:r>
                            <w:rPr>
                              <w:rFonts w:ascii="Times New Roman" w:hAnsi="Times New Roman" w:eastAsia="Times New Roman" w:cs="Times New Roman"/>
                              <w:color w:val="231F20"/>
                              <w:spacing w:val="-1"/>
                              <w:position w:val="1"/>
                              <w:sz w:val="20"/>
                              <w:szCs w:val="20"/>
                            </w:rPr>
                            <w:t>%</w:t>
                          </w:r>
                        </w:p>
                      </w:tc>
                      <w:tc>
                        <w:tcPr>
                          <w:tcW w:w="729" w:type="dxa"/>
                          <w:vAlign w:val="top"/>
                        </w:tcPr>
                        <w:p>
                          <w:pPr>
                            <w:spacing w:before="278" w:line="186" w:lineRule="auto"/>
                            <w:ind w:left="107"/>
                            <w:rPr>
                              <w:rFonts w:ascii="Times New Roman" w:hAnsi="Times New Roman" w:eastAsia="Times New Roman" w:cs="Times New Roman"/>
                              <w:sz w:val="20"/>
                              <w:szCs w:val="20"/>
                            </w:rPr>
                          </w:pPr>
                          <w:r>
                            <w:rPr>
                              <w:rFonts w:ascii="Times New Roman" w:hAnsi="Times New Roman" w:eastAsia="Times New Roman" w:cs="Times New Roman"/>
                              <w:color w:val="231F20"/>
                              <w:spacing w:val="-4"/>
                              <w:sz w:val="20"/>
                              <w:szCs w:val="20"/>
                            </w:rPr>
                            <w:t>1</w:t>
                          </w:r>
                          <w:r>
                            <w:rPr>
                              <w:rFonts w:ascii="Times New Roman" w:hAnsi="Times New Roman" w:eastAsia="Times New Roman" w:cs="Times New Roman"/>
                              <w:color w:val="231F20"/>
                              <w:spacing w:val="-3"/>
                              <w:sz w:val="20"/>
                              <w:szCs w:val="20"/>
                            </w:rPr>
                            <w:t>275.4</w:t>
                          </w:r>
                        </w:p>
                      </w:tc>
                      <w:tc>
                        <w:tcPr>
                          <w:tcW w:w="729" w:type="dxa"/>
                          <w:vAlign w:val="top"/>
                        </w:tcPr>
                        <w:p>
                          <w:pPr>
                            <w:spacing w:before="205" w:line="270" w:lineRule="exact"/>
                            <w:ind w:left="113"/>
                            <w:rPr>
                              <w:rFonts w:ascii="Times New Roman" w:hAnsi="Times New Roman" w:eastAsia="Times New Roman" w:cs="Times New Roman"/>
                              <w:sz w:val="20"/>
                              <w:szCs w:val="20"/>
                            </w:rPr>
                          </w:pPr>
                          <w:r>
                            <w:rPr>
                              <w:rFonts w:ascii="Times New Roman" w:hAnsi="Times New Roman" w:eastAsia="Times New Roman" w:cs="Times New Roman"/>
                              <w:color w:val="231F20"/>
                              <w:spacing w:val="-2"/>
                              <w:position w:val="1"/>
                              <w:sz w:val="20"/>
                              <w:szCs w:val="20"/>
                            </w:rPr>
                            <w:t>85.4</w:t>
                          </w:r>
                          <w:r>
                            <w:rPr>
                              <w:rFonts w:ascii="Times New Roman" w:hAnsi="Times New Roman" w:eastAsia="Times New Roman" w:cs="Times New Roman"/>
                              <w:color w:val="231F20"/>
                              <w:spacing w:val="-1"/>
                              <w:position w:val="1"/>
                              <w:sz w:val="20"/>
                              <w:szCs w:val="20"/>
                            </w:rPr>
                            <w:t>%</w:t>
                          </w:r>
                        </w:p>
                      </w:tc>
                      <w:tc>
                        <w:tcPr>
                          <w:tcW w:w="729" w:type="dxa"/>
                          <w:vAlign w:val="top"/>
                        </w:tcPr>
                        <w:p>
                          <w:pPr>
                            <w:spacing w:before="278" w:line="187" w:lineRule="auto"/>
                            <w:ind w:left="107"/>
                            <w:rPr>
                              <w:rFonts w:ascii="Times New Roman" w:hAnsi="Times New Roman" w:eastAsia="Times New Roman" w:cs="Times New Roman"/>
                              <w:sz w:val="20"/>
                              <w:szCs w:val="20"/>
                            </w:rPr>
                          </w:pPr>
                          <w:r>
                            <w:rPr>
                              <w:rFonts w:ascii="Times New Roman" w:hAnsi="Times New Roman" w:eastAsia="Times New Roman" w:cs="Times New Roman"/>
                              <w:color w:val="231F20"/>
                              <w:spacing w:val="-2"/>
                              <w:sz w:val="20"/>
                              <w:szCs w:val="20"/>
                            </w:rPr>
                            <w:t>1</w:t>
                          </w:r>
                          <w:r>
                            <w:rPr>
                              <w:rFonts w:ascii="Times New Roman" w:hAnsi="Times New Roman" w:eastAsia="Times New Roman" w:cs="Times New Roman"/>
                              <w:color w:val="231F20"/>
                              <w:spacing w:val="-1"/>
                              <w:sz w:val="20"/>
                              <w:szCs w:val="20"/>
                            </w:rPr>
                            <w:t>526.8</w:t>
                          </w:r>
                        </w:p>
                      </w:tc>
                      <w:tc>
                        <w:tcPr>
                          <w:tcW w:w="729" w:type="dxa"/>
                          <w:tcBorders>
                            <w:right w:val="nil"/>
                          </w:tcBorders>
                          <w:vAlign w:val="top"/>
                        </w:tcPr>
                        <w:p>
                          <w:pPr>
                            <w:spacing w:before="205" w:line="270" w:lineRule="exact"/>
                            <w:ind w:left="114"/>
                            <w:rPr>
                              <w:rFonts w:ascii="Times New Roman" w:hAnsi="Times New Roman" w:eastAsia="Times New Roman" w:cs="Times New Roman"/>
                              <w:sz w:val="20"/>
                              <w:szCs w:val="20"/>
                            </w:rPr>
                          </w:pPr>
                          <w:r>
                            <w:rPr>
                              <w:rFonts w:ascii="Times New Roman" w:hAnsi="Times New Roman" w:eastAsia="Times New Roman" w:cs="Times New Roman"/>
                              <w:color w:val="231F20"/>
                              <w:spacing w:val="-2"/>
                              <w:position w:val="1"/>
                              <w:sz w:val="20"/>
                              <w:szCs w:val="20"/>
                            </w:rPr>
                            <w:t>84.4</w:t>
                          </w:r>
                          <w:r>
                            <w:rPr>
                              <w:rFonts w:ascii="Times New Roman" w:hAnsi="Times New Roman" w:eastAsia="Times New Roman" w:cs="Times New Roman"/>
                              <w:color w:val="231F20"/>
                              <w:spacing w:val="-1"/>
                              <w:position w:val="1"/>
                              <w:sz w:val="20"/>
                              <w:szCs w:val="20"/>
                            </w:rPr>
                            <w:t>%</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689" w:hRule="atLeast"/>
                      </w:trPr>
                      <w:tc>
                        <w:tcPr>
                          <w:tcW w:w="974" w:type="dxa"/>
                          <w:tcBorders>
                            <w:left w:val="nil"/>
                          </w:tcBorders>
                          <w:vAlign w:val="top"/>
                        </w:tcPr>
                        <w:p>
                          <w:pPr>
                            <w:spacing w:before="244" w:line="223" w:lineRule="auto"/>
                            <w:ind w:left="108"/>
                            <w:rPr>
                              <w:rFonts w:ascii="SimHei" w:hAnsi="SimHei" w:eastAsia="SimHei" w:cs="SimHei"/>
                              <w:sz w:val="20"/>
                              <w:szCs w:val="20"/>
                            </w:rPr>
                          </w:pPr>
                          <w:r>
                            <w:rPr>
                              <w:rFonts w:ascii="SimHei" w:hAnsi="SimHei" w:eastAsia="SimHei" w:cs="SimHei"/>
                              <w:color w:val="231F20"/>
                              <w:spacing w:val="-4"/>
                              <w:sz w:val="20"/>
                              <w:szCs w:val="20"/>
                            </w:rPr>
                            <w:t>中部地区</w:t>
                          </w:r>
                        </w:p>
                      </w:tc>
                      <w:tc>
                        <w:tcPr>
                          <w:tcW w:w="729" w:type="dxa"/>
                          <w:vAlign w:val="top"/>
                        </w:tcPr>
                        <w:p>
                          <w:pPr>
                            <w:spacing w:before="279" w:line="187" w:lineRule="auto"/>
                            <w:ind w:left="197"/>
                            <w:rPr>
                              <w:rFonts w:ascii="Times New Roman" w:hAnsi="Times New Roman" w:eastAsia="Times New Roman" w:cs="Times New Roman"/>
                              <w:sz w:val="20"/>
                              <w:szCs w:val="20"/>
                            </w:rPr>
                          </w:pPr>
                          <w:r>
                            <w:rPr>
                              <w:rFonts w:ascii="Times New Roman" w:hAnsi="Times New Roman" w:eastAsia="Times New Roman" w:cs="Times New Roman"/>
                              <w:color w:val="231F20"/>
                              <w:spacing w:val="-8"/>
                              <w:sz w:val="20"/>
                              <w:szCs w:val="20"/>
                            </w:rPr>
                            <w:t>8</w:t>
                          </w:r>
                          <w:r>
                            <w:rPr>
                              <w:rFonts w:ascii="Times New Roman" w:hAnsi="Times New Roman" w:eastAsia="Times New Roman" w:cs="Times New Roman"/>
                              <w:color w:val="231F20"/>
                              <w:spacing w:val="-7"/>
                              <w:sz w:val="20"/>
                              <w:szCs w:val="20"/>
                            </w:rPr>
                            <w:t>3. 1</w:t>
                          </w:r>
                        </w:p>
                      </w:tc>
                      <w:tc>
                        <w:tcPr>
                          <w:tcW w:w="741" w:type="dxa"/>
                          <w:vAlign w:val="top"/>
                        </w:tcPr>
                        <w:p>
                          <w:pPr>
                            <w:spacing w:before="207" w:line="269" w:lineRule="exact"/>
                            <w:ind w:left="166"/>
                            <w:rPr>
                              <w:rFonts w:ascii="Times New Roman" w:hAnsi="Times New Roman" w:eastAsia="Times New Roman" w:cs="Times New Roman"/>
                              <w:sz w:val="20"/>
                              <w:szCs w:val="20"/>
                            </w:rPr>
                          </w:pPr>
                          <w:r>
                            <w:rPr>
                              <w:rFonts w:ascii="Times New Roman" w:hAnsi="Times New Roman" w:eastAsia="Times New Roman" w:cs="Times New Roman"/>
                              <w:color w:val="231F20"/>
                              <w:spacing w:val="-12"/>
                              <w:position w:val="2"/>
                              <w:sz w:val="20"/>
                              <w:szCs w:val="20"/>
                            </w:rPr>
                            <w:t>6</w:t>
                          </w:r>
                          <w:r>
                            <w:rPr>
                              <w:rFonts w:ascii="Times New Roman" w:hAnsi="Times New Roman" w:eastAsia="Times New Roman" w:cs="Times New Roman"/>
                              <w:color w:val="231F20"/>
                              <w:spacing w:val="-11"/>
                              <w:position w:val="2"/>
                              <w:sz w:val="20"/>
                              <w:szCs w:val="20"/>
                            </w:rPr>
                            <w:t>. 1%</w:t>
                          </w:r>
                        </w:p>
                      </w:tc>
                      <w:tc>
                        <w:tcPr>
                          <w:tcW w:w="729" w:type="dxa"/>
                          <w:vAlign w:val="top"/>
                        </w:tcPr>
                        <w:p>
                          <w:pPr>
                            <w:spacing w:before="280" w:line="186" w:lineRule="auto"/>
                            <w:ind w:left="193"/>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98</w:t>
                          </w:r>
                          <w:r>
                            <w:rPr>
                              <w:rFonts w:ascii="Times New Roman" w:hAnsi="Times New Roman" w:eastAsia="Times New Roman" w:cs="Times New Roman"/>
                              <w:color w:val="231F20"/>
                              <w:sz w:val="20"/>
                              <w:szCs w:val="20"/>
                            </w:rPr>
                            <w:t>.0</w:t>
                          </w:r>
                        </w:p>
                      </w:tc>
                      <w:tc>
                        <w:tcPr>
                          <w:tcW w:w="729" w:type="dxa"/>
                          <w:vAlign w:val="top"/>
                        </w:tcPr>
                        <w:p>
                          <w:pPr>
                            <w:spacing w:before="207" w:line="269" w:lineRule="exact"/>
                            <w:ind w:left="159"/>
                            <w:rPr>
                              <w:rFonts w:ascii="Times New Roman" w:hAnsi="Times New Roman" w:eastAsia="Times New Roman" w:cs="Times New Roman"/>
                              <w:sz w:val="20"/>
                              <w:szCs w:val="20"/>
                            </w:rPr>
                          </w:pPr>
                          <w:r>
                            <w:rPr>
                              <w:rFonts w:ascii="Times New Roman" w:hAnsi="Times New Roman" w:eastAsia="Times New Roman" w:cs="Times New Roman"/>
                              <w:color w:val="231F20"/>
                              <w:spacing w:val="-11"/>
                              <w:position w:val="2"/>
                              <w:sz w:val="20"/>
                              <w:szCs w:val="20"/>
                            </w:rPr>
                            <w:t>7. 1%</w:t>
                          </w:r>
                        </w:p>
                      </w:tc>
                      <w:tc>
                        <w:tcPr>
                          <w:tcW w:w="729" w:type="dxa"/>
                          <w:vAlign w:val="top"/>
                        </w:tcPr>
                        <w:p>
                          <w:pPr>
                            <w:spacing w:before="280" w:line="186" w:lineRule="auto"/>
                            <w:ind w:left="193"/>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97.</w:t>
                          </w:r>
                          <w:r>
                            <w:rPr>
                              <w:rFonts w:ascii="Times New Roman" w:hAnsi="Times New Roman" w:eastAsia="Times New Roman" w:cs="Times New Roman"/>
                              <w:color w:val="231F20"/>
                              <w:sz w:val="20"/>
                              <w:szCs w:val="20"/>
                            </w:rPr>
                            <w:t>3</w:t>
                          </w:r>
                        </w:p>
                      </w:tc>
                      <w:tc>
                        <w:tcPr>
                          <w:tcW w:w="730" w:type="dxa"/>
                          <w:vAlign w:val="top"/>
                        </w:tcPr>
                        <w:p>
                          <w:pPr>
                            <w:spacing w:before="207" w:line="269" w:lineRule="exact"/>
                            <w:ind w:left="161"/>
                            <w:rPr>
                              <w:rFonts w:ascii="Times New Roman" w:hAnsi="Times New Roman" w:eastAsia="Times New Roman" w:cs="Times New Roman"/>
                              <w:sz w:val="20"/>
                              <w:szCs w:val="20"/>
                            </w:rPr>
                          </w:pPr>
                          <w:r>
                            <w:rPr>
                              <w:rFonts w:ascii="Times New Roman" w:hAnsi="Times New Roman" w:eastAsia="Times New Roman" w:cs="Times New Roman"/>
                              <w:color w:val="231F20"/>
                              <w:spacing w:val="-2"/>
                              <w:position w:val="1"/>
                              <w:sz w:val="20"/>
                              <w:szCs w:val="20"/>
                            </w:rPr>
                            <w:t>6.</w:t>
                          </w:r>
                          <w:r>
                            <w:rPr>
                              <w:rFonts w:ascii="Times New Roman" w:hAnsi="Times New Roman" w:eastAsia="Times New Roman" w:cs="Times New Roman"/>
                              <w:color w:val="231F20"/>
                              <w:spacing w:val="-1"/>
                              <w:position w:val="1"/>
                              <w:sz w:val="20"/>
                              <w:szCs w:val="20"/>
                            </w:rPr>
                            <w:t>9%</w:t>
                          </w:r>
                        </w:p>
                      </w:tc>
                      <w:tc>
                        <w:tcPr>
                          <w:tcW w:w="729" w:type="dxa"/>
                          <w:vAlign w:val="top"/>
                        </w:tcPr>
                        <w:p>
                          <w:pPr>
                            <w:spacing w:before="279" w:line="187" w:lineRule="auto"/>
                            <w:ind w:left="197"/>
                            <w:rPr>
                              <w:rFonts w:ascii="Times New Roman" w:hAnsi="Times New Roman" w:eastAsia="Times New Roman" w:cs="Times New Roman"/>
                              <w:sz w:val="20"/>
                              <w:szCs w:val="20"/>
                            </w:rPr>
                          </w:pPr>
                          <w:r>
                            <w:rPr>
                              <w:rFonts w:ascii="Times New Roman" w:hAnsi="Times New Roman" w:eastAsia="Times New Roman" w:cs="Times New Roman"/>
                              <w:color w:val="231F20"/>
                              <w:spacing w:val="-4"/>
                              <w:sz w:val="20"/>
                              <w:szCs w:val="20"/>
                            </w:rPr>
                            <w:t>8</w:t>
                          </w:r>
                          <w:r>
                            <w:rPr>
                              <w:rFonts w:ascii="Times New Roman" w:hAnsi="Times New Roman" w:eastAsia="Times New Roman" w:cs="Times New Roman"/>
                              <w:color w:val="231F20"/>
                              <w:spacing w:val="-2"/>
                              <w:sz w:val="20"/>
                              <w:szCs w:val="20"/>
                            </w:rPr>
                            <w:t>8.2</w:t>
                          </w:r>
                        </w:p>
                      </w:tc>
                      <w:tc>
                        <w:tcPr>
                          <w:tcW w:w="729" w:type="dxa"/>
                          <w:vAlign w:val="top"/>
                        </w:tcPr>
                        <w:p>
                          <w:pPr>
                            <w:spacing w:before="207" w:line="269" w:lineRule="exact"/>
                            <w:ind w:left="161"/>
                            <w:rPr>
                              <w:rFonts w:ascii="Times New Roman" w:hAnsi="Times New Roman" w:eastAsia="Times New Roman" w:cs="Times New Roman"/>
                              <w:sz w:val="20"/>
                              <w:szCs w:val="20"/>
                            </w:rPr>
                          </w:pPr>
                          <w:r>
                            <w:rPr>
                              <w:rFonts w:ascii="Times New Roman" w:hAnsi="Times New Roman" w:eastAsia="Times New Roman" w:cs="Times New Roman"/>
                              <w:color w:val="231F20"/>
                              <w:spacing w:val="-2"/>
                              <w:position w:val="2"/>
                              <w:sz w:val="20"/>
                              <w:szCs w:val="20"/>
                            </w:rPr>
                            <w:t>5.9</w:t>
                          </w:r>
                          <w:r>
                            <w:rPr>
                              <w:rFonts w:ascii="Times New Roman" w:hAnsi="Times New Roman" w:eastAsia="Times New Roman" w:cs="Times New Roman"/>
                              <w:color w:val="231F20"/>
                              <w:spacing w:val="-1"/>
                              <w:position w:val="2"/>
                              <w:sz w:val="20"/>
                              <w:szCs w:val="20"/>
                            </w:rPr>
                            <w:t>%</w:t>
                          </w:r>
                        </w:p>
                      </w:tc>
                      <w:tc>
                        <w:tcPr>
                          <w:tcW w:w="729" w:type="dxa"/>
                          <w:vAlign w:val="top"/>
                        </w:tcPr>
                        <w:p>
                          <w:pPr>
                            <w:spacing w:before="279" w:line="189" w:lineRule="auto"/>
                            <w:ind w:left="165"/>
                            <w:rPr>
                              <w:rFonts w:ascii="Times New Roman" w:hAnsi="Times New Roman" w:eastAsia="Times New Roman" w:cs="Times New Roman"/>
                              <w:sz w:val="20"/>
                              <w:szCs w:val="20"/>
                            </w:rPr>
                          </w:pPr>
                          <w:r>
                            <w:rPr>
                              <w:rFonts w:ascii="Times New Roman" w:hAnsi="Times New Roman" w:eastAsia="Times New Roman" w:cs="Times New Roman"/>
                              <w:color w:val="231F20"/>
                              <w:spacing w:val="-6"/>
                              <w:sz w:val="20"/>
                              <w:szCs w:val="20"/>
                            </w:rPr>
                            <w:t>1</w:t>
                          </w:r>
                          <w:r>
                            <w:rPr>
                              <w:rFonts w:ascii="Times New Roman" w:hAnsi="Times New Roman" w:eastAsia="Times New Roman" w:cs="Times New Roman"/>
                              <w:color w:val="231F20"/>
                              <w:spacing w:val="-5"/>
                              <w:sz w:val="20"/>
                              <w:szCs w:val="20"/>
                            </w:rPr>
                            <w:t>11.6</w:t>
                          </w:r>
                        </w:p>
                      </w:tc>
                      <w:tc>
                        <w:tcPr>
                          <w:tcW w:w="729" w:type="dxa"/>
                          <w:tcBorders>
                            <w:right w:val="nil"/>
                          </w:tcBorders>
                          <w:vAlign w:val="top"/>
                        </w:tcPr>
                        <w:p>
                          <w:pPr>
                            <w:spacing w:before="207" w:line="269" w:lineRule="exact"/>
                            <w:ind w:left="160"/>
                            <w:rPr>
                              <w:rFonts w:ascii="Times New Roman" w:hAnsi="Times New Roman" w:eastAsia="Times New Roman" w:cs="Times New Roman"/>
                              <w:sz w:val="20"/>
                              <w:szCs w:val="20"/>
                            </w:rPr>
                          </w:pPr>
                          <w:r>
                            <w:rPr>
                              <w:rFonts w:ascii="Times New Roman" w:hAnsi="Times New Roman" w:eastAsia="Times New Roman" w:cs="Times New Roman"/>
                              <w:color w:val="231F20"/>
                              <w:spacing w:val="-2"/>
                              <w:position w:val="1"/>
                              <w:sz w:val="20"/>
                              <w:szCs w:val="20"/>
                            </w:rPr>
                            <w:t>6.</w:t>
                          </w:r>
                          <w:r>
                            <w:rPr>
                              <w:rFonts w:ascii="Times New Roman" w:hAnsi="Times New Roman" w:eastAsia="Times New Roman" w:cs="Times New Roman"/>
                              <w:color w:val="231F20"/>
                              <w:spacing w:val="-1"/>
                              <w:position w:val="1"/>
                              <w:sz w:val="20"/>
                              <w:szCs w:val="20"/>
                            </w:rPr>
                            <w:t>2%</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689" w:hRule="atLeast"/>
                      </w:trPr>
                      <w:tc>
                        <w:tcPr>
                          <w:tcW w:w="974" w:type="dxa"/>
                          <w:tcBorders>
                            <w:left w:val="nil"/>
                          </w:tcBorders>
                          <w:vAlign w:val="top"/>
                        </w:tcPr>
                        <w:p>
                          <w:pPr>
                            <w:spacing w:before="245" w:line="223" w:lineRule="auto"/>
                            <w:ind w:left="99"/>
                            <w:rPr>
                              <w:rFonts w:ascii="SimHei" w:hAnsi="SimHei" w:eastAsia="SimHei" w:cs="SimHei"/>
                              <w:sz w:val="20"/>
                              <w:szCs w:val="20"/>
                            </w:rPr>
                          </w:pPr>
                          <w:r>
                            <w:rPr>
                              <w:rFonts w:ascii="SimHei" w:hAnsi="SimHei" w:eastAsia="SimHei" w:cs="SimHei"/>
                              <w:color w:val="231F20"/>
                              <w:spacing w:val="-3"/>
                              <w:sz w:val="20"/>
                              <w:szCs w:val="20"/>
                            </w:rPr>
                            <w:t>西</w:t>
                          </w:r>
                          <w:r>
                            <w:rPr>
                              <w:rFonts w:ascii="SimHei" w:hAnsi="SimHei" w:eastAsia="SimHei" w:cs="SimHei"/>
                              <w:color w:val="231F20"/>
                              <w:spacing w:val="-2"/>
                              <w:sz w:val="20"/>
                              <w:szCs w:val="20"/>
                            </w:rPr>
                            <w:t>部地区</w:t>
                          </w:r>
                        </w:p>
                      </w:tc>
                      <w:tc>
                        <w:tcPr>
                          <w:tcW w:w="729" w:type="dxa"/>
                          <w:vAlign w:val="top"/>
                        </w:tcPr>
                        <w:p>
                          <w:pPr>
                            <w:spacing w:before="279" w:line="187" w:lineRule="auto"/>
                            <w:ind w:left="197"/>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8</w:t>
                          </w:r>
                          <w:r>
                            <w:rPr>
                              <w:rFonts w:ascii="Times New Roman" w:hAnsi="Times New Roman" w:eastAsia="Times New Roman" w:cs="Times New Roman"/>
                              <w:color w:val="231F20"/>
                              <w:sz w:val="20"/>
                              <w:szCs w:val="20"/>
                            </w:rPr>
                            <w:t>1.3</w:t>
                          </w:r>
                        </w:p>
                      </w:tc>
                      <w:tc>
                        <w:tcPr>
                          <w:tcW w:w="741" w:type="dxa"/>
                          <w:vAlign w:val="top"/>
                        </w:tcPr>
                        <w:p>
                          <w:pPr>
                            <w:spacing w:before="207" w:line="269" w:lineRule="exact"/>
                            <w:ind w:left="166"/>
                            <w:rPr>
                              <w:rFonts w:ascii="Times New Roman" w:hAnsi="Times New Roman" w:eastAsia="Times New Roman" w:cs="Times New Roman"/>
                              <w:sz w:val="20"/>
                              <w:szCs w:val="20"/>
                            </w:rPr>
                          </w:pPr>
                          <w:r>
                            <w:rPr>
                              <w:rFonts w:ascii="Times New Roman" w:hAnsi="Times New Roman" w:eastAsia="Times New Roman" w:cs="Times New Roman"/>
                              <w:color w:val="231F20"/>
                              <w:spacing w:val="-2"/>
                              <w:position w:val="1"/>
                              <w:sz w:val="20"/>
                              <w:szCs w:val="20"/>
                            </w:rPr>
                            <w:t>6.</w:t>
                          </w:r>
                          <w:r>
                            <w:rPr>
                              <w:rFonts w:ascii="Times New Roman" w:hAnsi="Times New Roman" w:eastAsia="Times New Roman" w:cs="Times New Roman"/>
                              <w:color w:val="231F20"/>
                              <w:spacing w:val="-1"/>
                              <w:position w:val="1"/>
                              <w:sz w:val="20"/>
                              <w:szCs w:val="20"/>
                            </w:rPr>
                            <w:t>0%</w:t>
                          </w:r>
                        </w:p>
                      </w:tc>
                      <w:tc>
                        <w:tcPr>
                          <w:tcW w:w="729" w:type="dxa"/>
                          <w:vAlign w:val="top"/>
                        </w:tcPr>
                        <w:p>
                          <w:pPr>
                            <w:spacing w:before="280" w:line="186" w:lineRule="auto"/>
                            <w:ind w:left="193"/>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97</w:t>
                          </w:r>
                          <w:r>
                            <w:rPr>
                              <w:rFonts w:ascii="Times New Roman" w:hAnsi="Times New Roman" w:eastAsia="Times New Roman" w:cs="Times New Roman"/>
                              <w:color w:val="231F20"/>
                              <w:sz w:val="20"/>
                              <w:szCs w:val="20"/>
                            </w:rPr>
                            <w:t>.9</w:t>
                          </w:r>
                        </w:p>
                      </w:tc>
                      <w:tc>
                        <w:tcPr>
                          <w:tcW w:w="729" w:type="dxa"/>
                          <w:vAlign w:val="top"/>
                        </w:tcPr>
                        <w:p>
                          <w:pPr>
                            <w:spacing w:before="207" w:line="269" w:lineRule="exact"/>
                            <w:ind w:left="159"/>
                            <w:rPr>
                              <w:rFonts w:ascii="Times New Roman" w:hAnsi="Times New Roman" w:eastAsia="Times New Roman" w:cs="Times New Roman"/>
                              <w:sz w:val="20"/>
                              <w:szCs w:val="20"/>
                            </w:rPr>
                          </w:pPr>
                          <w:r>
                            <w:rPr>
                              <w:rFonts w:ascii="Times New Roman" w:hAnsi="Times New Roman" w:eastAsia="Times New Roman" w:cs="Times New Roman"/>
                              <w:color w:val="231F20"/>
                              <w:spacing w:val="-11"/>
                              <w:position w:val="2"/>
                              <w:sz w:val="20"/>
                              <w:szCs w:val="20"/>
                            </w:rPr>
                            <w:t>7. 1%</w:t>
                          </w:r>
                        </w:p>
                      </w:tc>
                      <w:tc>
                        <w:tcPr>
                          <w:tcW w:w="729" w:type="dxa"/>
                          <w:vAlign w:val="top"/>
                        </w:tcPr>
                        <w:p>
                          <w:pPr>
                            <w:spacing w:before="280" w:line="186" w:lineRule="auto"/>
                            <w:ind w:left="193"/>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92</w:t>
                          </w:r>
                          <w:r>
                            <w:rPr>
                              <w:rFonts w:ascii="Times New Roman" w:hAnsi="Times New Roman" w:eastAsia="Times New Roman" w:cs="Times New Roman"/>
                              <w:color w:val="231F20"/>
                              <w:sz w:val="20"/>
                              <w:szCs w:val="20"/>
                            </w:rPr>
                            <w:t>.9</w:t>
                          </w:r>
                        </w:p>
                      </w:tc>
                      <w:tc>
                        <w:tcPr>
                          <w:tcW w:w="730" w:type="dxa"/>
                          <w:vAlign w:val="top"/>
                        </w:tcPr>
                        <w:p>
                          <w:pPr>
                            <w:spacing w:before="207" w:line="269" w:lineRule="exact"/>
                            <w:ind w:left="161"/>
                            <w:rPr>
                              <w:rFonts w:ascii="Times New Roman" w:hAnsi="Times New Roman" w:eastAsia="Times New Roman" w:cs="Times New Roman"/>
                              <w:sz w:val="20"/>
                              <w:szCs w:val="20"/>
                            </w:rPr>
                          </w:pPr>
                          <w:r>
                            <w:rPr>
                              <w:rFonts w:ascii="Times New Roman" w:hAnsi="Times New Roman" w:eastAsia="Times New Roman" w:cs="Times New Roman"/>
                              <w:color w:val="231F20"/>
                              <w:spacing w:val="-2"/>
                              <w:position w:val="1"/>
                              <w:sz w:val="20"/>
                              <w:szCs w:val="20"/>
                            </w:rPr>
                            <w:t>6.</w:t>
                          </w:r>
                          <w:r>
                            <w:rPr>
                              <w:rFonts w:ascii="Times New Roman" w:hAnsi="Times New Roman" w:eastAsia="Times New Roman" w:cs="Times New Roman"/>
                              <w:color w:val="231F20"/>
                              <w:spacing w:val="-1"/>
                              <w:position w:val="1"/>
                              <w:sz w:val="20"/>
                              <w:szCs w:val="20"/>
                            </w:rPr>
                            <w:t>6%</w:t>
                          </w:r>
                        </w:p>
                      </w:tc>
                      <w:tc>
                        <w:tcPr>
                          <w:tcW w:w="729" w:type="dxa"/>
                          <w:vAlign w:val="top"/>
                        </w:tcPr>
                        <w:p>
                          <w:pPr>
                            <w:spacing w:before="279" w:line="187" w:lineRule="auto"/>
                            <w:ind w:left="197"/>
                            <w:rPr>
                              <w:rFonts w:ascii="Times New Roman" w:hAnsi="Times New Roman" w:eastAsia="Times New Roman" w:cs="Times New Roman"/>
                              <w:sz w:val="20"/>
                              <w:szCs w:val="20"/>
                            </w:rPr>
                          </w:pPr>
                          <w:r>
                            <w:rPr>
                              <w:rFonts w:ascii="Times New Roman" w:hAnsi="Times New Roman" w:eastAsia="Times New Roman" w:cs="Times New Roman"/>
                              <w:color w:val="231F20"/>
                              <w:spacing w:val="-8"/>
                              <w:sz w:val="20"/>
                              <w:szCs w:val="20"/>
                            </w:rPr>
                            <w:t>8</w:t>
                          </w:r>
                          <w:r>
                            <w:rPr>
                              <w:rFonts w:ascii="Times New Roman" w:hAnsi="Times New Roman" w:eastAsia="Times New Roman" w:cs="Times New Roman"/>
                              <w:color w:val="231F20"/>
                              <w:spacing w:val="-7"/>
                              <w:sz w:val="20"/>
                              <w:szCs w:val="20"/>
                            </w:rPr>
                            <w:t>0. 1</w:t>
                          </w:r>
                        </w:p>
                      </w:tc>
                      <w:tc>
                        <w:tcPr>
                          <w:tcW w:w="729" w:type="dxa"/>
                          <w:vAlign w:val="top"/>
                        </w:tcPr>
                        <w:p>
                          <w:pPr>
                            <w:spacing w:before="207" w:line="269" w:lineRule="exact"/>
                            <w:ind w:left="161"/>
                            <w:rPr>
                              <w:rFonts w:ascii="Times New Roman" w:hAnsi="Times New Roman" w:eastAsia="Times New Roman" w:cs="Times New Roman"/>
                              <w:sz w:val="20"/>
                              <w:szCs w:val="20"/>
                            </w:rPr>
                          </w:pPr>
                          <w:r>
                            <w:rPr>
                              <w:rFonts w:ascii="Times New Roman" w:hAnsi="Times New Roman" w:eastAsia="Times New Roman" w:cs="Times New Roman"/>
                              <w:color w:val="231F20"/>
                              <w:spacing w:val="-2"/>
                              <w:position w:val="2"/>
                              <w:sz w:val="20"/>
                              <w:szCs w:val="20"/>
                            </w:rPr>
                            <w:t>5.4</w:t>
                          </w:r>
                          <w:r>
                            <w:rPr>
                              <w:rFonts w:ascii="Times New Roman" w:hAnsi="Times New Roman" w:eastAsia="Times New Roman" w:cs="Times New Roman"/>
                              <w:color w:val="231F20"/>
                              <w:spacing w:val="-1"/>
                              <w:position w:val="2"/>
                              <w:sz w:val="20"/>
                              <w:szCs w:val="20"/>
                            </w:rPr>
                            <w:t>%</w:t>
                          </w:r>
                        </w:p>
                      </w:tc>
                      <w:tc>
                        <w:tcPr>
                          <w:tcW w:w="729" w:type="dxa"/>
                          <w:vAlign w:val="top"/>
                        </w:tcPr>
                        <w:p>
                          <w:pPr>
                            <w:spacing w:before="280" w:line="186" w:lineRule="auto"/>
                            <w:ind w:left="193"/>
                            <w:rPr>
                              <w:rFonts w:ascii="Times New Roman" w:hAnsi="Times New Roman" w:eastAsia="Times New Roman" w:cs="Times New Roman"/>
                              <w:sz w:val="20"/>
                              <w:szCs w:val="20"/>
                            </w:rPr>
                          </w:pPr>
                          <w:r>
                            <w:rPr>
                              <w:rFonts w:ascii="Times New Roman" w:hAnsi="Times New Roman" w:eastAsia="Times New Roman" w:cs="Times New Roman"/>
                              <w:color w:val="231F20"/>
                              <w:spacing w:val="-2"/>
                              <w:sz w:val="20"/>
                              <w:szCs w:val="20"/>
                            </w:rPr>
                            <w:t>9</w:t>
                          </w:r>
                          <w:r>
                            <w:rPr>
                              <w:rFonts w:ascii="Times New Roman" w:hAnsi="Times New Roman" w:eastAsia="Times New Roman" w:cs="Times New Roman"/>
                              <w:color w:val="231F20"/>
                              <w:spacing w:val="-1"/>
                              <w:sz w:val="20"/>
                              <w:szCs w:val="20"/>
                            </w:rPr>
                            <w:t>6.4</w:t>
                          </w:r>
                        </w:p>
                      </w:tc>
                      <w:tc>
                        <w:tcPr>
                          <w:tcW w:w="729" w:type="dxa"/>
                          <w:tcBorders>
                            <w:right w:val="nil"/>
                          </w:tcBorders>
                          <w:vAlign w:val="top"/>
                        </w:tcPr>
                        <w:p>
                          <w:pPr>
                            <w:spacing w:before="207" w:line="269" w:lineRule="exact"/>
                            <w:ind w:left="161"/>
                            <w:rPr>
                              <w:rFonts w:ascii="Times New Roman" w:hAnsi="Times New Roman" w:eastAsia="Times New Roman" w:cs="Times New Roman"/>
                              <w:sz w:val="20"/>
                              <w:szCs w:val="20"/>
                            </w:rPr>
                          </w:pPr>
                          <w:r>
                            <w:rPr>
                              <w:rFonts w:ascii="Times New Roman" w:hAnsi="Times New Roman" w:eastAsia="Times New Roman" w:cs="Times New Roman"/>
                              <w:color w:val="231F20"/>
                              <w:spacing w:val="-2"/>
                              <w:position w:val="2"/>
                              <w:sz w:val="20"/>
                              <w:szCs w:val="20"/>
                            </w:rPr>
                            <w:t>5.3</w:t>
                          </w:r>
                          <w:r>
                            <w:rPr>
                              <w:rFonts w:ascii="Times New Roman" w:hAnsi="Times New Roman" w:eastAsia="Times New Roman" w:cs="Times New Roman"/>
                              <w:color w:val="231F20"/>
                              <w:spacing w:val="-1"/>
                              <w:position w:val="2"/>
                              <w:sz w:val="20"/>
                              <w:szCs w:val="20"/>
                            </w:rPr>
                            <w:t>%</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698" w:hRule="atLeast"/>
                      </w:trPr>
                      <w:tc>
                        <w:tcPr>
                          <w:tcW w:w="974" w:type="dxa"/>
                          <w:tcBorders>
                            <w:left w:val="nil"/>
                          </w:tcBorders>
                          <w:vAlign w:val="top"/>
                        </w:tcPr>
                        <w:p>
                          <w:pPr>
                            <w:spacing w:before="245" w:line="223" w:lineRule="auto"/>
                            <w:ind w:left="93"/>
                            <w:rPr>
                              <w:rFonts w:ascii="SimHei" w:hAnsi="SimHei" w:eastAsia="SimHei" w:cs="SimHei"/>
                              <w:sz w:val="20"/>
                              <w:szCs w:val="20"/>
                            </w:rPr>
                          </w:pPr>
                          <w:r>
                            <w:rPr>
                              <w:rFonts w:ascii="SimHei" w:hAnsi="SimHei" w:eastAsia="SimHei" w:cs="SimHei"/>
                              <w:color w:val="231F20"/>
                              <w:spacing w:val="-2"/>
                              <w:sz w:val="20"/>
                              <w:szCs w:val="20"/>
                            </w:rPr>
                            <w:t>有</w:t>
                          </w:r>
                          <w:r>
                            <w:rPr>
                              <w:rFonts w:ascii="SimHei" w:hAnsi="SimHei" w:eastAsia="SimHei" w:cs="SimHei"/>
                              <w:color w:val="231F20"/>
                              <w:spacing w:val="-1"/>
                              <w:sz w:val="20"/>
                              <w:szCs w:val="20"/>
                            </w:rPr>
                            <w:t>关部门</w:t>
                          </w:r>
                        </w:p>
                      </w:tc>
                      <w:tc>
                        <w:tcPr>
                          <w:tcW w:w="729" w:type="dxa"/>
                          <w:vAlign w:val="top"/>
                        </w:tcPr>
                        <w:p>
                          <w:pPr>
                            <w:spacing w:before="280" w:line="187" w:lineRule="auto"/>
                            <w:ind w:left="194"/>
                            <w:rPr>
                              <w:rFonts w:ascii="Times New Roman" w:hAnsi="Times New Roman" w:eastAsia="Times New Roman" w:cs="Times New Roman"/>
                              <w:sz w:val="20"/>
                              <w:szCs w:val="20"/>
                            </w:rPr>
                          </w:pPr>
                          <w:r>
                            <w:rPr>
                              <w:rFonts w:ascii="Times New Roman" w:hAnsi="Times New Roman" w:eastAsia="Times New Roman" w:cs="Times New Roman"/>
                              <w:color w:val="231F20"/>
                              <w:spacing w:val="2"/>
                              <w:sz w:val="20"/>
                              <w:szCs w:val="20"/>
                            </w:rPr>
                            <w:t>5</w:t>
                          </w:r>
                          <w:r>
                            <w:rPr>
                              <w:rFonts w:ascii="Times New Roman" w:hAnsi="Times New Roman" w:eastAsia="Times New Roman" w:cs="Times New Roman"/>
                              <w:color w:val="231F20"/>
                              <w:spacing w:val="1"/>
                              <w:sz w:val="20"/>
                              <w:szCs w:val="20"/>
                            </w:rPr>
                            <w:t>2.8</w:t>
                          </w:r>
                        </w:p>
                      </w:tc>
                      <w:tc>
                        <w:tcPr>
                          <w:tcW w:w="741" w:type="dxa"/>
                          <w:vAlign w:val="top"/>
                        </w:tcPr>
                        <w:p>
                          <w:pPr>
                            <w:spacing w:before="207" w:line="270" w:lineRule="exact"/>
                            <w:ind w:left="165"/>
                            <w:rPr>
                              <w:rFonts w:ascii="Times New Roman" w:hAnsi="Times New Roman" w:eastAsia="Times New Roman" w:cs="Times New Roman"/>
                              <w:sz w:val="20"/>
                              <w:szCs w:val="20"/>
                            </w:rPr>
                          </w:pPr>
                          <w:r>
                            <w:rPr>
                              <w:rFonts w:ascii="Times New Roman" w:hAnsi="Times New Roman" w:eastAsia="Times New Roman" w:cs="Times New Roman"/>
                              <w:color w:val="231F20"/>
                              <w:spacing w:val="-2"/>
                              <w:position w:val="1"/>
                              <w:sz w:val="20"/>
                              <w:szCs w:val="20"/>
                            </w:rPr>
                            <w:t>3.</w:t>
                          </w:r>
                          <w:r>
                            <w:rPr>
                              <w:rFonts w:ascii="Times New Roman" w:hAnsi="Times New Roman" w:eastAsia="Times New Roman" w:cs="Times New Roman"/>
                              <w:color w:val="231F20"/>
                              <w:spacing w:val="-1"/>
                              <w:position w:val="1"/>
                              <w:sz w:val="20"/>
                              <w:szCs w:val="20"/>
                            </w:rPr>
                            <w:t>9%</w:t>
                          </w:r>
                        </w:p>
                      </w:tc>
                      <w:tc>
                        <w:tcPr>
                          <w:tcW w:w="729" w:type="dxa"/>
                          <w:vAlign w:val="top"/>
                        </w:tcPr>
                        <w:p>
                          <w:pPr>
                            <w:spacing w:before="280" w:line="187" w:lineRule="auto"/>
                            <w:ind w:left="193"/>
                            <w:rPr>
                              <w:rFonts w:ascii="Times New Roman" w:hAnsi="Times New Roman" w:eastAsia="Times New Roman" w:cs="Times New Roman"/>
                              <w:sz w:val="20"/>
                              <w:szCs w:val="20"/>
                            </w:rPr>
                          </w:pPr>
                          <w:r>
                            <w:rPr>
                              <w:rFonts w:ascii="Times New Roman" w:hAnsi="Times New Roman" w:eastAsia="Times New Roman" w:cs="Times New Roman"/>
                              <w:color w:val="231F20"/>
                              <w:spacing w:val="-2"/>
                              <w:sz w:val="20"/>
                              <w:szCs w:val="20"/>
                            </w:rPr>
                            <w:t>33</w:t>
                          </w:r>
                          <w:r>
                            <w:rPr>
                              <w:rFonts w:ascii="Times New Roman" w:hAnsi="Times New Roman" w:eastAsia="Times New Roman" w:cs="Times New Roman"/>
                              <w:color w:val="231F20"/>
                              <w:spacing w:val="-1"/>
                              <w:sz w:val="20"/>
                              <w:szCs w:val="20"/>
                            </w:rPr>
                            <w:t>.4</w:t>
                          </w:r>
                        </w:p>
                      </w:tc>
                      <w:tc>
                        <w:tcPr>
                          <w:tcW w:w="729" w:type="dxa"/>
                          <w:vAlign w:val="top"/>
                        </w:tcPr>
                        <w:p>
                          <w:pPr>
                            <w:spacing w:before="207" w:line="270" w:lineRule="exact"/>
                            <w:ind w:left="156"/>
                            <w:rPr>
                              <w:rFonts w:ascii="Times New Roman" w:hAnsi="Times New Roman" w:eastAsia="Times New Roman" w:cs="Times New Roman"/>
                              <w:sz w:val="20"/>
                              <w:szCs w:val="20"/>
                            </w:rPr>
                          </w:pPr>
                          <w:r>
                            <w:rPr>
                              <w:rFonts w:ascii="Times New Roman" w:hAnsi="Times New Roman" w:eastAsia="Times New Roman" w:cs="Times New Roman"/>
                              <w:color w:val="231F20"/>
                              <w:spacing w:val="-1"/>
                              <w:position w:val="1"/>
                              <w:sz w:val="20"/>
                              <w:szCs w:val="20"/>
                            </w:rPr>
                            <w:t>2.</w:t>
                          </w:r>
                          <w:r>
                            <w:rPr>
                              <w:rFonts w:ascii="Times New Roman" w:hAnsi="Times New Roman" w:eastAsia="Times New Roman" w:cs="Times New Roman"/>
                              <w:color w:val="231F20"/>
                              <w:position w:val="1"/>
                              <w:sz w:val="20"/>
                              <w:szCs w:val="20"/>
                            </w:rPr>
                            <w:t>4%</w:t>
                          </w:r>
                        </w:p>
                      </w:tc>
                      <w:tc>
                        <w:tcPr>
                          <w:tcW w:w="729" w:type="dxa"/>
                          <w:vAlign w:val="top"/>
                        </w:tcPr>
                        <w:p>
                          <w:pPr>
                            <w:spacing w:before="280" w:line="187" w:lineRule="auto"/>
                            <w:ind w:left="193"/>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30</w:t>
                          </w:r>
                          <w:r>
                            <w:rPr>
                              <w:rFonts w:ascii="Times New Roman" w:hAnsi="Times New Roman" w:eastAsia="Times New Roman" w:cs="Times New Roman"/>
                              <w:color w:val="231F20"/>
                              <w:sz w:val="20"/>
                              <w:szCs w:val="20"/>
                            </w:rPr>
                            <w:t>.9</w:t>
                          </w:r>
                        </w:p>
                      </w:tc>
                      <w:tc>
                        <w:tcPr>
                          <w:tcW w:w="730" w:type="dxa"/>
                          <w:vAlign w:val="top"/>
                        </w:tcPr>
                        <w:p>
                          <w:pPr>
                            <w:spacing w:before="207" w:line="270" w:lineRule="exact"/>
                            <w:ind w:left="156"/>
                            <w:rPr>
                              <w:rFonts w:ascii="Times New Roman" w:hAnsi="Times New Roman" w:eastAsia="Times New Roman" w:cs="Times New Roman"/>
                              <w:sz w:val="20"/>
                              <w:szCs w:val="20"/>
                            </w:rPr>
                          </w:pPr>
                          <w:r>
                            <w:rPr>
                              <w:rFonts w:ascii="Times New Roman" w:hAnsi="Times New Roman" w:eastAsia="Times New Roman" w:cs="Times New Roman"/>
                              <w:color w:val="231F20"/>
                              <w:spacing w:val="-1"/>
                              <w:position w:val="1"/>
                              <w:sz w:val="20"/>
                              <w:szCs w:val="20"/>
                            </w:rPr>
                            <w:t>2.</w:t>
                          </w:r>
                          <w:r>
                            <w:rPr>
                              <w:rFonts w:ascii="Times New Roman" w:hAnsi="Times New Roman" w:eastAsia="Times New Roman" w:cs="Times New Roman"/>
                              <w:color w:val="231F20"/>
                              <w:position w:val="1"/>
                              <w:sz w:val="20"/>
                              <w:szCs w:val="20"/>
                            </w:rPr>
                            <w:t>2%</w:t>
                          </w:r>
                        </w:p>
                      </w:tc>
                      <w:tc>
                        <w:tcPr>
                          <w:tcW w:w="729" w:type="dxa"/>
                          <w:vAlign w:val="top"/>
                        </w:tcPr>
                        <w:p>
                          <w:pPr>
                            <w:spacing w:before="280" w:line="186" w:lineRule="auto"/>
                            <w:ind w:left="187"/>
                            <w:rPr>
                              <w:rFonts w:ascii="Times New Roman" w:hAnsi="Times New Roman" w:eastAsia="Times New Roman" w:cs="Times New Roman"/>
                              <w:sz w:val="20"/>
                              <w:szCs w:val="20"/>
                            </w:rPr>
                          </w:pPr>
                          <w:r>
                            <w:rPr>
                              <w:rFonts w:ascii="Times New Roman" w:hAnsi="Times New Roman" w:eastAsia="Times New Roman" w:cs="Times New Roman"/>
                              <w:color w:val="231F20"/>
                              <w:spacing w:val="2"/>
                              <w:sz w:val="20"/>
                              <w:szCs w:val="20"/>
                            </w:rPr>
                            <w:t>49.</w:t>
                          </w:r>
                          <w:r>
                            <w:rPr>
                              <w:rFonts w:ascii="Times New Roman" w:hAnsi="Times New Roman" w:eastAsia="Times New Roman" w:cs="Times New Roman"/>
                              <w:color w:val="231F20"/>
                              <w:spacing w:val="1"/>
                              <w:sz w:val="20"/>
                              <w:szCs w:val="20"/>
                            </w:rPr>
                            <w:t>7</w:t>
                          </w:r>
                        </w:p>
                      </w:tc>
                      <w:tc>
                        <w:tcPr>
                          <w:tcW w:w="729" w:type="dxa"/>
                          <w:vAlign w:val="top"/>
                        </w:tcPr>
                        <w:p>
                          <w:pPr>
                            <w:spacing w:before="207" w:line="270" w:lineRule="exact"/>
                            <w:ind w:left="159"/>
                            <w:rPr>
                              <w:rFonts w:ascii="Times New Roman" w:hAnsi="Times New Roman" w:eastAsia="Times New Roman" w:cs="Times New Roman"/>
                              <w:sz w:val="20"/>
                              <w:szCs w:val="20"/>
                            </w:rPr>
                          </w:pPr>
                          <w:r>
                            <w:rPr>
                              <w:rFonts w:ascii="Times New Roman" w:hAnsi="Times New Roman" w:eastAsia="Times New Roman" w:cs="Times New Roman"/>
                              <w:color w:val="231F20"/>
                              <w:spacing w:val="-2"/>
                              <w:position w:val="1"/>
                              <w:sz w:val="20"/>
                              <w:szCs w:val="20"/>
                            </w:rPr>
                            <w:t>3.</w:t>
                          </w:r>
                          <w:r>
                            <w:rPr>
                              <w:rFonts w:ascii="Times New Roman" w:hAnsi="Times New Roman" w:eastAsia="Times New Roman" w:cs="Times New Roman"/>
                              <w:color w:val="231F20"/>
                              <w:spacing w:val="-1"/>
                              <w:position w:val="1"/>
                              <w:sz w:val="20"/>
                              <w:szCs w:val="20"/>
                            </w:rPr>
                            <w:t>3%</w:t>
                          </w:r>
                        </w:p>
                      </w:tc>
                      <w:tc>
                        <w:tcPr>
                          <w:tcW w:w="729" w:type="dxa"/>
                          <w:vAlign w:val="top"/>
                        </w:tcPr>
                        <w:p>
                          <w:pPr>
                            <w:spacing w:before="280" w:line="186" w:lineRule="auto"/>
                            <w:ind w:left="192"/>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74.</w:t>
                          </w:r>
                          <w:r>
                            <w:rPr>
                              <w:rFonts w:ascii="Times New Roman" w:hAnsi="Times New Roman" w:eastAsia="Times New Roman" w:cs="Times New Roman"/>
                              <w:color w:val="231F20"/>
                              <w:sz w:val="20"/>
                              <w:szCs w:val="20"/>
                            </w:rPr>
                            <w:t>7</w:t>
                          </w:r>
                        </w:p>
                      </w:tc>
                      <w:tc>
                        <w:tcPr>
                          <w:tcW w:w="729" w:type="dxa"/>
                          <w:tcBorders>
                            <w:right w:val="nil"/>
                          </w:tcBorders>
                          <w:vAlign w:val="top"/>
                        </w:tcPr>
                        <w:p>
                          <w:pPr>
                            <w:spacing w:before="207" w:line="270" w:lineRule="exact"/>
                            <w:ind w:left="154"/>
                            <w:rPr>
                              <w:rFonts w:ascii="Times New Roman" w:hAnsi="Times New Roman" w:eastAsia="Times New Roman" w:cs="Times New Roman"/>
                              <w:sz w:val="20"/>
                              <w:szCs w:val="20"/>
                            </w:rPr>
                          </w:pPr>
                          <w:r>
                            <w:rPr>
                              <w:rFonts w:ascii="Times New Roman" w:hAnsi="Times New Roman" w:eastAsia="Times New Roman" w:cs="Times New Roman"/>
                              <w:color w:val="231F20"/>
                              <w:spacing w:val="-11"/>
                              <w:position w:val="2"/>
                              <w:sz w:val="20"/>
                              <w:szCs w:val="20"/>
                            </w:rPr>
                            <w:t>4</w:t>
                          </w:r>
                          <w:r>
                            <w:rPr>
                              <w:rFonts w:ascii="Times New Roman" w:hAnsi="Times New Roman" w:eastAsia="Times New Roman" w:cs="Times New Roman"/>
                              <w:color w:val="231F20"/>
                              <w:spacing w:val="-10"/>
                              <w:position w:val="2"/>
                              <w:sz w:val="20"/>
                              <w:szCs w:val="20"/>
                            </w:rPr>
                            <w:t>. 1%</w:t>
                          </w:r>
                        </w:p>
                      </w:tc>
                    </w:tr>
                  </w:tbl>
                  <w:p>
                    <w:pPr>
                      <w:rPr>
                        <w:rFonts w:ascii="Arial"/>
                        <w:sz w:val="21"/>
                      </w:rPr>
                    </w:pPr>
                  </w:p>
                </w:txbxContent>
              </v:textbox>
            </v:shape>
            <w10:wrap type="none"/>
            <w10:anchorlock/>
          </v:group>
        </w:pict>
      </w:r>
    </w:p>
    <w:p>
      <w:pPr>
        <w:spacing w:before="57" w:line="233" w:lineRule="auto"/>
        <w:ind w:left="1997"/>
        <w:rPr>
          <w:rFonts w:ascii="KaiTi" w:hAnsi="KaiTi" w:eastAsia="KaiTi" w:cs="KaiTi"/>
          <w:sz w:val="17"/>
          <w:szCs w:val="17"/>
        </w:rPr>
      </w:pPr>
      <w:r>
        <w:rPr>
          <w:rFonts w:ascii="KaiTi" w:hAnsi="KaiTi" w:eastAsia="KaiTi" w:cs="KaiTi"/>
          <w:color w:val="231F20"/>
          <w:spacing w:val="7"/>
          <w:sz w:val="17"/>
          <w:szCs w:val="17"/>
        </w:rPr>
        <w:t>注</w:t>
      </w:r>
      <w:r>
        <w:rPr>
          <w:rFonts w:ascii="KaiTi" w:hAnsi="KaiTi" w:eastAsia="KaiTi" w:cs="KaiTi"/>
          <w:color w:val="231F20"/>
          <w:spacing w:val="6"/>
          <w:sz w:val="17"/>
          <w:szCs w:val="17"/>
        </w:rPr>
        <w:t>：有关部门项包含银行、证券、保险领域吸收外资额。</w:t>
      </w:r>
    </w:p>
    <w:p>
      <w:pPr>
        <w:spacing w:before="26" w:line="222" w:lineRule="auto"/>
        <w:ind w:left="1987"/>
        <w:rPr>
          <w:rFonts w:ascii="KaiTi" w:hAnsi="KaiTi" w:eastAsia="KaiTi" w:cs="KaiTi"/>
          <w:sz w:val="17"/>
          <w:szCs w:val="17"/>
        </w:rPr>
      </w:pPr>
      <w:r>
        <w:rPr>
          <w:rFonts w:ascii="KaiTi" w:hAnsi="KaiTi" w:eastAsia="KaiTi" w:cs="KaiTi"/>
          <w:color w:val="231F20"/>
          <w:spacing w:val="6"/>
          <w:sz w:val="17"/>
          <w:szCs w:val="17"/>
        </w:rPr>
        <w:t>数据来源：商务部外资统计。</w:t>
      </w:r>
    </w:p>
    <w:p>
      <w:pPr>
        <w:sectPr>
          <w:pgSz w:w="12246" w:h="16498"/>
          <w:pgMar w:top="400" w:right="0" w:bottom="400" w:left="0" w:header="0" w:footer="0" w:gutter="0"/>
          <w:cols w:space="720" w:num="1"/>
        </w:sectPr>
      </w:pPr>
    </w:p>
    <w:p>
      <w:pPr>
        <w:spacing w:line="357" w:lineRule="auto"/>
        <w:rPr>
          <w:rFonts w:ascii="Arial"/>
          <w:sz w:val="21"/>
        </w:rPr>
      </w:pPr>
      <w:r>
        <w:pict>
          <v:shape id="_x0000_s1151" o:spid="_x0000_s1151" o:spt="202" type="#_x0000_t202" style="position:absolute;left:0pt;margin-left:409.3pt;margin-top:546.1pt;height:12.9pt;width:29.7pt;mso-position-horizontal-relative:page;mso-position-vertical-relative:page;z-index:251794432;mso-width-relative:page;mso-height-relative:page;" filled="f" stroked="f" coordsize="21600,21600" o:allowincell="f">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1</w:t>
                  </w:r>
                  <w:r>
                    <w:rPr>
                      <w:rFonts w:ascii="微软雅黑" w:hAnsi="微软雅黑" w:eastAsia="微软雅黑" w:cs="微软雅黑"/>
                      <w:color w:val="030303"/>
                      <w:spacing w:val="2"/>
                      <w:sz w:val="17"/>
                      <w:szCs w:val="17"/>
                    </w:rPr>
                    <w:t>809.6</w:t>
                  </w:r>
                </w:p>
              </w:txbxContent>
            </v:textbox>
          </v:shape>
        </w:pict>
      </w:r>
      <w:r>
        <w:drawing>
          <wp:anchor distT="0" distB="0" distL="0" distR="0" simplePos="0" relativeHeight="25178726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40"/>
                    <a:stretch>
                      <a:fillRect/>
                    </a:stretch>
                  </pic:blipFill>
                  <pic:spPr>
                    <a:xfrm>
                      <a:off x="0" y="0"/>
                      <a:ext cx="7775994" cy="422998"/>
                    </a:xfrm>
                    <a:prstGeom prst="rect">
                      <a:avLst/>
                    </a:prstGeom>
                  </pic:spPr>
                </pic:pic>
              </a:graphicData>
            </a:graphic>
          </wp:anchor>
        </w:drawing>
      </w:r>
      <w:r>
        <w:drawing>
          <wp:anchor distT="0" distB="0" distL="0" distR="0" simplePos="0" relativeHeight="251791360" behindDoc="0" locked="0" layoutInCell="0" allowOverlap="1">
            <wp:simplePos x="0" y="0"/>
            <wp:positionH relativeFrom="page">
              <wp:posOffset>1680845</wp:posOffset>
            </wp:positionH>
            <wp:positionV relativeFrom="page">
              <wp:posOffset>5895975</wp:posOffset>
            </wp:positionV>
            <wp:extent cx="501650" cy="203835"/>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66"/>
                    <a:stretch>
                      <a:fillRect/>
                    </a:stretch>
                  </pic:blipFill>
                  <pic:spPr>
                    <a:xfrm>
                      <a:off x="0" y="0"/>
                      <a:ext cx="501524" cy="204148"/>
                    </a:xfrm>
                    <a:prstGeom prst="rect">
                      <a:avLst/>
                    </a:prstGeom>
                  </pic:spPr>
                </pic:pic>
              </a:graphicData>
            </a:graphic>
          </wp:anchor>
        </w:drawing>
      </w:r>
    </w:p>
    <w:p>
      <w:pPr>
        <w:spacing w:line="358" w:lineRule="auto"/>
        <w:rPr>
          <w:rFonts w:ascii="Arial"/>
          <w:sz w:val="21"/>
        </w:rPr>
      </w:pPr>
    </w:p>
    <w:p>
      <w:pPr>
        <w:spacing w:before="68" w:line="239" w:lineRule="auto"/>
        <w:ind w:left="1609"/>
        <w:rPr>
          <w:rFonts w:ascii="SimHei" w:hAnsi="SimHei" w:eastAsia="SimHei" w:cs="SimHei"/>
          <w:sz w:val="21"/>
          <w:szCs w:val="21"/>
        </w:rPr>
      </w:pPr>
      <w:r>
        <w:rPr>
          <w:rFonts w:ascii="Arial" w:hAnsi="Arial" w:eastAsia="Arial" w:cs="Arial"/>
          <w:color w:val="231F20"/>
          <w:spacing w:val="27"/>
          <w:sz w:val="20"/>
          <w:szCs w:val="20"/>
        </w:rPr>
        <w:t>1</w:t>
      </w:r>
      <w:r>
        <w:rPr>
          <w:rFonts w:ascii="Arial" w:hAnsi="Arial" w:eastAsia="Arial" w:cs="Arial"/>
          <w:color w:val="231F20"/>
          <w:spacing w:val="21"/>
          <w:sz w:val="20"/>
          <w:szCs w:val="20"/>
        </w:rPr>
        <w:t xml:space="preserve">2  </w:t>
      </w:r>
      <w:r>
        <w:rPr>
          <w:position w:val="-5"/>
          <w:sz w:val="20"/>
          <w:szCs w:val="20"/>
        </w:rPr>
        <w:drawing>
          <wp:inline distT="0" distB="0" distL="0" distR="0">
            <wp:extent cx="3175" cy="147320"/>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综合篇</w:t>
      </w: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8" w:line="221" w:lineRule="auto"/>
        <w:ind w:left="2462"/>
        <w:rPr>
          <w:rFonts w:ascii="SimHei" w:hAnsi="SimHei" w:eastAsia="SimHei" w:cs="SimHei"/>
          <w:sz w:val="24"/>
          <w:szCs w:val="24"/>
        </w:rPr>
      </w:pPr>
      <w:r>
        <w:rPr>
          <w:rFonts w:ascii="SimHei" w:hAnsi="SimHei" w:eastAsia="SimHei" w:cs="SimHei"/>
          <w:color w:val="015DAC"/>
          <w:spacing w:val="12"/>
          <w:sz w:val="24"/>
          <w:szCs w:val="24"/>
        </w:rPr>
        <w:t>(</w:t>
      </w:r>
      <w:r>
        <w:rPr>
          <w:rFonts w:ascii="SimHei" w:hAnsi="SimHei" w:eastAsia="SimHei" w:cs="SimHei"/>
          <w:color w:val="015DAC"/>
          <w:spacing w:val="7"/>
          <w:sz w:val="24"/>
          <w:szCs w:val="24"/>
        </w:rPr>
        <w:t>二) 外商投资发展特点及动向</w:t>
      </w:r>
    </w:p>
    <w:p>
      <w:pPr>
        <w:spacing w:before="331" w:line="273" w:lineRule="auto"/>
        <w:ind w:left="1987" w:right="1986" w:firstLine="455"/>
        <w:rPr>
          <w:rFonts w:ascii="微软雅黑" w:hAnsi="微软雅黑" w:eastAsia="微软雅黑" w:cs="微软雅黑"/>
          <w:sz w:val="22"/>
          <w:szCs w:val="22"/>
        </w:rPr>
      </w:pPr>
      <w:r>
        <w:rPr>
          <w:rFonts w:ascii="Times New Roman" w:hAnsi="Times New Roman" w:eastAsia="Times New Roman" w:cs="Times New Roman"/>
          <w:color w:val="231F20"/>
          <w:spacing w:val="-6"/>
          <w:sz w:val="22"/>
          <w:szCs w:val="22"/>
        </w:rPr>
        <w:t>202</w:t>
      </w:r>
      <w:r>
        <w:rPr>
          <w:rFonts w:ascii="Times New Roman" w:hAnsi="Times New Roman" w:eastAsia="Times New Roman" w:cs="Times New Roman"/>
          <w:color w:val="231F20"/>
          <w:spacing w:val="-5"/>
          <w:sz w:val="22"/>
          <w:szCs w:val="22"/>
        </w:rPr>
        <w:t>1</w:t>
      </w:r>
      <w:r>
        <w:rPr>
          <w:rFonts w:ascii="Times New Roman" w:hAnsi="Times New Roman" w:eastAsia="Times New Roman" w:cs="Times New Roman"/>
          <w:color w:val="231F20"/>
          <w:spacing w:val="-3"/>
          <w:sz w:val="22"/>
          <w:szCs w:val="22"/>
        </w:rPr>
        <w:t xml:space="preserve"> </w:t>
      </w:r>
      <w:r>
        <w:rPr>
          <w:rFonts w:ascii="微软雅黑" w:hAnsi="微软雅黑" w:eastAsia="微软雅黑" w:cs="微软雅黑"/>
          <w:color w:val="231F20"/>
          <w:spacing w:val="-3"/>
          <w:sz w:val="22"/>
          <w:szCs w:val="22"/>
        </w:rPr>
        <w:t>年，  中国利用外资呈现结构持续优化 ，重大开放平台引资作用凸显等一些新</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特</w:t>
      </w:r>
      <w:r>
        <w:rPr>
          <w:rFonts w:ascii="微软雅黑" w:hAnsi="微软雅黑" w:eastAsia="微软雅黑" w:cs="微软雅黑"/>
          <w:color w:val="231F20"/>
          <w:spacing w:val="-1"/>
          <w:sz w:val="22"/>
          <w:szCs w:val="22"/>
        </w:rPr>
        <w:t>点。</w:t>
      </w:r>
    </w:p>
    <w:p>
      <w:pPr>
        <w:spacing w:before="177" w:line="214" w:lineRule="auto"/>
        <w:ind w:left="2461"/>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1. </w:t>
      </w:r>
      <w:r>
        <w:rPr>
          <w:rFonts w:ascii="KaiTi" w:hAnsi="KaiTi" w:eastAsia="KaiTi" w:cs="KaiTi"/>
          <w:color w:val="015DAC"/>
          <w:spacing w:val="-1"/>
          <w:sz w:val="22"/>
          <w:szCs w:val="22"/>
        </w:rPr>
        <w:t>高技术产业成为引</w:t>
      </w:r>
      <w:r>
        <w:rPr>
          <w:rFonts w:ascii="KaiTi" w:hAnsi="KaiTi" w:eastAsia="KaiTi" w:cs="KaiTi"/>
          <w:color w:val="015DAC"/>
          <w:sz w:val="22"/>
          <w:szCs w:val="22"/>
        </w:rPr>
        <w:t>资增长点</w:t>
      </w:r>
    </w:p>
    <w:p>
      <w:pPr>
        <w:spacing w:line="265" w:lineRule="auto"/>
        <w:rPr>
          <w:rFonts w:ascii="Arial"/>
          <w:sz w:val="21"/>
        </w:rPr>
      </w:pPr>
    </w:p>
    <w:p>
      <w:pPr>
        <w:spacing w:before="94" w:line="259" w:lineRule="auto"/>
        <w:ind w:left="1986" w:right="1983" w:firstLine="465"/>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近年来，   中国大力推进科技创新和发展高技术产业，   中国利用外资结构不断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优化，  高技术产业实际利用外资规模呈现快速增长态势 。</w:t>
      </w:r>
      <w:r>
        <w:rPr>
          <w:rFonts w:ascii="Times New Roman" w:hAnsi="Times New Roman" w:eastAsia="Times New Roman" w:cs="Times New Roman"/>
          <w:color w:val="231F20"/>
          <w:spacing w:val="8"/>
          <w:sz w:val="22"/>
          <w:szCs w:val="22"/>
        </w:rPr>
        <w:t xml:space="preserve">2021 </w:t>
      </w:r>
      <w:r>
        <w:rPr>
          <w:rFonts w:ascii="微软雅黑" w:hAnsi="微软雅黑" w:eastAsia="微软雅黑" w:cs="微软雅黑"/>
          <w:color w:val="231F20"/>
          <w:spacing w:val="8"/>
          <w:sz w:val="22"/>
          <w:szCs w:val="22"/>
        </w:rPr>
        <w:t>年中国高技术产</w:t>
      </w:r>
      <w:r>
        <w:rPr>
          <w:rFonts w:ascii="微软雅黑" w:hAnsi="微软雅黑" w:eastAsia="微软雅黑" w:cs="微软雅黑"/>
          <w:color w:val="231F20"/>
          <w:spacing w:val="4"/>
          <w:sz w:val="22"/>
          <w:szCs w:val="22"/>
        </w:rPr>
        <w:t>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引资增长 </w:t>
      </w:r>
      <w:r>
        <w:rPr>
          <w:rFonts w:ascii="Times New Roman" w:hAnsi="Times New Roman" w:eastAsia="Times New Roman" w:cs="Times New Roman"/>
          <w:color w:val="231F20"/>
          <w:spacing w:val="-4"/>
          <w:sz w:val="22"/>
          <w:szCs w:val="22"/>
        </w:rPr>
        <w:t>22 . 1%</w:t>
      </w:r>
      <w:r>
        <w:rPr>
          <w:rFonts w:ascii="微软雅黑" w:hAnsi="微软雅黑" w:eastAsia="微软雅黑" w:cs="微软雅黑"/>
          <w:color w:val="231F20"/>
          <w:spacing w:val="-4"/>
          <w:sz w:val="22"/>
          <w:szCs w:val="22"/>
        </w:rPr>
        <w:t xml:space="preserve">，   占比提升至 </w:t>
      </w:r>
      <w:r>
        <w:rPr>
          <w:rFonts w:ascii="Times New Roman" w:hAnsi="Times New Roman" w:eastAsia="Times New Roman" w:cs="Times New Roman"/>
          <w:color w:val="231F20"/>
          <w:spacing w:val="-4"/>
          <w:sz w:val="22"/>
          <w:szCs w:val="22"/>
        </w:rPr>
        <w:t xml:space="preserve">28 . 8% </w:t>
      </w:r>
      <w:r>
        <w:rPr>
          <w:rFonts w:ascii="微软雅黑" w:hAnsi="微软雅黑" w:eastAsia="微软雅黑" w:cs="微软雅黑"/>
          <w:color w:val="231F20"/>
          <w:spacing w:val="-4"/>
          <w:sz w:val="22"/>
          <w:szCs w:val="22"/>
        </w:rPr>
        <w:t>。其中 ，</w:t>
      </w:r>
      <w:r>
        <w:rPr>
          <w:rFonts w:ascii="Times New Roman" w:hAnsi="Times New Roman" w:eastAsia="Times New Roman" w:cs="Times New Roman"/>
          <w:color w:val="231F20"/>
          <w:spacing w:val="-4"/>
          <w:sz w:val="22"/>
          <w:szCs w:val="22"/>
        </w:rPr>
        <w:t xml:space="preserve">2017-2021 </w:t>
      </w:r>
      <w:r>
        <w:rPr>
          <w:rFonts w:ascii="微软雅黑" w:hAnsi="微软雅黑" w:eastAsia="微软雅黑" w:cs="微软雅黑"/>
          <w:color w:val="231F20"/>
          <w:spacing w:val="-4"/>
          <w:sz w:val="22"/>
          <w:szCs w:val="22"/>
        </w:rPr>
        <w:t>年，   中国高技术制造业</w:t>
      </w:r>
      <w:r>
        <w:rPr>
          <w:rFonts w:ascii="微软雅黑" w:hAnsi="微软雅黑" w:eastAsia="微软雅黑" w:cs="微软雅黑"/>
          <w:color w:val="231F20"/>
          <w:spacing w:val="-1"/>
          <w:sz w:val="22"/>
          <w:szCs w:val="22"/>
        </w:rPr>
        <w:t>实</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际</w:t>
      </w:r>
      <w:r>
        <w:rPr>
          <w:rFonts w:ascii="微软雅黑" w:hAnsi="微软雅黑" w:eastAsia="微软雅黑" w:cs="微软雅黑"/>
          <w:color w:val="231F20"/>
          <w:spacing w:val="9"/>
          <w:sz w:val="22"/>
          <w:szCs w:val="22"/>
        </w:rPr>
        <w:t>使</w:t>
      </w:r>
      <w:r>
        <w:rPr>
          <w:rFonts w:ascii="微软雅黑" w:hAnsi="微软雅黑" w:eastAsia="微软雅黑" w:cs="微软雅黑"/>
          <w:color w:val="231F20"/>
          <w:spacing w:val="5"/>
          <w:sz w:val="22"/>
          <w:szCs w:val="22"/>
        </w:rPr>
        <w:t xml:space="preserve">用外资金额从 </w:t>
      </w:r>
      <w:r>
        <w:rPr>
          <w:rFonts w:ascii="Times New Roman" w:hAnsi="Times New Roman" w:eastAsia="Times New Roman" w:cs="Times New Roman"/>
          <w:color w:val="231F20"/>
          <w:spacing w:val="5"/>
          <w:sz w:val="22"/>
          <w:szCs w:val="22"/>
        </w:rPr>
        <w:t xml:space="preserve">98 .9 </w:t>
      </w:r>
      <w:r>
        <w:rPr>
          <w:rFonts w:ascii="微软雅黑" w:hAnsi="微软雅黑" w:eastAsia="微软雅黑" w:cs="微软雅黑"/>
          <w:color w:val="231F20"/>
          <w:spacing w:val="5"/>
          <w:sz w:val="22"/>
          <w:szCs w:val="22"/>
        </w:rPr>
        <w:t xml:space="preserve">亿美元增长至 </w:t>
      </w:r>
      <w:r>
        <w:rPr>
          <w:rFonts w:ascii="Times New Roman" w:hAnsi="Times New Roman" w:eastAsia="Times New Roman" w:cs="Times New Roman"/>
          <w:color w:val="231F20"/>
          <w:spacing w:val="5"/>
          <w:sz w:val="22"/>
          <w:szCs w:val="22"/>
        </w:rPr>
        <w:t xml:space="preserve">120 .6 </w:t>
      </w:r>
      <w:r>
        <w:rPr>
          <w:rFonts w:ascii="微软雅黑" w:hAnsi="微软雅黑" w:eastAsia="微软雅黑" w:cs="微软雅黑"/>
          <w:color w:val="231F20"/>
          <w:spacing w:val="5"/>
          <w:sz w:val="22"/>
          <w:szCs w:val="22"/>
        </w:rPr>
        <w:t>亿美元，   占制造业实际使用外资金额</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的比重从 </w:t>
      </w:r>
      <w:r>
        <w:rPr>
          <w:rFonts w:ascii="Times New Roman" w:hAnsi="Times New Roman" w:eastAsia="Times New Roman" w:cs="Times New Roman"/>
          <w:color w:val="231F20"/>
          <w:spacing w:val="2"/>
          <w:sz w:val="22"/>
          <w:szCs w:val="22"/>
        </w:rPr>
        <w:t>2</w:t>
      </w:r>
      <w:r>
        <w:rPr>
          <w:rFonts w:ascii="Times New Roman" w:hAnsi="Times New Roman" w:eastAsia="Times New Roman" w:cs="Times New Roman"/>
          <w:color w:val="231F20"/>
          <w:spacing w:val="1"/>
          <w:sz w:val="22"/>
          <w:szCs w:val="22"/>
        </w:rPr>
        <w:t xml:space="preserve">9 .5% </w:t>
      </w:r>
      <w:r>
        <w:rPr>
          <w:rFonts w:ascii="微软雅黑" w:hAnsi="微软雅黑" w:eastAsia="微软雅黑" w:cs="微软雅黑"/>
          <w:color w:val="231F20"/>
          <w:spacing w:val="1"/>
          <w:sz w:val="22"/>
          <w:szCs w:val="22"/>
        </w:rPr>
        <w:t xml:space="preserve">提升到 </w:t>
      </w:r>
      <w:r>
        <w:rPr>
          <w:rFonts w:ascii="Times New Roman" w:hAnsi="Times New Roman" w:eastAsia="Times New Roman" w:cs="Times New Roman"/>
          <w:color w:val="231F20"/>
          <w:spacing w:val="1"/>
          <w:sz w:val="22"/>
          <w:szCs w:val="22"/>
        </w:rPr>
        <w:t xml:space="preserve">35 . 8% </w:t>
      </w:r>
      <w:r>
        <w:rPr>
          <w:rFonts w:ascii="微软雅黑" w:hAnsi="微软雅黑" w:eastAsia="微软雅黑" w:cs="微软雅黑"/>
          <w:color w:val="231F20"/>
          <w:spacing w:val="1"/>
          <w:sz w:val="22"/>
          <w:szCs w:val="22"/>
        </w:rPr>
        <w:t xml:space="preserve">，提高了 </w:t>
      </w:r>
      <w:r>
        <w:rPr>
          <w:rFonts w:ascii="Times New Roman" w:hAnsi="Times New Roman" w:eastAsia="Times New Roman" w:cs="Times New Roman"/>
          <w:color w:val="231F20"/>
          <w:spacing w:val="1"/>
          <w:sz w:val="22"/>
          <w:szCs w:val="22"/>
        </w:rPr>
        <w:t xml:space="preserve">6 .3 </w:t>
      </w:r>
      <w:r>
        <w:rPr>
          <w:rFonts w:ascii="微软雅黑" w:hAnsi="微软雅黑" w:eastAsia="微软雅黑" w:cs="微软雅黑"/>
          <w:color w:val="231F20"/>
          <w:spacing w:val="1"/>
          <w:sz w:val="22"/>
          <w:szCs w:val="22"/>
        </w:rPr>
        <w:t>个百分点 。高技术服务业实际使用外资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金额从 </w:t>
      </w:r>
      <w:r>
        <w:rPr>
          <w:rFonts w:ascii="Times New Roman" w:hAnsi="Times New Roman" w:eastAsia="Times New Roman" w:cs="Times New Roman"/>
          <w:color w:val="231F20"/>
          <w:spacing w:val="2"/>
          <w:sz w:val="22"/>
          <w:szCs w:val="22"/>
        </w:rPr>
        <w:t xml:space="preserve">260 . 8 </w:t>
      </w:r>
      <w:r>
        <w:rPr>
          <w:rFonts w:ascii="微软雅黑" w:hAnsi="微软雅黑" w:eastAsia="微软雅黑" w:cs="微软雅黑"/>
          <w:color w:val="231F20"/>
          <w:spacing w:val="2"/>
          <w:sz w:val="22"/>
          <w:szCs w:val="22"/>
        </w:rPr>
        <w:t xml:space="preserve">亿美元波动增长至 </w:t>
      </w:r>
      <w:r>
        <w:rPr>
          <w:rFonts w:ascii="Times New Roman" w:hAnsi="Times New Roman" w:eastAsia="Times New Roman" w:cs="Times New Roman"/>
          <w:color w:val="231F20"/>
          <w:spacing w:val="2"/>
          <w:sz w:val="22"/>
          <w:szCs w:val="22"/>
        </w:rPr>
        <w:t xml:space="preserve">401 .5 </w:t>
      </w:r>
      <w:r>
        <w:rPr>
          <w:rFonts w:ascii="微软雅黑" w:hAnsi="微软雅黑" w:eastAsia="微软雅黑" w:cs="微软雅黑"/>
          <w:color w:val="231F20"/>
          <w:spacing w:val="2"/>
          <w:sz w:val="22"/>
          <w:szCs w:val="22"/>
        </w:rPr>
        <w:t>亿美元，</w:t>
      </w:r>
      <w:r>
        <w:rPr>
          <w:rFonts w:ascii="微软雅黑" w:hAnsi="微软雅黑" w:eastAsia="微软雅黑" w:cs="微软雅黑"/>
          <w:color w:val="231F20"/>
          <w:spacing w:val="1"/>
          <w:sz w:val="22"/>
          <w:szCs w:val="22"/>
        </w:rPr>
        <w:t xml:space="preserve">   占服务业实际使用外资金额的比重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从 </w:t>
      </w:r>
      <w:r>
        <w:rPr>
          <w:rFonts w:ascii="Times New Roman" w:hAnsi="Times New Roman" w:eastAsia="Times New Roman" w:cs="Times New Roman"/>
          <w:color w:val="231F20"/>
          <w:spacing w:val="2"/>
          <w:sz w:val="22"/>
          <w:szCs w:val="22"/>
        </w:rPr>
        <w:t xml:space="preserve">25 .9% </w:t>
      </w:r>
      <w:r>
        <w:rPr>
          <w:rFonts w:ascii="微软雅黑" w:hAnsi="微软雅黑" w:eastAsia="微软雅黑" w:cs="微软雅黑"/>
          <w:color w:val="231F20"/>
          <w:spacing w:val="2"/>
          <w:sz w:val="22"/>
          <w:szCs w:val="22"/>
        </w:rPr>
        <w:t>提</w:t>
      </w:r>
      <w:r>
        <w:rPr>
          <w:rFonts w:ascii="微软雅黑" w:hAnsi="微软雅黑" w:eastAsia="微软雅黑" w:cs="微软雅黑"/>
          <w:color w:val="231F20"/>
          <w:spacing w:val="1"/>
          <w:sz w:val="22"/>
          <w:szCs w:val="22"/>
        </w:rPr>
        <w:t xml:space="preserve">升到 </w:t>
      </w:r>
      <w:r>
        <w:rPr>
          <w:rFonts w:ascii="Times New Roman" w:hAnsi="Times New Roman" w:eastAsia="Times New Roman" w:cs="Times New Roman"/>
          <w:color w:val="231F20"/>
          <w:spacing w:val="1"/>
          <w:sz w:val="22"/>
          <w:szCs w:val="22"/>
        </w:rPr>
        <w:t xml:space="preserve">27 .9% </w:t>
      </w:r>
      <w:r>
        <w:rPr>
          <w:rFonts w:ascii="微软雅黑" w:hAnsi="微软雅黑" w:eastAsia="微软雅黑" w:cs="微软雅黑"/>
          <w:color w:val="231F20"/>
          <w:spacing w:val="1"/>
          <w:sz w:val="22"/>
          <w:szCs w:val="22"/>
        </w:rPr>
        <w:t xml:space="preserve">，提高了 </w:t>
      </w:r>
      <w:r>
        <w:rPr>
          <w:rFonts w:ascii="Times New Roman" w:hAnsi="Times New Roman" w:eastAsia="Times New Roman" w:cs="Times New Roman"/>
          <w:color w:val="231F20"/>
          <w:spacing w:val="1"/>
          <w:sz w:val="22"/>
          <w:szCs w:val="22"/>
        </w:rPr>
        <w:t xml:space="preserve">2 </w:t>
      </w:r>
      <w:r>
        <w:rPr>
          <w:rFonts w:ascii="微软雅黑" w:hAnsi="微软雅黑" w:eastAsia="微软雅黑" w:cs="微软雅黑"/>
          <w:color w:val="231F20"/>
          <w:spacing w:val="1"/>
          <w:sz w:val="22"/>
          <w:szCs w:val="22"/>
        </w:rPr>
        <w:t>个百分点。</w:t>
      </w:r>
    </w:p>
    <w:p>
      <w:pPr>
        <w:spacing w:before="179" w:line="261" w:lineRule="auto"/>
        <w:ind w:left="2002" w:right="1982" w:firstLine="438"/>
        <w:rPr>
          <w:rFonts w:ascii="微软雅黑" w:hAnsi="微软雅黑" w:eastAsia="微软雅黑" w:cs="微软雅黑"/>
          <w:sz w:val="22"/>
          <w:szCs w:val="22"/>
        </w:rPr>
      </w:pPr>
      <w:r>
        <w:rPr>
          <w:rFonts w:ascii="Times New Roman" w:hAnsi="Times New Roman" w:eastAsia="Times New Roman" w:cs="Times New Roman"/>
          <w:color w:val="231F20"/>
          <w:spacing w:val="-8"/>
          <w:sz w:val="22"/>
          <w:szCs w:val="22"/>
        </w:rPr>
        <w:t xml:space="preserve">2021 </w:t>
      </w:r>
      <w:r>
        <w:rPr>
          <w:rFonts w:ascii="微软雅黑" w:hAnsi="微软雅黑" w:eastAsia="微软雅黑" w:cs="微软雅黑"/>
          <w:color w:val="231F20"/>
          <w:spacing w:val="-8"/>
          <w:sz w:val="22"/>
          <w:szCs w:val="22"/>
        </w:rPr>
        <w:t>年</w:t>
      </w:r>
      <w:r>
        <w:rPr>
          <w:rFonts w:ascii="微软雅黑" w:hAnsi="微软雅黑" w:eastAsia="微软雅黑" w:cs="微软雅黑"/>
          <w:color w:val="231F20"/>
          <w:spacing w:val="-6"/>
          <w:sz w:val="22"/>
          <w:szCs w:val="22"/>
        </w:rPr>
        <w:t xml:space="preserve"> </w:t>
      </w:r>
      <w:r>
        <w:rPr>
          <w:rFonts w:ascii="微软雅黑" w:hAnsi="微软雅黑" w:eastAsia="微软雅黑" w:cs="微软雅黑"/>
          <w:color w:val="231F20"/>
          <w:spacing w:val="-4"/>
          <w:sz w:val="22"/>
          <w:szCs w:val="22"/>
        </w:rPr>
        <w:t>，高技术制造业中，  电子及通信设备制造业 ，计算机及办公设备制造业引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7"/>
          <w:sz w:val="22"/>
          <w:szCs w:val="22"/>
        </w:rPr>
        <w:t>资</w:t>
      </w:r>
      <w:r>
        <w:rPr>
          <w:rFonts w:ascii="微软雅黑" w:hAnsi="微软雅黑" w:eastAsia="微软雅黑" w:cs="微软雅黑"/>
          <w:color w:val="231F20"/>
          <w:spacing w:val="-4"/>
          <w:sz w:val="22"/>
          <w:szCs w:val="22"/>
        </w:rPr>
        <w:t xml:space="preserve">分别增长 </w:t>
      </w:r>
      <w:r>
        <w:rPr>
          <w:rFonts w:ascii="Times New Roman" w:hAnsi="Times New Roman" w:eastAsia="Times New Roman" w:cs="Times New Roman"/>
          <w:color w:val="231F20"/>
          <w:spacing w:val="-4"/>
          <w:sz w:val="22"/>
          <w:szCs w:val="22"/>
        </w:rPr>
        <w:t xml:space="preserve">26. 1% </w:t>
      </w:r>
      <w:r>
        <w:rPr>
          <w:rFonts w:ascii="微软雅黑" w:hAnsi="微软雅黑" w:eastAsia="微软雅黑" w:cs="微软雅黑"/>
          <w:color w:val="231F20"/>
          <w:spacing w:val="-4"/>
          <w:sz w:val="22"/>
          <w:szCs w:val="22"/>
        </w:rPr>
        <w:t xml:space="preserve">和 </w:t>
      </w:r>
      <w:r>
        <w:rPr>
          <w:rFonts w:ascii="Times New Roman" w:hAnsi="Times New Roman" w:eastAsia="Times New Roman" w:cs="Times New Roman"/>
          <w:color w:val="231F20"/>
          <w:spacing w:val="-4"/>
          <w:sz w:val="22"/>
          <w:szCs w:val="22"/>
        </w:rPr>
        <w:t>20.4%</w:t>
      </w:r>
      <w:r>
        <w:rPr>
          <w:rFonts w:ascii="微软雅黑" w:hAnsi="微软雅黑" w:eastAsia="微软雅黑" w:cs="微软雅黑"/>
          <w:color w:val="231F20"/>
          <w:spacing w:val="-4"/>
          <w:sz w:val="22"/>
          <w:szCs w:val="22"/>
        </w:rPr>
        <w:t>；  高技术服务业中 ，科技成果转化服务 ，研发与设计服务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引资分别增</w:t>
      </w:r>
      <w:r>
        <w:rPr>
          <w:rFonts w:ascii="微软雅黑" w:hAnsi="微软雅黑" w:eastAsia="微软雅黑" w:cs="微软雅黑"/>
          <w:color w:val="231F20"/>
          <w:spacing w:val="-1"/>
          <w:sz w:val="22"/>
          <w:szCs w:val="22"/>
        </w:rPr>
        <w:t xml:space="preserve">长 </w:t>
      </w:r>
      <w:r>
        <w:rPr>
          <w:rFonts w:ascii="Times New Roman" w:hAnsi="Times New Roman" w:eastAsia="Times New Roman" w:cs="Times New Roman"/>
          <w:color w:val="231F20"/>
          <w:spacing w:val="-1"/>
          <w:sz w:val="22"/>
          <w:szCs w:val="22"/>
        </w:rPr>
        <w:t xml:space="preserve">30% </w:t>
      </w:r>
      <w:r>
        <w:rPr>
          <w:rFonts w:ascii="微软雅黑" w:hAnsi="微软雅黑" w:eastAsia="微软雅黑" w:cs="微软雅黑"/>
          <w:color w:val="231F20"/>
          <w:spacing w:val="-1"/>
          <w:sz w:val="22"/>
          <w:szCs w:val="22"/>
        </w:rPr>
        <w:t xml:space="preserve">和 </w:t>
      </w:r>
      <w:r>
        <w:rPr>
          <w:rFonts w:ascii="Times New Roman" w:hAnsi="Times New Roman" w:eastAsia="Times New Roman" w:cs="Times New Roman"/>
          <w:color w:val="231F20"/>
          <w:spacing w:val="-1"/>
          <w:sz w:val="22"/>
          <w:szCs w:val="22"/>
        </w:rPr>
        <w:t>28.6%</w:t>
      </w:r>
      <w:r>
        <w:rPr>
          <w:rFonts w:ascii="微软雅黑" w:hAnsi="微软雅黑" w:eastAsia="微软雅黑" w:cs="微软雅黑"/>
          <w:color w:val="231F20"/>
          <w:spacing w:val="-1"/>
          <w:sz w:val="22"/>
          <w:szCs w:val="22"/>
        </w:rPr>
        <w:t>。</w:t>
      </w:r>
    </w:p>
    <w:p>
      <w:pPr>
        <w:spacing w:line="419" w:lineRule="auto"/>
        <w:rPr>
          <w:rFonts w:ascii="Arial"/>
          <w:sz w:val="21"/>
        </w:rPr>
      </w:pPr>
    </w:p>
    <w:p>
      <w:pPr>
        <w:spacing w:before="49" w:line="240" w:lineRule="exact"/>
        <w:ind w:left="9353"/>
        <w:rPr>
          <w:rFonts w:ascii="Arial" w:hAnsi="Arial" w:eastAsia="Arial" w:cs="Arial"/>
          <w:sz w:val="17"/>
          <w:szCs w:val="17"/>
        </w:rPr>
      </w:pPr>
      <w:r>
        <w:pict>
          <v:shape id="_x0000_s1152" o:spid="_x0000_s1152" o:spt="202" type="#_x0000_t202" style="position:absolute;left:0pt;margin-left:133.5pt;margin-top:0.2pt;height:15.4pt;width:34.75pt;z-index:251790336;mso-width-relative:page;mso-height-relative:page;" filled="f" stroked="f" coordsize="21600,21600">
            <v:path/>
            <v:fill on="f" focussize="0,0"/>
            <v:stroke on="f"/>
            <v:imagedata o:title=""/>
            <o:lock v:ext="edit" aspectratio="f"/>
            <v:textbox inset="0mm,0mm,0mm,0mm">
              <w:txbxContent>
                <w:p>
                  <w:pPr>
                    <w:spacing w:before="20" w:line="224" w:lineRule="auto"/>
                    <w:ind w:left="20"/>
                    <w:rPr>
                      <w:rFonts w:ascii="宋体" w:hAnsi="宋体" w:eastAsia="宋体" w:cs="宋体"/>
                      <w:sz w:val="22"/>
                      <w:szCs w:val="22"/>
                    </w:rPr>
                  </w:pPr>
                  <w:r>
                    <w:rPr>
                      <w:rFonts w:ascii="宋体" w:hAnsi="宋体" w:eastAsia="宋体" w:cs="宋体"/>
                      <w:color w:val="030303"/>
                      <w:spacing w:val="-2"/>
                      <w:sz w:val="22"/>
                      <w:szCs w:val="22"/>
                    </w:rPr>
                    <w:t>亿</w:t>
                  </w:r>
                  <w:r>
                    <w:rPr>
                      <w:rFonts w:ascii="宋体" w:hAnsi="宋体" w:eastAsia="宋体" w:cs="宋体"/>
                      <w:color w:val="030303"/>
                      <w:spacing w:val="-1"/>
                      <w:sz w:val="22"/>
                      <w:szCs w:val="22"/>
                    </w:rPr>
                    <w:t>美元</w:t>
                  </w:r>
                </w:p>
              </w:txbxContent>
            </v:textbox>
          </v:shape>
        </w:pict>
      </w:r>
      <w:r>
        <w:pict>
          <v:shape id="_x0000_s1153" o:spid="_x0000_s1153" o:spt="202" type="#_x0000_t202" style="position:absolute;left:0pt;margin-left:133.05pt;margin-top:1.9pt;height:13.85pt;width:28.55pt;z-index:251792384;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宋体" w:hAnsi="宋体" w:eastAsia="宋体" w:cs="宋体"/>
                      <w:sz w:val="18"/>
                      <w:szCs w:val="18"/>
                    </w:rPr>
                  </w:pPr>
                  <w:r>
                    <w:rPr>
                      <w:rFonts w:ascii="宋体" w:hAnsi="宋体" w:eastAsia="宋体" w:cs="宋体"/>
                      <w:color w:val="030303"/>
                      <w:spacing w:val="-4"/>
                      <w:sz w:val="18"/>
                      <w:szCs w:val="18"/>
                    </w:rPr>
                    <w:t>亿</w:t>
                  </w:r>
                  <w:r>
                    <w:rPr>
                      <w:rFonts w:ascii="宋体" w:hAnsi="宋体" w:eastAsia="宋体" w:cs="宋体"/>
                      <w:color w:val="030303"/>
                      <w:spacing w:val="-2"/>
                      <w:sz w:val="18"/>
                      <w:szCs w:val="18"/>
                    </w:rPr>
                    <w:t>美</w:t>
                  </w:r>
                  <w:r>
                    <w:rPr>
                      <w:rFonts w:ascii="宋体" w:hAnsi="宋体" w:eastAsia="宋体" w:cs="宋体"/>
                      <w:color w:val="030303"/>
                      <w:spacing w:val="-2"/>
                      <w:sz w:val="18"/>
                      <w:szCs w:val="18"/>
                      <w:u w:val="single" w:color="auto"/>
                    </w:rPr>
                    <w:t>元</w:t>
                  </w:r>
                </w:p>
              </w:txbxContent>
            </v:textbox>
          </v:shape>
        </w:pict>
      </w:r>
      <w:r>
        <w:rPr>
          <w:rFonts w:ascii="Arial" w:hAnsi="Arial" w:eastAsia="Arial" w:cs="Arial"/>
          <w:color w:val="231F20"/>
          <w:position w:val="1"/>
          <w:sz w:val="17"/>
          <w:szCs w:val="17"/>
        </w:rPr>
        <w:t>%</w:t>
      </w:r>
    </w:p>
    <w:p>
      <w:pPr>
        <w:spacing w:line="103" w:lineRule="exact"/>
      </w:pPr>
    </w:p>
    <w:p>
      <w:pPr>
        <w:sectPr>
          <w:pgSz w:w="12246" w:h="16498"/>
          <w:pgMar w:top="400" w:right="0" w:bottom="400" w:left="0" w:header="0" w:footer="0" w:gutter="0"/>
          <w:cols w:equalWidth="0" w:num="1">
            <w:col w:w="12246"/>
          </w:cols>
        </w:sectPr>
      </w:pPr>
    </w:p>
    <w:p>
      <w:pPr>
        <w:spacing w:before="98" w:line="186" w:lineRule="auto"/>
        <w:jc w:val="right"/>
        <w:rPr>
          <w:rFonts w:ascii="Calibri" w:hAnsi="Calibri" w:eastAsia="Calibri" w:cs="Calibri"/>
          <w:sz w:val="17"/>
          <w:szCs w:val="17"/>
        </w:rPr>
      </w:pPr>
      <w:r>
        <w:rPr>
          <w:rFonts w:ascii="Calibri" w:hAnsi="Calibri" w:eastAsia="Calibri" w:cs="Calibri"/>
          <w:color w:val="030303"/>
          <w:spacing w:val="3"/>
          <w:sz w:val="17"/>
          <w:szCs w:val="17"/>
        </w:rPr>
        <w:t>2</w:t>
      </w:r>
      <w:r>
        <w:rPr>
          <w:rFonts w:ascii="Calibri" w:hAnsi="Calibri" w:eastAsia="Calibri" w:cs="Calibri"/>
          <w:color w:val="030303"/>
          <w:spacing w:val="2"/>
          <w:sz w:val="17"/>
          <w:szCs w:val="17"/>
        </w:rPr>
        <w:t>000</w:t>
      </w:r>
    </w:p>
    <w:p>
      <w:pPr>
        <w:spacing w:line="373" w:lineRule="auto"/>
        <w:rPr>
          <w:rFonts w:ascii="Arial"/>
          <w:sz w:val="21"/>
        </w:rPr>
      </w:pPr>
    </w:p>
    <w:p>
      <w:pPr>
        <w:spacing w:before="52" w:line="186" w:lineRule="auto"/>
        <w:jc w:val="right"/>
        <w:rPr>
          <w:rFonts w:ascii="Calibri" w:hAnsi="Calibri" w:eastAsia="Calibri" w:cs="Calibri"/>
          <w:sz w:val="17"/>
          <w:szCs w:val="17"/>
        </w:rPr>
      </w:pPr>
      <w:r>
        <w:rPr>
          <w:rFonts w:ascii="Calibri" w:hAnsi="Calibri" w:eastAsia="Calibri" w:cs="Calibri"/>
          <w:color w:val="030303"/>
          <w:spacing w:val="1"/>
          <w:sz w:val="17"/>
          <w:szCs w:val="17"/>
        </w:rPr>
        <w:t>150</w:t>
      </w:r>
      <w:r>
        <w:rPr>
          <w:rFonts w:ascii="Calibri" w:hAnsi="Calibri" w:eastAsia="Calibri" w:cs="Calibri"/>
          <w:color w:val="030303"/>
          <w:sz w:val="17"/>
          <w:szCs w:val="17"/>
        </w:rPr>
        <w:t>0</w:t>
      </w:r>
    </w:p>
    <w:p>
      <w:pPr>
        <w:spacing w:line="374" w:lineRule="auto"/>
        <w:rPr>
          <w:rFonts w:ascii="Arial"/>
          <w:sz w:val="21"/>
        </w:rPr>
      </w:pPr>
    </w:p>
    <w:p>
      <w:pPr>
        <w:spacing w:before="52" w:line="186" w:lineRule="auto"/>
        <w:jc w:val="right"/>
        <w:rPr>
          <w:rFonts w:ascii="Calibri" w:hAnsi="Calibri" w:eastAsia="Calibri" w:cs="Calibri"/>
          <w:sz w:val="17"/>
          <w:szCs w:val="17"/>
        </w:rPr>
      </w:pPr>
      <w:r>
        <w:rPr>
          <w:rFonts w:ascii="Calibri" w:hAnsi="Calibri" w:eastAsia="Calibri" w:cs="Calibri"/>
          <w:color w:val="030303"/>
          <w:spacing w:val="1"/>
          <w:sz w:val="17"/>
          <w:szCs w:val="17"/>
        </w:rPr>
        <w:t>100</w:t>
      </w:r>
      <w:r>
        <w:rPr>
          <w:rFonts w:ascii="Calibri" w:hAnsi="Calibri" w:eastAsia="Calibri" w:cs="Calibri"/>
          <w:color w:val="030303"/>
          <w:sz w:val="17"/>
          <w:szCs w:val="17"/>
        </w:rPr>
        <w:t>0</w:t>
      </w:r>
    </w:p>
    <w:p>
      <w:pPr>
        <w:spacing w:line="373" w:lineRule="auto"/>
        <w:rPr>
          <w:rFonts w:ascii="Arial"/>
          <w:sz w:val="21"/>
        </w:rPr>
      </w:pPr>
    </w:p>
    <w:p>
      <w:pPr>
        <w:spacing w:before="53" w:line="186" w:lineRule="auto"/>
        <w:jc w:val="right"/>
        <w:rPr>
          <w:rFonts w:ascii="Calibri" w:hAnsi="Calibri" w:eastAsia="Calibri" w:cs="Calibri"/>
          <w:sz w:val="17"/>
          <w:szCs w:val="17"/>
        </w:rPr>
      </w:pPr>
      <w:r>
        <w:rPr>
          <w:rFonts w:ascii="Calibri" w:hAnsi="Calibri" w:eastAsia="Calibri" w:cs="Calibri"/>
          <w:color w:val="030303"/>
          <w:spacing w:val="2"/>
          <w:sz w:val="17"/>
          <w:szCs w:val="17"/>
        </w:rPr>
        <w:t>50</w:t>
      </w:r>
      <w:r>
        <w:rPr>
          <w:rFonts w:ascii="Calibri" w:hAnsi="Calibri" w:eastAsia="Calibri" w:cs="Calibri"/>
          <w:color w:val="030303"/>
          <w:spacing w:val="1"/>
          <w:sz w:val="17"/>
          <w:szCs w:val="17"/>
        </w:rPr>
        <w:t>0</w:t>
      </w:r>
    </w:p>
    <w:p>
      <w:pPr>
        <w:spacing w:line="374" w:lineRule="auto"/>
        <w:rPr>
          <w:rFonts w:ascii="Arial"/>
          <w:sz w:val="21"/>
        </w:rPr>
      </w:pPr>
    </w:p>
    <w:p>
      <w:pPr>
        <w:spacing w:before="52" w:line="118" w:lineRule="exact"/>
        <w:jc w:val="right"/>
        <w:rPr>
          <w:rFonts w:ascii="Calibri" w:hAnsi="Calibri" w:eastAsia="Calibri" w:cs="Calibri"/>
          <w:sz w:val="17"/>
          <w:szCs w:val="17"/>
        </w:rPr>
      </w:pPr>
      <w:r>
        <w:rPr>
          <w:rFonts w:ascii="Calibri" w:hAnsi="Calibri" w:eastAsia="Calibri" w:cs="Calibri"/>
          <w:color w:val="030303"/>
          <w:spacing w:val="-2"/>
          <w:position w:val="-2"/>
          <w:sz w:val="17"/>
          <w:szCs w:val="17"/>
        </w:rPr>
        <w:t>0</w:t>
      </w:r>
    </w:p>
    <w:p>
      <w:pPr>
        <w:spacing w:line="14" w:lineRule="auto"/>
        <w:rPr>
          <w:rFonts w:ascii="Arial"/>
          <w:sz w:val="2"/>
        </w:rPr>
      </w:pPr>
      <w:r>
        <w:rPr>
          <w:rFonts w:ascii="Arial" w:hAnsi="Arial" w:eastAsia="Arial" w:cs="Arial"/>
          <w:sz w:val="2"/>
          <w:szCs w:val="2"/>
        </w:rPr>
        <w:br w:type="column"/>
      </w:r>
    </w:p>
    <w:p>
      <w:pPr>
        <w:spacing w:line="22" w:lineRule="exact"/>
      </w:pPr>
    </w:p>
    <w:tbl>
      <w:tblPr>
        <w:tblStyle w:val="4"/>
        <w:tblW w:w="6208" w:type="dxa"/>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119"/>
        <w:gridCol w:w="2060"/>
        <w:gridCol w:w="202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16" w:hRule="atLeast"/>
        </w:trPr>
        <w:tc>
          <w:tcPr>
            <w:tcW w:w="6208" w:type="dxa"/>
            <w:gridSpan w:val="3"/>
            <w:tcBorders>
              <w:top w:val="nil"/>
              <w:bottom w:val="dashed" w:color="231F20" w:sz="2" w:space="0"/>
            </w:tcBorders>
            <w:vAlign w:val="top"/>
          </w:tcPr>
          <w:p>
            <w:pPr>
              <w:spacing w:before="98" w:line="178" w:lineRule="auto"/>
              <w:ind w:left="4905"/>
              <w:rPr>
                <w:rFonts w:ascii="微软雅黑" w:hAnsi="微软雅黑" w:eastAsia="微软雅黑" w:cs="微软雅黑"/>
                <w:sz w:val="17"/>
                <w:szCs w:val="17"/>
              </w:rPr>
            </w:pPr>
            <w:r>
              <w:pict>
                <v:group id="_x0000_s1154" o:spid="_x0000_s1154" o:spt="203" style="position:absolute;left:0pt;margin-left:252.35pt;margin-top:12.6pt;height:5.8pt;width:5.8pt;mso-position-horizontal-relative:page;mso-position-vertical-relative:page;z-index:251793408;mso-width-relative:page;mso-height-relative:page;" coordsize="116,116">
                  <o:lock v:ext="edit"/>
                  <v:shape id="_x0000_s1155" o:spid="_x0000_s1155" style="position:absolute;left:7;top:7;height:101;width:101;" fillcolor="#86A9CB" filled="t" stroked="f" coordsize="101,101" path="m0,50c0,22,22,0,50,0c77,0,100,22,100,50c100,77,77,100,50,100c22,100,0,77,0,50e">
                    <v:path/>
                    <v:fill on="t" focussize="0,0"/>
                    <v:stroke on="f"/>
                    <v:imagedata o:title=""/>
                    <o:lock v:ext="edit"/>
                  </v:shape>
                  <v:shape id="_x0000_s1156" o:spid="_x0000_s1156" style="position:absolute;left:0;top:0;height:116;width:116;" filled="f" stroked="t" coordsize="116,116" path="m7,57c7,29,29,7,57,7c85,7,107,29,107,57c107,85,85,107,57,107c29,107,7,85,7,57e">
                    <v:fill on="f" focussize="0,0"/>
                    <v:stroke color="#86A9CB" miterlimit="10"/>
                    <v:imagedata o:title=""/>
                    <o:lock v:ext="edit"/>
                  </v:shape>
                </v:group>
              </w:pict>
            </w:r>
            <w:r>
              <w:rPr>
                <w:rFonts w:ascii="微软雅黑" w:hAnsi="微软雅黑" w:eastAsia="微软雅黑" w:cs="微软雅黑"/>
                <w:color w:val="030303"/>
                <w:spacing w:val="4"/>
                <w:sz w:val="17"/>
                <w:szCs w:val="17"/>
              </w:rPr>
              <w:t>28.8</w:t>
            </w:r>
            <w:r>
              <w:rPr>
                <w:rFonts w:ascii="微软雅黑" w:hAnsi="微软雅黑" w:eastAsia="微软雅黑" w:cs="微软雅黑"/>
                <w:color w:val="030303"/>
                <w:spacing w:val="3"/>
                <w:sz w:val="17"/>
                <w:szCs w:val="17"/>
              </w:rPr>
              <w:t>%</w:t>
            </w:r>
          </w:p>
          <w:p>
            <w:pPr>
              <w:spacing w:before="26" w:line="162" w:lineRule="exact"/>
              <w:ind w:left="2878"/>
              <w:rPr>
                <w:rFonts w:ascii="微软雅黑" w:hAnsi="微软雅黑" w:eastAsia="微软雅黑" w:cs="微软雅黑"/>
                <w:sz w:val="17"/>
                <w:szCs w:val="17"/>
              </w:rPr>
            </w:pPr>
            <w:r>
              <w:pict>
                <v:shape id="_x0000_s1157" o:spid="_x0000_s1157" style="position:absolute;left:0pt;margin-left:153.8pt;margin-top:-1pt;height:14.1pt;width:102.05pt;z-index:-251528192;mso-width-relative:page;mso-height-relative:page;" filled="f" stroked="t" coordsize="2041,282" path="m14,266l2025,14e">
                  <v:fill on="f" focussize="0,0"/>
                  <v:stroke weight="1.5pt" color="#86A9CB" miterlimit="10" endcap="round"/>
                  <v:imagedata o:title=""/>
                  <o:lock v:ext="edit"/>
                </v:shape>
              </w:pict>
            </w:r>
            <w:r>
              <w:rPr>
                <w:rFonts w:ascii="微软雅黑" w:hAnsi="微软雅黑" w:eastAsia="微软雅黑" w:cs="微软雅黑"/>
                <w:color w:val="030303"/>
                <w:spacing w:val="4"/>
                <w:position w:val="-2"/>
                <w:sz w:val="17"/>
                <w:szCs w:val="17"/>
              </w:rPr>
              <w:t>28.6</w:t>
            </w:r>
            <w:r>
              <w:rPr>
                <w:rFonts w:ascii="微软雅黑" w:hAnsi="微软雅黑" w:eastAsia="微软雅黑" w:cs="微软雅黑"/>
                <w:color w:val="030303"/>
                <w:spacing w:val="3"/>
                <w:position w:val="-2"/>
                <w:sz w:val="17"/>
                <w:szCs w:val="17"/>
              </w:rPr>
              <w:t>%</w:t>
            </w:r>
          </w:p>
          <w:p>
            <w:pPr>
              <w:spacing w:line="115" w:lineRule="exact"/>
              <w:ind w:left="3033"/>
            </w:pPr>
            <w:r>
              <w:pict>
                <v:shape id="_x0000_s1158" o:spid="_x0000_s1158" style="position:absolute;left:0pt;margin-left:52.9pt;margin-top:1.75pt;height:59.65pt;width:102.8pt;z-index:-251527168;mso-width-relative:page;mso-height-relative:page;" filled="f" stroked="t" coordsize="2056,1193" path="m22,1169l2032,22e">
                  <v:fill on="f" focussize="0,0"/>
                  <v:stroke weight="2.25pt" color="#86A9CB" miterlimit="10" endcap="round"/>
                  <v:imagedata o:title=""/>
                  <o:lock v:ext="edit"/>
                </v:shape>
              </w:pict>
            </w:r>
            <w:r>
              <w:rPr>
                <w:position w:val="-2"/>
              </w:rPr>
              <w:drawing>
                <wp:inline distT="0" distB="0" distL="0" distR="0">
                  <wp:extent cx="73025" cy="73025"/>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67"/>
                          <a:stretch>
                            <a:fillRect/>
                          </a:stretch>
                        </pic:blipFill>
                        <pic:spPr>
                          <a:xfrm>
                            <a:off x="0" y="0"/>
                            <a:ext cx="73257" cy="73280"/>
                          </a:xfrm>
                          <a:prstGeom prst="rect">
                            <a:avLst/>
                          </a:prstGeom>
                        </pic:spPr>
                      </pic:pic>
                    </a:graphicData>
                  </a:graphic>
                </wp:inline>
              </w:drawing>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89" w:hRule="atLeast"/>
        </w:trPr>
        <w:tc>
          <w:tcPr>
            <w:tcW w:w="6208" w:type="dxa"/>
            <w:gridSpan w:val="3"/>
            <w:tcBorders>
              <w:top w:val="dashed" w:color="CEE6ED" w:sz="2" w:space="0"/>
              <w:bottom w:val="dashed" w:color="CEE6ED" w:sz="2" w:space="0"/>
            </w:tcBorders>
            <w:vAlign w:val="top"/>
          </w:tcPr>
          <w:p>
            <w:pPr>
              <w:rPr>
                <w:rFonts w:ascii="Arial"/>
                <w:sz w:val="21"/>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78" w:hRule="atLeast"/>
        </w:trPr>
        <w:tc>
          <w:tcPr>
            <w:tcW w:w="2119" w:type="dxa"/>
            <w:tcBorders>
              <w:top w:val="dashed" w:color="CEE6ED" w:sz="2" w:space="0"/>
              <w:left w:val="single" w:color="CEE6ED" w:sz="2" w:space="0"/>
              <w:bottom w:val="dashed" w:color="CEE6ED" w:sz="2" w:space="0"/>
              <w:right w:val="nil"/>
            </w:tcBorders>
            <w:vAlign w:val="top"/>
          </w:tcPr>
          <w:p>
            <w:pPr>
              <w:spacing w:before="30" w:line="179" w:lineRule="auto"/>
              <w:ind w:left="1052"/>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1</w:t>
            </w:r>
            <w:r>
              <w:rPr>
                <w:rFonts w:ascii="微软雅黑" w:hAnsi="微软雅黑" w:eastAsia="微软雅黑" w:cs="微软雅黑"/>
                <w:color w:val="030303"/>
                <w:spacing w:val="2"/>
                <w:sz w:val="17"/>
                <w:szCs w:val="17"/>
              </w:rPr>
              <w:t>412.2</w:t>
            </w:r>
          </w:p>
          <w:p>
            <w:pPr>
              <w:spacing w:before="87" w:line="116" w:lineRule="exact"/>
              <w:ind w:left="1023"/>
            </w:pPr>
            <w:r>
              <w:rPr>
                <w:position w:val="-2"/>
              </w:rPr>
              <w:drawing>
                <wp:inline distT="0" distB="0" distL="0" distR="0">
                  <wp:extent cx="73025" cy="7302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68"/>
                          <a:stretch>
                            <a:fillRect/>
                          </a:stretch>
                        </pic:blipFill>
                        <pic:spPr>
                          <a:xfrm>
                            <a:off x="0" y="0"/>
                            <a:ext cx="73257" cy="73280"/>
                          </a:xfrm>
                          <a:prstGeom prst="rect">
                            <a:avLst/>
                          </a:prstGeom>
                        </pic:spPr>
                      </pic:pic>
                    </a:graphicData>
                  </a:graphic>
                </wp:inline>
              </w:drawing>
            </w:r>
          </w:p>
          <w:p>
            <w:pPr>
              <w:spacing w:before="3" w:line="123" w:lineRule="exact"/>
              <w:ind w:left="867"/>
              <w:rPr>
                <w:rFonts w:ascii="微软雅黑" w:hAnsi="微软雅黑" w:eastAsia="微软雅黑" w:cs="微软雅黑"/>
                <w:sz w:val="15"/>
                <w:szCs w:val="15"/>
              </w:rPr>
            </w:pPr>
            <w:r>
              <w:rPr>
                <w:rFonts w:ascii="微软雅黑" w:hAnsi="微软雅黑" w:eastAsia="微软雅黑" w:cs="微软雅黑"/>
                <w:color w:val="030303"/>
                <w:spacing w:val="16"/>
                <w:position w:val="-2"/>
                <w:sz w:val="15"/>
                <w:szCs w:val="15"/>
              </w:rPr>
              <w:t>2</w:t>
            </w:r>
            <w:r>
              <w:rPr>
                <w:rFonts w:ascii="微软雅黑" w:hAnsi="微软雅黑" w:eastAsia="微软雅黑" w:cs="微软雅黑"/>
                <w:color w:val="030303"/>
                <w:spacing w:val="13"/>
                <w:position w:val="-2"/>
                <w:sz w:val="15"/>
                <w:szCs w:val="15"/>
              </w:rPr>
              <w:t>7 7%</w:t>
            </w:r>
          </w:p>
        </w:tc>
        <w:tc>
          <w:tcPr>
            <w:tcW w:w="2060" w:type="dxa"/>
            <w:tcBorders>
              <w:top w:val="dashed" w:color="CEE6ED" w:sz="2" w:space="0"/>
              <w:left w:val="nil"/>
              <w:bottom w:val="dashed" w:color="CEE6ED" w:sz="2" w:space="0"/>
              <w:right w:val="nil"/>
            </w:tcBorders>
            <w:vAlign w:val="top"/>
          </w:tcPr>
          <w:p>
            <w:pPr>
              <w:spacing w:before="180" w:line="179" w:lineRule="auto"/>
              <w:ind w:left="962"/>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1</w:t>
            </w:r>
            <w:r>
              <w:rPr>
                <w:rFonts w:ascii="微软雅黑" w:hAnsi="微软雅黑" w:eastAsia="微软雅黑" w:cs="微软雅黑"/>
                <w:color w:val="030303"/>
                <w:spacing w:val="2"/>
                <w:sz w:val="17"/>
                <w:szCs w:val="17"/>
              </w:rPr>
              <w:t>493.4</w:t>
            </w:r>
          </w:p>
        </w:tc>
        <w:tc>
          <w:tcPr>
            <w:tcW w:w="2029" w:type="dxa"/>
            <w:tcBorders>
              <w:top w:val="dashed" w:color="CEE6ED" w:sz="2" w:space="0"/>
              <w:left w:val="nil"/>
              <w:bottom w:val="dashed" w:color="CEE6ED" w:sz="2" w:space="0"/>
              <w:right w:val="single" w:color="CEE6ED" w:sz="2" w:space="0"/>
            </w:tcBorders>
            <w:vAlign w:val="top"/>
          </w:tcPr>
          <w:p>
            <w:pPr>
              <w:rPr>
                <w:rFonts w:ascii="Arial"/>
                <w:sz w:val="21"/>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22" w:hRule="atLeast"/>
        </w:trPr>
        <w:tc>
          <w:tcPr>
            <w:tcW w:w="2119" w:type="dxa"/>
            <w:tcBorders>
              <w:top w:val="dashed" w:color="231F20" w:sz="2" w:space="0"/>
              <w:right w:val="nil"/>
            </w:tcBorders>
            <w:vAlign w:val="top"/>
          </w:tcPr>
          <w:p>
            <w:pPr>
              <w:spacing w:before="289" w:line="178" w:lineRule="auto"/>
              <w:ind w:left="629"/>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3</w:t>
            </w:r>
            <w:r>
              <w:rPr>
                <w:rFonts w:ascii="微软雅黑" w:hAnsi="微软雅黑" w:eastAsia="微软雅黑" w:cs="微软雅黑"/>
                <w:color w:val="030303"/>
                <w:spacing w:val="3"/>
                <w:sz w:val="17"/>
                <w:szCs w:val="17"/>
              </w:rPr>
              <w:t>9</w:t>
            </w:r>
            <w:r>
              <w:rPr>
                <w:rFonts w:ascii="微软雅黑" w:hAnsi="微软雅黑" w:eastAsia="微软雅黑" w:cs="微软雅黑"/>
                <w:color w:val="030303"/>
                <w:spacing w:val="2"/>
                <w:sz w:val="17"/>
                <w:szCs w:val="17"/>
              </w:rPr>
              <w:t>0.6</w:t>
            </w:r>
          </w:p>
        </w:tc>
        <w:tc>
          <w:tcPr>
            <w:tcW w:w="2060" w:type="dxa"/>
            <w:tcBorders>
              <w:top w:val="dashed" w:color="CEE6ED" w:sz="2" w:space="0"/>
              <w:left w:val="nil"/>
              <w:right w:val="nil"/>
            </w:tcBorders>
            <w:vAlign w:val="top"/>
          </w:tcPr>
          <w:p>
            <w:pPr>
              <w:spacing w:before="264" w:line="178" w:lineRule="auto"/>
              <w:ind w:left="520"/>
              <w:rPr>
                <w:rFonts w:ascii="微软雅黑" w:hAnsi="微软雅黑" w:eastAsia="微软雅黑" w:cs="微软雅黑"/>
                <w:sz w:val="17"/>
                <w:szCs w:val="17"/>
              </w:rPr>
            </w:pPr>
            <w:r>
              <w:rPr>
                <w:rFonts w:ascii="微软雅黑" w:hAnsi="微软雅黑" w:eastAsia="微软雅黑" w:cs="微软雅黑"/>
                <w:color w:val="030303"/>
                <w:spacing w:val="5"/>
                <w:sz w:val="17"/>
                <w:szCs w:val="17"/>
              </w:rPr>
              <w:t>427.</w:t>
            </w:r>
            <w:r>
              <w:rPr>
                <w:rFonts w:ascii="微软雅黑" w:hAnsi="微软雅黑" w:eastAsia="微软雅黑" w:cs="微软雅黑"/>
                <w:color w:val="030303"/>
                <w:spacing w:val="4"/>
                <w:sz w:val="17"/>
                <w:szCs w:val="17"/>
              </w:rPr>
              <w:t>6</w:t>
            </w:r>
          </w:p>
        </w:tc>
        <w:tc>
          <w:tcPr>
            <w:tcW w:w="2029" w:type="dxa"/>
            <w:tcBorders>
              <w:top w:val="dashed" w:color="231F20" w:sz="2" w:space="0"/>
              <w:left w:val="nil"/>
            </w:tcBorders>
            <w:vAlign w:val="top"/>
          </w:tcPr>
          <w:p>
            <w:pPr>
              <w:spacing w:before="214" w:line="178" w:lineRule="auto"/>
              <w:ind w:left="550"/>
              <w:rPr>
                <w:rFonts w:ascii="微软雅黑" w:hAnsi="微软雅黑" w:eastAsia="微软雅黑" w:cs="微软雅黑"/>
                <w:sz w:val="17"/>
                <w:szCs w:val="17"/>
              </w:rPr>
            </w:pPr>
            <w:r>
              <w:rPr>
                <w:rFonts w:ascii="微软雅黑" w:hAnsi="微软雅黑" w:eastAsia="微软雅黑" w:cs="微软雅黑"/>
                <w:color w:val="030303"/>
                <w:spacing w:val="1"/>
                <w:sz w:val="17"/>
                <w:szCs w:val="17"/>
              </w:rPr>
              <w:t>52</w:t>
            </w:r>
            <w:r>
              <w:rPr>
                <w:rFonts w:ascii="微软雅黑" w:hAnsi="微软雅黑" w:eastAsia="微软雅黑" w:cs="微软雅黑"/>
                <w:color w:val="030303"/>
                <w:sz w:val="17"/>
                <w:szCs w:val="17"/>
              </w:rPr>
              <w:t>2</w:t>
            </w:r>
          </w:p>
        </w:tc>
      </w:tr>
    </w:tbl>
    <w:p>
      <w:pPr>
        <w:spacing w:line="23" w:lineRule="exact"/>
        <w:rPr>
          <w:rFonts w:ascii="Arial"/>
          <w:sz w:val="2"/>
        </w:rPr>
      </w:pPr>
    </w:p>
    <w:p>
      <w:pPr>
        <w:spacing w:line="14" w:lineRule="auto"/>
        <w:rPr>
          <w:rFonts w:ascii="Arial"/>
          <w:sz w:val="2"/>
        </w:rPr>
      </w:pPr>
      <w:r>
        <w:rPr>
          <w:rFonts w:ascii="Arial" w:hAnsi="Arial" w:eastAsia="Arial" w:cs="Arial"/>
          <w:sz w:val="2"/>
          <w:szCs w:val="2"/>
        </w:rPr>
        <w:br w:type="column"/>
      </w:r>
    </w:p>
    <w:p>
      <w:pPr>
        <w:spacing w:before="94" w:line="190" w:lineRule="auto"/>
        <w:rPr>
          <w:rFonts w:ascii="Calibri" w:hAnsi="Calibri" w:eastAsia="Calibri" w:cs="Calibri"/>
          <w:sz w:val="17"/>
          <w:szCs w:val="17"/>
        </w:rPr>
      </w:pPr>
      <w:r>
        <w:rPr>
          <w:rFonts w:ascii="Calibri" w:hAnsi="Calibri" w:eastAsia="Calibri" w:cs="Calibri"/>
          <w:color w:val="030303"/>
          <w:spacing w:val="4"/>
          <w:sz w:val="17"/>
          <w:szCs w:val="17"/>
        </w:rPr>
        <w:t>2</w:t>
      </w:r>
      <w:r>
        <w:rPr>
          <w:rFonts w:ascii="Calibri" w:hAnsi="Calibri" w:eastAsia="Calibri" w:cs="Calibri"/>
          <w:color w:val="030303"/>
          <w:spacing w:val="3"/>
          <w:sz w:val="17"/>
          <w:szCs w:val="17"/>
        </w:rPr>
        <w:t>9</w:t>
      </w:r>
      <w:r>
        <w:rPr>
          <w:rFonts w:ascii="Calibri" w:hAnsi="Calibri" w:eastAsia="Calibri" w:cs="Calibri"/>
          <w:color w:val="030303"/>
          <w:spacing w:val="2"/>
          <w:sz w:val="17"/>
          <w:szCs w:val="17"/>
        </w:rPr>
        <w:t>.0%</w:t>
      </w:r>
    </w:p>
    <w:p>
      <w:pPr>
        <w:spacing w:line="369" w:lineRule="auto"/>
        <w:rPr>
          <w:rFonts w:ascii="Arial"/>
          <w:sz w:val="21"/>
        </w:rPr>
      </w:pPr>
    </w:p>
    <w:p>
      <w:pPr>
        <w:spacing w:before="53" w:line="190" w:lineRule="auto"/>
        <w:rPr>
          <w:rFonts w:ascii="Calibri" w:hAnsi="Calibri" w:eastAsia="Calibri" w:cs="Calibri"/>
          <w:sz w:val="17"/>
          <w:szCs w:val="17"/>
        </w:rPr>
      </w:pPr>
      <w:r>
        <w:rPr>
          <w:rFonts w:ascii="Calibri" w:hAnsi="Calibri" w:eastAsia="Calibri" w:cs="Calibri"/>
          <w:color w:val="030303"/>
          <w:spacing w:val="4"/>
          <w:sz w:val="17"/>
          <w:szCs w:val="17"/>
        </w:rPr>
        <w:t>2</w:t>
      </w:r>
      <w:r>
        <w:rPr>
          <w:rFonts w:ascii="Calibri" w:hAnsi="Calibri" w:eastAsia="Calibri" w:cs="Calibri"/>
          <w:color w:val="030303"/>
          <w:spacing w:val="3"/>
          <w:sz w:val="17"/>
          <w:szCs w:val="17"/>
        </w:rPr>
        <w:t>8</w:t>
      </w:r>
      <w:r>
        <w:rPr>
          <w:rFonts w:ascii="Calibri" w:hAnsi="Calibri" w:eastAsia="Calibri" w:cs="Calibri"/>
          <w:color w:val="030303"/>
          <w:spacing w:val="2"/>
          <w:sz w:val="17"/>
          <w:szCs w:val="17"/>
        </w:rPr>
        <w:t>.5%</w:t>
      </w:r>
    </w:p>
    <w:p>
      <w:pPr>
        <w:spacing w:line="370" w:lineRule="auto"/>
        <w:rPr>
          <w:rFonts w:ascii="Arial"/>
          <w:sz w:val="21"/>
        </w:rPr>
      </w:pPr>
    </w:p>
    <w:p>
      <w:pPr>
        <w:spacing w:before="53" w:line="190" w:lineRule="auto"/>
        <w:rPr>
          <w:rFonts w:ascii="Calibri" w:hAnsi="Calibri" w:eastAsia="Calibri" w:cs="Calibri"/>
          <w:sz w:val="17"/>
          <w:szCs w:val="17"/>
        </w:rPr>
      </w:pPr>
      <w:r>
        <w:rPr>
          <w:rFonts w:ascii="Calibri" w:hAnsi="Calibri" w:eastAsia="Calibri" w:cs="Calibri"/>
          <w:color w:val="030303"/>
          <w:spacing w:val="4"/>
          <w:sz w:val="17"/>
          <w:szCs w:val="17"/>
        </w:rPr>
        <w:t>2</w:t>
      </w:r>
      <w:r>
        <w:rPr>
          <w:rFonts w:ascii="Calibri" w:hAnsi="Calibri" w:eastAsia="Calibri" w:cs="Calibri"/>
          <w:color w:val="030303"/>
          <w:spacing w:val="3"/>
          <w:sz w:val="17"/>
          <w:szCs w:val="17"/>
        </w:rPr>
        <w:t>8</w:t>
      </w:r>
      <w:r>
        <w:rPr>
          <w:rFonts w:ascii="Calibri" w:hAnsi="Calibri" w:eastAsia="Calibri" w:cs="Calibri"/>
          <w:color w:val="030303"/>
          <w:spacing w:val="2"/>
          <w:sz w:val="17"/>
          <w:szCs w:val="17"/>
        </w:rPr>
        <w:t>.0%</w:t>
      </w:r>
    </w:p>
    <w:p>
      <w:pPr>
        <w:spacing w:line="370" w:lineRule="auto"/>
        <w:rPr>
          <w:rFonts w:ascii="Arial"/>
          <w:sz w:val="21"/>
        </w:rPr>
      </w:pPr>
    </w:p>
    <w:p>
      <w:pPr>
        <w:spacing w:before="52" w:line="191" w:lineRule="auto"/>
        <w:rPr>
          <w:rFonts w:ascii="Calibri" w:hAnsi="Calibri" w:eastAsia="Calibri" w:cs="Calibri"/>
          <w:sz w:val="17"/>
          <w:szCs w:val="17"/>
        </w:rPr>
      </w:pPr>
      <w:r>
        <w:rPr>
          <w:rFonts w:ascii="Calibri" w:hAnsi="Calibri" w:eastAsia="Calibri" w:cs="Calibri"/>
          <w:color w:val="030303"/>
          <w:spacing w:val="4"/>
          <w:sz w:val="17"/>
          <w:szCs w:val="17"/>
        </w:rPr>
        <w:t>2</w:t>
      </w:r>
      <w:r>
        <w:rPr>
          <w:rFonts w:ascii="Calibri" w:hAnsi="Calibri" w:eastAsia="Calibri" w:cs="Calibri"/>
          <w:color w:val="030303"/>
          <w:spacing w:val="3"/>
          <w:sz w:val="17"/>
          <w:szCs w:val="17"/>
        </w:rPr>
        <w:t>7</w:t>
      </w:r>
      <w:r>
        <w:rPr>
          <w:rFonts w:ascii="Calibri" w:hAnsi="Calibri" w:eastAsia="Calibri" w:cs="Calibri"/>
          <w:color w:val="030303"/>
          <w:spacing w:val="2"/>
          <w:sz w:val="17"/>
          <w:szCs w:val="17"/>
        </w:rPr>
        <w:t>.5%</w:t>
      </w:r>
    </w:p>
    <w:p>
      <w:pPr>
        <w:spacing w:line="369" w:lineRule="auto"/>
        <w:rPr>
          <w:rFonts w:ascii="Arial"/>
          <w:sz w:val="21"/>
        </w:rPr>
      </w:pPr>
    </w:p>
    <w:p>
      <w:pPr>
        <w:spacing w:before="53" w:line="120" w:lineRule="exact"/>
        <w:rPr>
          <w:rFonts w:ascii="Calibri" w:hAnsi="Calibri" w:eastAsia="Calibri" w:cs="Calibri"/>
          <w:sz w:val="17"/>
          <w:szCs w:val="17"/>
        </w:rPr>
      </w:pPr>
      <w:r>
        <w:rPr>
          <w:rFonts w:ascii="Calibri" w:hAnsi="Calibri" w:eastAsia="Calibri" w:cs="Calibri"/>
          <w:color w:val="030303"/>
          <w:spacing w:val="4"/>
          <w:position w:val="-2"/>
          <w:sz w:val="17"/>
          <w:szCs w:val="17"/>
        </w:rPr>
        <w:t>2</w:t>
      </w:r>
      <w:r>
        <w:rPr>
          <w:rFonts w:ascii="Calibri" w:hAnsi="Calibri" w:eastAsia="Calibri" w:cs="Calibri"/>
          <w:color w:val="030303"/>
          <w:spacing w:val="3"/>
          <w:position w:val="-2"/>
          <w:sz w:val="17"/>
          <w:szCs w:val="17"/>
        </w:rPr>
        <w:t>7</w:t>
      </w:r>
      <w:r>
        <w:rPr>
          <w:rFonts w:ascii="Calibri" w:hAnsi="Calibri" w:eastAsia="Calibri" w:cs="Calibri"/>
          <w:color w:val="030303"/>
          <w:spacing w:val="2"/>
          <w:position w:val="-2"/>
          <w:sz w:val="17"/>
          <w:szCs w:val="17"/>
        </w:rPr>
        <w:t>.0%</w:t>
      </w:r>
    </w:p>
    <w:p>
      <w:pPr>
        <w:sectPr>
          <w:type w:val="continuous"/>
          <w:pgSz w:w="12246" w:h="16498"/>
          <w:pgMar w:top="400" w:right="0" w:bottom="400" w:left="0" w:header="0" w:footer="0" w:gutter="0"/>
          <w:cols w:equalWidth="0" w:num="3">
            <w:col w:w="3065" w:space="36"/>
            <w:col w:w="6214" w:space="24"/>
            <w:col w:w="2907"/>
          </w:cols>
        </w:sectPr>
      </w:pPr>
    </w:p>
    <w:p>
      <w:pPr>
        <w:spacing w:before="107" w:line="186" w:lineRule="auto"/>
        <w:ind w:left="4015"/>
        <w:rPr>
          <w:rFonts w:ascii="Calibri" w:hAnsi="Calibri" w:eastAsia="Calibri" w:cs="Calibri"/>
          <w:sz w:val="17"/>
          <w:szCs w:val="17"/>
        </w:rPr>
      </w:pPr>
      <w:r>
        <w:rPr>
          <w:rFonts w:ascii="Calibri" w:hAnsi="Calibri" w:eastAsia="Calibri" w:cs="Calibri"/>
          <w:color w:val="030303"/>
          <w:spacing w:val="1"/>
          <w:sz w:val="17"/>
          <w:szCs w:val="17"/>
        </w:rPr>
        <w:t xml:space="preserve">2019                              </w:t>
      </w:r>
      <w:r>
        <w:rPr>
          <w:rFonts w:ascii="Calibri" w:hAnsi="Calibri" w:eastAsia="Calibri" w:cs="Calibri"/>
          <w:color w:val="030303"/>
          <w:sz w:val="17"/>
          <w:szCs w:val="17"/>
        </w:rPr>
        <w:t xml:space="preserve">             2020                                           2021</w:t>
      </w:r>
    </w:p>
    <w:p>
      <w:pPr>
        <w:spacing w:before="157" w:line="225" w:lineRule="auto"/>
        <w:ind w:left="5131"/>
        <w:rPr>
          <w:rFonts w:ascii="宋体" w:hAnsi="宋体" w:eastAsia="宋体" w:cs="宋体"/>
          <w:sz w:val="17"/>
          <w:szCs w:val="17"/>
        </w:rPr>
      </w:pPr>
      <w:r>
        <w:rPr>
          <w:rFonts w:ascii="宋体" w:hAnsi="宋体" w:eastAsia="宋体" w:cs="宋体"/>
          <w:color w:val="030303"/>
          <w:spacing w:val="9"/>
          <w:sz w:val="17"/>
          <w:szCs w:val="17"/>
        </w:rPr>
        <w:t>高技术产业实际使用外资金</w:t>
      </w:r>
      <w:r>
        <w:rPr>
          <w:rFonts w:ascii="宋体" w:hAnsi="宋体" w:eastAsia="宋体" w:cs="宋体"/>
          <w:color w:val="030303"/>
          <w:spacing w:val="7"/>
          <w:sz w:val="17"/>
          <w:szCs w:val="17"/>
        </w:rPr>
        <w:t>额</w:t>
      </w:r>
    </w:p>
    <w:p>
      <w:pPr>
        <w:spacing w:before="1" w:line="224" w:lineRule="auto"/>
        <w:ind w:left="5126"/>
        <w:rPr>
          <w:rFonts w:ascii="宋体" w:hAnsi="宋体" w:eastAsia="宋体" w:cs="宋体"/>
          <w:sz w:val="17"/>
          <w:szCs w:val="17"/>
        </w:rPr>
      </w:pPr>
      <w:r>
        <w:rPr>
          <w:rFonts w:ascii="宋体" w:hAnsi="宋体" w:eastAsia="宋体" w:cs="宋体"/>
          <w:color w:val="030303"/>
          <w:spacing w:val="9"/>
          <w:sz w:val="17"/>
          <w:szCs w:val="17"/>
        </w:rPr>
        <w:t>全年实际使用外资金额</w:t>
      </w:r>
    </w:p>
    <w:p>
      <w:pPr>
        <w:spacing w:line="230" w:lineRule="auto"/>
        <w:ind w:left="4638"/>
        <w:rPr>
          <w:rFonts w:ascii="宋体" w:hAnsi="宋体" w:eastAsia="宋体" w:cs="宋体"/>
          <w:sz w:val="17"/>
          <w:szCs w:val="17"/>
        </w:rPr>
      </w:pPr>
      <w:r>
        <w:rPr>
          <w:rFonts w:ascii="宋体" w:hAnsi="宋体" w:eastAsia="宋体" w:cs="宋体"/>
          <w:color w:val="030303"/>
          <w:sz w:val="17"/>
          <w:szCs w:val="17"/>
        </w:rPr>
        <w:drawing>
          <wp:inline distT="0" distB="0" distL="0" distR="0">
            <wp:extent cx="281940" cy="73025"/>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69"/>
                    <a:stretch>
                      <a:fillRect/>
                    </a:stretch>
                  </pic:blipFill>
                  <pic:spPr>
                    <a:xfrm>
                      <a:off x="0" y="0"/>
                      <a:ext cx="282247" cy="73280"/>
                    </a:xfrm>
                    <a:prstGeom prst="rect">
                      <a:avLst/>
                    </a:prstGeom>
                  </pic:spPr>
                </pic:pic>
              </a:graphicData>
            </a:graphic>
          </wp:inline>
        </w:drawing>
      </w:r>
      <w:r>
        <w:rPr>
          <w:rFonts w:ascii="宋体" w:hAnsi="宋体" w:eastAsia="宋体" w:cs="宋体"/>
          <w:color w:val="030303"/>
          <w:spacing w:val="8"/>
          <w:sz w:val="17"/>
          <w:szCs w:val="17"/>
        </w:rPr>
        <w:t xml:space="preserve"> </w:t>
      </w:r>
      <w:r>
        <w:rPr>
          <w:rFonts w:ascii="宋体" w:hAnsi="宋体" w:eastAsia="宋体" w:cs="宋体"/>
          <w:color w:val="030303"/>
          <w:spacing w:val="6"/>
          <w:sz w:val="17"/>
          <w:szCs w:val="17"/>
        </w:rPr>
        <w:t>高技术产业实际使用外资金额占比</w:t>
      </w:r>
    </w:p>
    <w:p>
      <w:pPr>
        <w:spacing w:line="245" w:lineRule="auto"/>
        <w:rPr>
          <w:rFonts w:ascii="Arial"/>
          <w:sz w:val="21"/>
        </w:rPr>
      </w:pPr>
    </w:p>
    <w:p>
      <w:pPr>
        <w:spacing w:before="66" w:line="382" w:lineRule="exact"/>
        <w:ind w:left="3923"/>
        <w:rPr>
          <w:rFonts w:ascii="SimHei" w:hAnsi="SimHei" w:eastAsia="SimHei" w:cs="SimHei"/>
          <w:sz w:val="20"/>
          <w:szCs w:val="20"/>
        </w:rPr>
      </w:pPr>
      <w:r>
        <w:rPr>
          <w:rFonts w:ascii="SimHei" w:hAnsi="SimHei" w:eastAsia="SimHei" w:cs="SimHei"/>
          <w:color w:val="231F20"/>
          <w:spacing w:val="3"/>
          <w:position w:val="13"/>
          <w:sz w:val="20"/>
          <w:szCs w:val="20"/>
        </w:rPr>
        <w:t xml:space="preserve">图 </w:t>
      </w:r>
      <w:r>
        <w:rPr>
          <w:rFonts w:ascii="Times New Roman" w:hAnsi="Times New Roman" w:eastAsia="Times New Roman" w:cs="Times New Roman"/>
          <w:color w:val="231F20"/>
          <w:spacing w:val="3"/>
          <w:position w:val="13"/>
          <w:sz w:val="20"/>
          <w:szCs w:val="20"/>
        </w:rPr>
        <w:t xml:space="preserve">1-7 2019-2021 </w:t>
      </w:r>
      <w:r>
        <w:rPr>
          <w:rFonts w:ascii="SimHei" w:hAnsi="SimHei" w:eastAsia="SimHei" w:cs="SimHei"/>
          <w:color w:val="231F20"/>
          <w:spacing w:val="3"/>
          <w:position w:val="13"/>
          <w:sz w:val="20"/>
          <w:szCs w:val="20"/>
        </w:rPr>
        <w:t>年高技术产业实际使用外资</w:t>
      </w:r>
      <w:r>
        <w:rPr>
          <w:rFonts w:ascii="SimHei" w:hAnsi="SimHei" w:eastAsia="SimHei" w:cs="SimHei"/>
          <w:color w:val="231F20"/>
          <w:spacing w:val="2"/>
          <w:position w:val="13"/>
          <w:sz w:val="20"/>
          <w:szCs w:val="20"/>
        </w:rPr>
        <w:t>情</w:t>
      </w:r>
      <w:r>
        <w:rPr>
          <w:rFonts w:ascii="SimHei" w:hAnsi="SimHei" w:eastAsia="SimHei" w:cs="SimHei"/>
          <w:color w:val="231F20"/>
          <w:position w:val="13"/>
          <w:sz w:val="20"/>
          <w:szCs w:val="20"/>
        </w:rPr>
        <w:t>况</w:t>
      </w:r>
    </w:p>
    <w:p>
      <w:pPr>
        <w:spacing w:before="1" w:line="190" w:lineRule="auto"/>
        <w:ind w:left="1987"/>
        <w:rPr>
          <w:rFonts w:ascii="KaiTi" w:hAnsi="KaiTi" w:eastAsia="KaiTi" w:cs="KaiTi"/>
          <w:sz w:val="17"/>
          <w:szCs w:val="17"/>
        </w:rPr>
      </w:pPr>
      <w:r>
        <w:rPr>
          <w:rFonts w:ascii="KaiTi" w:hAnsi="KaiTi" w:eastAsia="KaiTi" w:cs="KaiTi"/>
          <w:color w:val="231F20"/>
          <w:spacing w:val="6"/>
          <w:sz w:val="17"/>
          <w:szCs w:val="17"/>
        </w:rPr>
        <w:t>数据来源：商务部外资统计。</w:t>
      </w:r>
    </w:p>
    <w:p>
      <w:pPr>
        <w:sectPr>
          <w:type w:val="continuous"/>
          <w:pgSz w:w="12246" w:h="16498"/>
          <w:pgMar w:top="400" w:right="0" w:bottom="400" w:left="0" w:header="0" w:footer="0" w:gutter="0"/>
          <w:cols w:equalWidth="0" w:num="1">
            <w:col w:w="12246"/>
          </w:cols>
        </w:sectPr>
      </w:pPr>
    </w:p>
    <w:p>
      <w:pPr>
        <w:spacing w:line="241" w:lineRule="auto"/>
        <w:rPr>
          <w:rFonts w:ascii="Arial"/>
          <w:sz w:val="21"/>
        </w:rPr>
      </w:pPr>
      <w:r>
        <w:pict>
          <v:rect id="_x0000_s1159" o:spid="_x0000_s1159" o:spt="1" style="position:absolute;left:0pt;margin-left:159.9pt;margin-top:411.6pt;height:0.4pt;width:303.85pt;mso-position-horizontal-relative:page;mso-position-vertical-relative:page;z-index:251797504;mso-width-relative:page;mso-height-relative:page;" fillcolor="#F6F7F7" filled="t" stroked="f" coordsize="21600,21600" o:allowincell="f">
            <v:path/>
            <v:fill on="t" focussize="0,0"/>
            <v:stroke on="f"/>
            <v:imagedata o:title=""/>
            <o:lock v:ext="edit"/>
          </v:rect>
        </w:pict>
      </w:r>
      <w:r>
        <w:pict>
          <v:rect id="_x0000_s1160" o:spid="_x0000_s1160" o:spt="1" style="position:absolute;left:0pt;margin-left:156pt;margin-top:410.7pt;height:7.1pt;width:309pt;mso-position-horizontal-relative:page;mso-position-vertical-relative:page;z-index:251798528;mso-width-relative:page;mso-height-relative:page;" fillcolor="#FFFFFF" filled="t" stroked="f" coordsize="21600,21600" o:allowincell="f">
            <v:path/>
            <v:fill on="t" focussize="0,0"/>
            <v:stroke on="f"/>
            <v:imagedata o:title=""/>
            <o:lock v:ext="edit"/>
          </v:rect>
        </w:pict>
      </w:r>
      <w:r>
        <w:pict>
          <v:rect id="_x0000_s1161" o:spid="_x0000_s1161" o:spt="1" style="position:absolute;left:0pt;margin-left:207.65pt;margin-top:349.9pt;height:5.8pt;width:5.8pt;mso-position-horizontal-relative:page;mso-position-vertical-relative:page;z-index:251800576;mso-width-relative:page;mso-height-relative:page;" fillcolor="#86A9CB" filled="t" stroked="f" coordsize="21600,21600" o:allowincell="f">
            <v:path/>
            <v:fill on="t" opacity="63223f" focussize="0,0"/>
            <v:stroke on="f"/>
            <v:imagedata o:title=""/>
            <o:lock v:ext="edit"/>
          </v:rect>
        </w:pict>
      </w:r>
      <w:r>
        <w:pict>
          <v:group id="_x0000_s1162" o:spid="_x0000_s1162" o:spt="203" style="position:absolute;left:0pt;margin-left:308.95pt;margin-top:368pt;height:5.8pt;width:5.8pt;mso-position-horizontal-relative:page;mso-position-vertical-relative:page;z-index:251802624;mso-width-relative:page;mso-height-relative:page;" coordsize="116,116" o:allowincell="f">
            <o:lock v:ext="edit"/>
            <v:shape id="_x0000_s1163" o:spid="_x0000_s1163" style="position:absolute;left:7;top:7;height:101;width:101;" fillcolor="#86A9CB" filled="t" stroked="f" coordsize="101,101" path="m0,50c0,22,22,0,50,0c77,0,100,22,100,50c100,77,77,100,50,100c22,100,0,77,0,50e">
              <v:path/>
              <v:fill on="t" focussize="0,0"/>
              <v:stroke on="f"/>
              <v:imagedata o:title=""/>
              <o:lock v:ext="edit"/>
            </v:shape>
            <v:shape id="_x0000_s1164" o:spid="_x0000_s1164" style="position:absolute;left:0;top:0;height:116;width:116;" filled="f" stroked="t" coordsize="116,116" path="m7,57c7,29,29,7,57,7c85,7,107,29,107,57c107,85,85,107,57,107c29,107,7,85,7,57e">
              <v:fill on="f" focussize="0,0"/>
              <v:stroke color="#86A9CB" miterlimit="10"/>
              <v:imagedata o:title=""/>
              <o:lock v:ext="edit"/>
            </v:shape>
          </v:group>
        </w:pict>
      </w:r>
      <w:r>
        <w:pict>
          <v:shape id="_x0000_s1165" o:spid="_x0000_s1165" o:spt="202" type="#_x0000_t202" style="position:absolute;left:0pt;margin-left:155.6pt;margin-top:267.25pt;height:147pt;width:312.7pt;mso-position-horizontal-relative:page;mso-position-vertical-relative:page;z-index:25180160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6208" w:type="dxa"/>
                    <w:tblInd w:w="2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169"/>
                    <w:gridCol w:w="403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34" w:hRule="atLeast"/>
                    </w:trPr>
                    <w:tc>
                      <w:tcPr>
                        <w:tcW w:w="6208" w:type="dxa"/>
                        <w:gridSpan w:val="2"/>
                        <w:tcBorders>
                          <w:top w:val="nil"/>
                          <w:bottom w:val="dashed" w:color="231F20" w:sz="2" w:space="0"/>
                        </w:tcBorders>
                        <w:vAlign w:val="top"/>
                      </w:tcPr>
                      <w:p>
                        <w:pPr>
                          <w:spacing w:line="134" w:lineRule="exact"/>
                          <w:rPr>
                            <w:rFonts w:ascii="Arial"/>
                            <w:sz w:val="11"/>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50" w:hRule="atLeast"/>
                    </w:trPr>
                    <w:tc>
                      <w:tcPr>
                        <w:tcW w:w="6208" w:type="dxa"/>
                        <w:gridSpan w:val="2"/>
                        <w:tcBorders>
                          <w:top w:val="dashed" w:color="CEE6ED" w:sz="2" w:space="0"/>
                          <w:bottom w:val="dashed" w:color="CEE6ED" w:sz="2" w:space="0"/>
                        </w:tcBorders>
                        <w:vAlign w:val="top"/>
                      </w:tcPr>
                      <w:p>
                        <w:pPr>
                          <w:spacing w:before="263" w:line="187" w:lineRule="exact"/>
                          <w:ind w:left="4925"/>
                          <w:rPr>
                            <w:rFonts w:ascii="微软雅黑" w:hAnsi="微软雅黑" w:eastAsia="微软雅黑" w:cs="微软雅黑"/>
                            <w:sz w:val="17"/>
                            <w:szCs w:val="17"/>
                          </w:rPr>
                        </w:pPr>
                        <w:r>
                          <w:rPr>
                            <w:rFonts w:ascii="微软雅黑" w:hAnsi="微软雅黑" w:eastAsia="微软雅黑" w:cs="微软雅黑"/>
                            <w:color w:val="030303"/>
                            <w:spacing w:val="4"/>
                            <w:position w:val="-1"/>
                            <w:sz w:val="17"/>
                            <w:szCs w:val="17"/>
                          </w:rPr>
                          <w:t>25.5</w:t>
                        </w:r>
                        <w:r>
                          <w:rPr>
                            <w:rFonts w:ascii="微软雅黑" w:hAnsi="微软雅黑" w:eastAsia="微软雅黑" w:cs="微软雅黑"/>
                            <w:color w:val="030303"/>
                            <w:spacing w:val="3"/>
                            <w:position w:val="-1"/>
                            <w:sz w:val="17"/>
                            <w:szCs w:val="17"/>
                          </w:rPr>
                          <w:t>%</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48" w:hRule="atLeast"/>
                    </w:trPr>
                    <w:tc>
                      <w:tcPr>
                        <w:tcW w:w="6208" w:type="dxa"/>
                        <w:gridSpan w:val="2"/>
                        <w:tcBorders>
                          <w:top w:val="dashed" w:color="CEE6ED" w:sz="2" w:space="0"/>
                          <w:bottom w:val="dashed" w:color="CEE6ED" w:sz="2" w:space="0"/>
                        </w:tcBorders>
                        <w:vAlign w:val="top"/>
                      </w:tcPr>
                      <w:p>
                        <w:pPr>
                          <w:spacing w:line="91" w:lineRule="exact"/>
                          <w:ind w:firstLine="5067"/>
                          <w:textAlignment w:val="center"/>
                        </w:pPr>
                        <w:r>
                          <w:drawing>
                            <wp:inline distT="0" distB="0" distL="0" distR="0">
                              <wp:extent cx="73025" cy="5778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70"/>
                                      <a:stretch>
                                        <a:fillRect/>
                                      </a:stretch>
                                    </pic:blipFill>
                                    <pic:spPr>
                                      <a:xfrm>
                                        <a:off x="0" y="0"/>
                                        <a:ext cx="73257" cy="58004"/>
                                      </a:xfrm>
                                      <a:prstGeom prst="rect">
                                        <a:avLst/>
                                      </a:prstGeom>
                                    </pic:spPr>
                                  </pic:pic>
                                </a:graphicData>
                              </a:graphic>
                            </wp:inline>
                          </w:drawing>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51" w:hRule="atLeast"/>
                    </w:trPr>
                    <w:tc>
                      <w:tcPr>
                        <w:tcW w:w="6208" w:type="dxa"/>
                        <w:gridSpan w:val="2"/>
                        <w:tcBorders>
                          <w:top w:val="dashed" w:color="CEE6ED" w:sz="2" w:space="0"/>
                          <w:bottom w:val="dashed" w:color="CEE6ED" w:sz="2" w:space="0"/>
                        </w:tcBorders>
                        <w:vAlign w:val="top"/>
                      </w:tcPr>
                      <w:p>
                        <w:pPr>
                          <w:spacing w:line="242" w:lineRule="auto"/>
                          <w:rPr>
                            <w:rFonts w:ascii="Arial"/>
                            <w:sz w:val="21"/>
                          </w:rPr>
                        </w:pPr>
                      </w:p>
                      <w:p>
                        <w:pPr>
                          <w:spacing w:before="72" w:line="135" w:lineRule="exact"/>
                          <w:ind w:left="4940"/>
                          <w:rPr>
                            <w:rFonts w:ascii="微软雅黑" w:hAnsi="微软雅黑" w:eastAsia="微软雅黑" w:cs="微软雅黑"/>
                            <w:sz w:val="17"/>
                            <w:szCs w:val="17"/>
                          </w:rPr>
                        </w:pPr>
                        <w:r>
                          <w:rPr>
                            <w:rFonts w:ascii="微软雅黑" w:hAnsi="微软雅黑" w:eastAsia="微软雅黑" w:cs="微软雅黑"/>
                            <w:color w:val="030303"/>
                            <w:spacing w:val="2"/>
                            <w:position w:val="-3"/>
                            <w:sz w:val="17"/>
                            <w:szCs w:val="17"/>
                          </w:rPr>
                          <w:t>1</w:t>
                        </w:r>
                        <w:r>
                          <w:rPr>
                            <w:rFonts w:ascii="微软雅黑" w:hAnsi="微软雅黑" w:eastAsia="微软雅黑" w:cs="微软雅黑"/>
                            <w:color w:val="030303"/>
                            <w:spacing w:val="1"/>
                            <w:position w:val="-3"/>
                            <w:sz w:val="17"/>
                            <w:szCs w:val="17"/>
                          </w:rPr>
                          <w:t>177</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53" w:hRule="atLeast"/>
                    </w:trPr>
                    <w:tc>
                      <w:tcPr>
                        <w:tcW w:w="2169" w:type="dxa"/>
                        <w:tcBorders>
                          <w:top w:val="dashed" w:color="CEE6ED" w:sz="2" w:space="0"/>
                          <w:bottom w:val="dashed" w:color="CEE6ED" w:sz="2" w:space="0"/>
                          <w:right w:val="nil"/>
                        </w:tcBorders>
                        <w:vAlign w:val="top"/>
                      </w:tcPr>
                      <w:p>
                        <w:pPr>
                          <w:spacing w:line="129" w:lineRule="exact"/>
                          <w:ind w:left="862"/>
                          <w:rPr>
                            <w:rFonts w:ascii="微软雅黑" w:hAnsi="微软雅黑" w:eastAsia="微软雅黑" w:cs="微软雅黑"/>
                            <w:sz w:val="12"/>
                            <w:szCs w:val="12"/>
                          </w:rPr>
                        </w:pPr>
                        <w:r>
                          <w:rPr>
                            <w:rFonts w:ascii="微软雅黑" w:hAnsi="微软雅黑" w:eastAsia="微软雅黑" w:cs="微软雅黑"/>
                            <w:color w:val="030303"/>
                            <w:spacing w:val="31"/>
                            <w:position w:val="-1"/>
                            <w:sz w:val="12"/>
                            <w:szCs w:val="12"/>
                          </w:rPr>
                          <w:t>15.8%</w:t>
                        </w:r>
                      </w:p>
                      <w:p>
                        <w:pPr>
                          <w:tabs>
                            <w:tab w:val="left" w:pos="1130"/>
                          </w:tabs>
                          <w:spacing w:line="115" w:lineRule="exact"/>
                          <w:ind w:left="1016"/>
                          <w:rPr>
                            <w:rFonts w:ascii="Arial"/>
                            <w:sz w:val="21"/>
                          </w:rPr>
                        </w:pPr>
                        <w:r>
                          <w:rPr>
                            <w:rFonts w:ascii="Arial" w:hAnsi="Arial" w:eastAsia="Arial" w:cs="Arial"/>
                            <w:position w:val="-4"/>
                            <w:sz w:val="21"/>
                            <w:szCs w:val="21"/>
                          </w:rPr>
                          <w:tab/>
                        </w:r>
                      </w:p>
                    </w:tc>
                    <w:tc>
                      <w:tcPr>
                        <w:tcW w:w="4039" w:type="dxa"/>
                        <w:tcBorders>
                          <w:top w:val="dashed" w:color="CEE6ED" w:sz="2" w:space="0"/>
                          <w:left w:val="nil"/>
                          <w:bottom w:val="dashed" w:color="CEE6ED" w:sz="2" w:space="0"/>
                        </w:tcBorders>
                        <w:vAlign w:val="top"/>
                      </w:tcPr>
                      <w:p>
                        <w:pPr>
                          <w:spacing w:before="125" w:line="178" w:lineRule="auto"/>
                          <w:ind w:left="800"/>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938</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51" w:hRule="atLeast"/>
                    </w:trPr>
                    <w:tc>
                      <w:tcPr>
                        <w:tcW w:w="6208" w:type="dxa"/>
                        <w:gridSpan w:val="2"/>
                        <w:tcBorders>
                          <w:top w:val="dashed" w:color="CEE6ED" w:sz="2" w:space="0"/>
                          <w:bottom w:val="dashed" w:color="CEE6ED" w:sz="2" w:space="0"/>
                        </w:tcBorders>
                        <w:vAlign w:val="top"/>
                      </w:tcPr>
                      <w:p>
                        <w:pPr>
                          <w:spacing w:line="162" w:lineRule="auto"/>
                          <w:ind w:left="950"/>
                          <w:rPr>
                            <w:rFonts w:ascii="微软雅黑" w:hAnsi="微软雅黑" w:eastAsia="微软雅黑" w:cs="微软雅黑"/>
                            <w:sz w:val="14"/>
                            <w:szCs w:val="14"/>
                          </w:rPr>
                        </w:pPr>
                        <w:r>
                          <w:rPr>
                            <w:rFonts w:ascii="微软雅黑" w:hAnsi="微软雅黑" w:eastAsia="微软雅黑" w:cs="微软雅黑"/>
                            <w:color w:val="030303"/>
                            <w:spacing w:val="22"/>
                            <w:sz w:val="14"/>
                            <w:szCs w:val="14"/>
                          </w:rPr>
                          <w:t>8</w:t>
                        </w:r>
                        <w:r>
                          <w:rPr>
                            <w:rFonts w:ascii="微软雅黑" w:hAnsi="微软雅黑" w:eastAsia="微软雅黑" w:cs="微软雅黑"/>
                            <w:color w:val="030303"/>
                            <w:spacing w:val="20"/>
                            <w:sz w:val="14"/>
                            <w:szCs w:val="14"/>
                          </w:rPr>
                          <w:t>34</w:t>
                        </w:r>
                      </w:p>
                      <w:p>
                        <w:pPr>
                          <w:spacing w:line="180" w:lineRule="auto"/>
                          <w:ind w:left="2906"/>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12.5%</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77" w:hRule="atLeast"/>
                    </w:trPr>
                    <w:tc>
                      <w:tcPr>
                        <w:tcW w:w="6208" w:type="dxa"/>
                        <w:gridSpan w:val="2"/>
                        <w:tcBorders>
                          <w:top w:val="dashed" w:color="231F20" w:sz="2" w:space="0"/>
                        </w:tcBorders>
                        <w:vAlign w:val="top"/>
                      </w:tcPr>
                      <w:p>
                        <w:pPr>
                          <w:rPr>
                            <w:rFonts w:ascii="Arial"/>
                            <w:sz w:val="21"/>
                          </w:rPr>
                        </w:pPr>
                      </w:p>
                    </w:tc>
                  </w:tr>
                </w:tbl>
                <w:p>
                  <w:pPr>
                    <w:rPr>
                      <w:rFonts w:ascii="Arial"/>
                      <w:sz w:val="21"/>
                    </w:rPr>
                  </w:pPr>
                </w:p>
              </w:txbxContent>
            </v:textbox>
          </v:shape>
        </w:pict>
      </w:r>
      <w:r>
        <w:pict>
          <v:shape id="_x0000_s1166" o:spid="_x0000_s1166" style="position:absolute;left:0pt;margin-left:209.4pt;margin-top:298.55pt;height:73.5pt;width:204.85pt;mso-position-horizontal-relative:page;mso-position-vertical-relative:page;z-index:251799552;mso-width-relative:page;mso-height-relative:page;" filled="f" stroked="t" coordsize="4097,1470" o:allowincell="f" path="m22,1085l2048,1446m2048,1446l4073,22e">
            <v:fill on="f" focussize="0,0"/>
            <v:stroke weight="2.25pt" color="#86A9CB" miterlimit="10" endcap="round"/>
            <v:imagedata o:title=""/>
            <o:lock v:ext="edit"/>
          </v:shape>
        </w:pict>
      </w:r>
      <w:r>
        <w:pict>
          <v:shape id="_x0000_s1167" o:spid="_x0000_s1167" o:spt="202" type="#_x0000_t202" style="position:absolute;left:0pt;margin-left:469pt;margin-top:267.8pt;height:14.05pt;width:17.1pt;mso-position-horizontal-relative:page;mso-position-vertical-relative:page;z-index:251796480;mso-width-relative:page;mso-height-relative:page;" filled="f" stroked="f" coordsize="21600,21600" o:allowincell="f">
            <v:path/>
            <v:fill on="f" focussize="0,0"/>
            <v:stroke on="f"/>
            <v:imagedata o:title=""/>
            <o:lock v:ext="edit" aspectratio="f"/>
            <v:textbox inset="0mm,0mm,0mm,0mm">
              <w:txbxContent>
                <w:p>
                  <w:pPr>
                    <w:spacing w:before="20" w:line="240" w:lineRule="exact"/>
                    <w:ind w:left="20"/>
                    <w:rPr>
                      <w:rFonts w:ascii="Calibri" w:hAnsi="Calibri" w:eastAsia="Calibri" w:cs="Calibri"/>
                      <w:sz w:val="17"/>
                      <w:szCs w:val="17"/>
                    </w:rPr>
                  </w:pPr>
                  <w:r>
                    <w:rPr>
                      <w:rFonts w:ascii="Calibri" w:hAnsi="Calibri" w:eastAsia="Calibri" w:cs="Calibri"/>
                      <w:color w:val="030303"/>
                      <w:spacing w:val="3"/>
                      <w:position w:val="2"/>
                      <w:sz w:val="17"/>
                      <w:szCs w:val="17"/>
                    </w:rPr>
                    <w:t>3</w:t>
                  </w:r>
                  <w:r>
                    <w:rPr>
                      <w:rFonts w:ascii="Calibri" w:hAnsi="Calibri" w:eastAsia="Calibri" w:cs="Calibri"/>
                      <w:color w:val="030303"/>
                      <w:spacing w:val="2"/>
                      <w:position w:val="2"/>
                      <w:sz w:val="17"/>
                      <w:szCs w:val="17"/>
                    </w:rPr>
                    <w:t>0%</w:t>
                  </w:r>
                </w:p>
              </w:txbxContent>
            </v:textbox>
          </v:shape>
        </w:pict>
      </w:r>
      <w:r>
        <w:drawing>
          <wp:anchor distT="0" distB="0" distL="0" distR="0" simplePos="0" relativeHeight="25179545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5"/>
        <w:rPr>
          <w:rFonts w:ascii="Arial" w:hAnsi="Arial" w:eastAsia="Arial" w:cs="Arial"/>
          <w:sz w:val="20"/>
          <w:szCs w:val="20"/>
        </w:rPr>
      </w:pPr>
      <w:bookmarkStart w:id="10" w:name="_bookmark12"/>
      <w:bookmarkEnd w:id="10"/>
      <w:r>
        <w:rPr>
          <w:rFonts w:ascii="SimHei" w:hAnsi="SimHei" w:eastAsia="SimHei" w:cs="SimHei"/>
          <w:color w:val="1A67B3"/>
          <w:spacing w:val="41"/>
          <w:position w:val="1"/>
          <w:sz w:val="21"/>
          <w:szCs w:val="21"/>
          <w14:textOutline w14:w="3175" w14:cap="flat" w14:cmpd="sng">
            <w14:solidFill>
              <w14:srgbClr w14:val="1A67B3"/>
            </w14:solidFill>
            <w14:prstDash w14:val="solid"/>
            <w14:miter w14:val="0"/>
          </w14:textOutline>
        </w:rPr>
        <w:t>综</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合篇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13</w:t>
      </w: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71" w:line="217"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重点外资项目支</w:t>
      </w:r>
      <w:r>
        <w:rPr>
          <w:rFonts w:ascii="KaiTi" w:hAnsi="KaiTi" w:eastAsia="KaiTi" w:cs="KaiTi"/>
          <w:color w:val="015DAC"/>
          <w:sz w:val="22"/>
          <w:szCs w:val="22"/>
        </w:rPr>
        <w:t>撑作用凸显</w:t>
      </w:r>
    </w:p>
    <w:p>
      <w:pPr>
        <w:spacing w:line="262" w:lineRule="auto"/>
        <w:rPr>
          <w:rFonts w:ascii="Arial"/>
          <w:sz w:val="21"/>
        </w:rPr>
      </w:pPr>
    </w:p>
    <w:p>
      <w:pPr>
        <w:spacing w:before="95" w:line="261" w:lineRule="auto"/>
        <w:ind w:left="1989" w:right="1915" w:firstLine="464"/>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 xml:space="preserve">近年来 ，外资大项目保持较快增长速度 ，新设或增资合同外资 </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亿</w:t>
      </w:r>
      <w:r>
        <w:rPr>
          <w:rFonts w:ascii="微软雅黑" w:hAnsi="微软雅黑" w:eastAsia="微软雅黑" w:cs="微软雅黑"/>
          <w:color w:val="231F20"/>
          <w:sz w:val="22"/>
          <w:szCs w:val="22"/>
        </w:rPr>
        <w:t xml:space="preserve">美元以上大项 </w:t>
      </w:r>
      <w:r>
        <w:rPr>
          <w:rFonts w:ascii="微软雅黑" w:hAnsi="微软雅黑" w:eastAsia="微软雅黑" w:cs="微软雅黑"/>
          <w:color w:val="231F20"/>
          <w:spacing w:val="-4"/>
          <w:sz w:val="22"/>
          <w:szCs w:val="22"/>
        </w:rPr>
        <w:t xml:space="preserve">目数量从 </w:t>
      </w:r>
      <w:r>
        <w:rPr>
          <w:rFonts w:ascii="Times New Roman" w:hAnsi="Times New Roman" w:eastAsia="Times New Roman" w:cs="Times New Roman"/>
          <w:color w:val="231F20"/>
          <w:spacing w:val="-4"/>
          <w:sz w:val="22"/>
          <w:szCs w:val="22"/>
        </w:rPr>
        <w:t>2019</w:t>
      </w:r>
      <w:r>
        <w:rPr>
          <w:rFonts w:ascii="微软雅黑" w:hAnsi="微软雅黑" w:eastAsia="微软雅黑" w:cs="微软雅黑"/>
          <w:color w:val="231F20"/>
          <w:spacing w:val="-4"/>
          <w:sz w:val="22"/>
          <w:szCs w:val="22"/>
        </w:rPr>
        <w:t>年</w:t>
      </w:r>
      <w:r>
        <w:rPr>
          <w:rFonts w:ascii="微软雅黑" w:hAnsi="微软雅黑" w:eastAsia="微软雅黑" w:cs="微软雅黑"/>
          <w:color w:val="231F20"/>
          <w:spacing w:val="-2"/>
          <w:sz w:val="22"/>
          <w:szCs w:val="22"/>
        </w:rPr>
        <w:t xml:space="preserve">的 </w:t>
      </w:r>
      <w:r>
        <w:rPr>
          <w:rFonts w:ascii="Times New Roman" w:hAnsi="Times New Roman" w:eastAsia="Times New Roman" w:cs="Times New Roman"/>
          <w:color w:val="231F20"/>
          <w:spacing w:val="-2"/>
          <w:sz w:val="22"/>
          <w:szCs w:val="22"/>
        </w:rPr>
        <w:t xml:space="preserve">834 </w:t>
      </w:r>
      <w:r>
        <w:rPr>
          <w:rFonts w:ascii="微软雅黑" w:hAnsi="微软雅黑" w:eastAsia="微软雅黑" w:cs="微软雅黑"/>
          <w:color w:val="231F20"/>
          <w:spacing w:val="-2"/>
          <w:sz w:val="22"/>
          <w:szCs w:val="22"/>
        </w:rPr>
        <w:t xml:space="preserve">个增长到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年的 </w:t>
      </w:r>
      <w:r>
        <w:rPr>
          <w:rFonts w:ascii="Times New Roman" w:hAnsi="Times New Roman" w:eastAsia="Times New Roman" w:cs="Times New Roman"/>
          <w:color w:val="231F20"/>
          <w:spacing w:val="-2"/>
          <w:sz w:val="22"/>
          <w:szCs w:val="22"/>
        </w:rPr>
        <w:t xml:space="preserve">1177 </w:t>
      </w:r>
      <w:r>
        <w:rPr>
          <w:rFonts w:ascii="微软雅黑" w:hAnsi="微软雅黑" w:eastAsia="微软雅黑" w:cs="微软雅黑"/>
          <w:color w:val="231F20"/>
          <w:spacing w:val="-2"/>
          <w:sz w:val="22"/>
          <w:szCs w:val="22"/>
        </w:rPr>
        <w:t xml:space="preserve">个，连续三年保持 </w:t>
      </w:r>
      <w:r>
        <w:rPr>
          <w:rFonts w:ascii="Times New Roman" w:hAnsi="Times New Roman" w:eastAsia="Times New Roman" w:cs="Times New Roman"/>
          <w:color w:val="231F20"/>
          <w:spacing w:val="-2"/>
          <w:sz w:val="22"/>
          <w:szCs w:val="22"/>
        </w:rPr>
        <w:t xml:space="preserve">2 </w:t>
      </w:r>
      <w:r>
        <w:rPr>
          <w:rFonts w:ascii="微软雅黑" w:hAnsi="微软雅黑" w:eastAsia="微软雅黑" w:cs="微软雅黑"/>
          <w:color w:val="231F20"/>
          <w:spacing w:val="-2"/>
          <w:sz w:val="22"/>
          <w:szCs w:val="22"/>
        </w:rPr>
        <w:t>位数增长。其中，</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2"/>
          <w:sz w:val="22"/>
          <w:szCs w:val="22"/>
        </w:rPr>
        <w:t>2021</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 xml:space="preserve">年合同外资 </w:t>
      </w:r>
      <w:r>
        <w:rPr>
          <w:rFonts w:ascii="Times New Roman" w:hAnsi="Times New Roman" w:eastAsia="Times New Roman" w:cs="Times New Roman"/>
          <w:color w:val="231F20"/>
          <w:spacing w:val="-1"/>
          <w:sz w:val="22"/>
          <w:szCs w:val="22"/>
        </w:rPr>
        <w:t xml:space="preserve">5000 </w:t>
      </w:r>
      <w:r>
        <w:rPr>
          <w:rFonts w:ascii="微软雅黑" w:hAnsi="微软雅黑" w:eastAsia="微软雅黑" w:cs="微软雅黑"/>
          <w:color w:val="231F20"/>
          <w:spacing w:val="-1"/>
          <w:sz w:val="22"/>
          <w:szCs w:val="22"/>
        </w:rPr>
        <w:t>万美元、</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 xml:space="preserve">亿美元以上的大项目数量分别增长 </w:t>
      </w:r>
      <w:r>
        <w:rPr>
          <w:rFonts w:ascii="Times New Roman" w:hAnsi="Times New Roman" w:eastAsia="Times New Roman" w:cs="Times New Roman"/>
          <w:color w:val="231F20"/>
          <w:spacing w:val="-1"/>
          <w:sz w:val="22"/>
          <w:szCs w:val="22"/>
        </w:rPr>
        <w:t xml:space="preserve">26. 1% </w:t>
      </w:r>
      <w:r>
        <w:rPr>
          <w:rFonts w:ascii="微软雅黑" w:hAnsi="微软雅黑" w:eastAsia="微软雅黑" w:cs="微软雅黑"/>
          <w:color w:val="231F20"/>
          <w:spacing w:val="-1"/>
          <w:sz w:val="22"/>
          <w:szCs w:val="22"/>
        </w:rPr>
        <w:t xml:space="preserve">和 </w:t>
      </w:r>
      <w:r>
        <w:rPr>
          <w:rFonts w:ascii="Times New Roman" w:hAnsi="Times New Roman" w:eastAsia="Times New Roman" w:cs="Times New Roman"/>
          <w:color w:val="231F20"/>
          <w:spacing w:val="-1"/>
          <w:sz w:val="22"/>
          <w:szCs w:val="22"/>
        </w:rPr>
        <w:t xml:space="preserve">25.5% </w:t>
      </w:r>
      <w:r>
        <w:rPr>
          <w:rFonts w:ascii="微软雅黑" w:hAnsi="微软雅黑" w:eastAsia="微软雅黑" w:cs="微软雅黑"/>
          <w:color w:val="231F20"/>
          <w:spacing w:val="-1"/>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对保持外资稳步增长起到了重要</w:t>
      </w:r>
      <w:r>
        <w:rPr>
          <w:rFonts w:ascii="微软雅黑" w:hAnsi="微软雅黑" w:eastAsia="微软雅黑" w:cs="微软雅黑"/>
          <w:color w:val="231F20"/>
          <w:sz w:val="22"/>
          <w:szCs w:val="22"/>
        </w:rPr>
        <w:t>支撑作用。</w:t>
      </w:r>
    </w:p>
    <w:p>
      <w:pPr>
        <w:spacing w:line="394" w:lineRule="auto"/>
        <w:rPr>
          <w:rFonts w:ascii="Arial"/>
          <w:sz w:val="21"/>
        </w:rPr>
      </w:pPr>
    </w:p>
    <w:p>
      <w:pPr>
        <w:spacing w:before="55" w:line="240" w:lineRule="exact"/>
        <w:ind w:left="2763"/>
        <w:rPr>
          <w:rFonts w:ascii="Arial" w:hAnsi="Arial" w:eastAsia="Arial" w:cs="Arial"/>
          <w:sz w:val="17"/>
          <w:szCs w:val="17"/>
        </w:rPr>
      </w:pPr>
      <w:r>
        <w:rPr>
          <w:rFonts w:ascii="宋体" w:hAnsi="宋体" w:eastAsia="宋体" w:cs="宋体"/>
          <w:color w:val="030303"/>
          <w:spacing w:val="1"/>
          <w:position w:val="1"/>
          <w:sz w:val="17"/>
          <w:szCs w:val="17"/>
        </w:rPr>
        <w:t xml:space="preserve">个   </w:t>
      </w:r>
      <w:r>
        <w:rPr>
          <w:rFonts w:ascii="宋体" w:hAnsi="宋体" w:eastAsia="宋体" w:cs="宋体"/>
          <w:color w:val="030303"/>
          <w:position w:val="1"/>
          <w:sz w:val="17"/>
          <w:szCs w:val="17"/>
        </w:rPr>
        <w:t xml:space="preserve">                                                                         </w:t>
      </w:r>
      <w:r>
        <w:rPr>
          <w:rFonts w:ascii="Arial" w:hAnsi="Arial" w:eastAsia="Arial" w:cs="Arial"/>
          <w:color w:val="231F20"/>
          <w:position w:val="2"/>
          <w:sz w:val="17"/>
          <w:szCs w:val="17"/>
        </w:rPr>
        <w:t>%</w:t>
      </w:r>
    </w:p>
    <w:p>
      <w:pPr>
        <w:spacing w:line="90" w:lineRule="exact"/>
      </w:pPr>
    </w:p>
    <w:p>
      <w:pPr>
        <w:sectPr>
          <w:pgSz w:w="12246" w:h="16498"/>
          <w:pgMar w:top="400" w:right="0" w:bottom="400" w:left="0" w:header="0" w:footer="0" w:gutter="0"/>
          <w:cols w:equalWidth="0" w:num="1">
            <w:col w:w="12246"/>
          </w:cols>
        </w:sectPr>
      </w:pPr>
    </w:p>
    <w:p>
      <w:pPr>
        <w:spacing w:before="80" w:line="186" w:lineRule="auto"/>
        <w:jc w:val="right"/>
        <w:rPr>
          <w:rFonts w:ascii="Calibri" w:hAnsi="Calibri" w:eastAsia="Calibri" w:cs="Calibri"/>
          <w:sz w:val="17"/>
          <w:szCs w:val="17"/>
        </w:rPr>
      </w:pPr>
      <w:r>
        <w:rPr>
          <w:rFonts w:ascii="Calibri" w:hAnsi="Calibri" w:eastAsia="Calibri" w:cs="Calibri"/>
          <w:color w:val="030303"/>
          <w:spacing w:val="1"/>
          <w:sz w:val="17"/>
          <w:szCs w:val="17"/>
        </w:rPr>
        <w:t>120</w:t>
      </w:r>
      <w:r>
        <w:rPr>
          <w:rFonts w:ascii="Calibri" w:hAnsi="Calibri" w:eastAsia="Calibri" w:cs="Calibri"/>
          <w:color w:val="030303"/>
          <w:sz w:val="17"/>
          <w:szCs w:val="17"/>
        </w:rPr>
        <w:t>0</w:t>
      </w:r>
    </w:p>
    <w:p>
      <w:pPr>
        <w:spacing w:line="241" w:lineRule="auto"/>
        <w:rPr>
          <w:rFonts w:ascii="Arial"/>
          <w:sz w:val="21"/>
        </w:rPr>
      </w:pPr>
    </w:p>
    <w:p>
      <w:pPr>
        <w:spacing w:before="52" w:line="186" w:lineRule="auto"/>
        <w:jc w:val="right"/>
        <w:rPr>
          <w:rFonts w:ascii="Calibri" w:hAnsi="Calibri" w:eastAsia="Calibri" w:cs="Calibri"/>
          <w:sz w:val="17"/>
          <w:szCs w:val="17"/>
        </w:rPr>
      </w:pPr>
      <w:r>
        <w:rPr>
          <w:rFonts w:ascii="Calibri" w:hAnsi="Calibri" w:eastAsia="Calibri" w:cs="Calibri"/>
          <w:color w:val="030303"/>
          <w:spacing w:val="1"/>
          <w:sz w:val="17"/>
          <w:szCs w:val="17"/>
        </w:rPr>
        <w:t>100</w:t>
      </w:r>
      <w:r>
        <w:rPr>
          <w:rFonts w:ascii="Calibri" w:hAnsi="Calibri" w:eastAsia="Calibri" w:cs="Calibri"/>
          <w:color w:val="030303"/>
          <w:sz w:val="17"/>
          <w:szCs w:val="17"/>
        </w:rPr>
        <w:t>0</w:t>
      </w:r>
    </w:p>
    <w:p>
      <w:pPr>
        <w:spacing w:line="242" w:lineRule="auto"/>
        <w:rPr>
          <w:rFonts w:ascii="Arial"/>
          <w:sz w:val="21"/>
        </w:rPr>
      </w:pPr>
    </w:p>
    <w:p>
      <w:pPr>
        <w:spacing w:before="52" w:line="186" w:lineRule="auto"/>
        <w:jc w:val="right"/>
        <w:rPr>
          <w:rFonts w:ascii="Calibri" w:hAnsi="Calibri" w:eastAsia="Calibri" w:cs="Calibri"/>
          <w:sz w:val="17"/>
          <w:szCs w:val="17"/>
        </w:rPr>
      </w:pPr>
      <w:r>
        <w:rPr>
          <w:rFonts w:ascii="Calibri" w:hAnsi="Calibri" w:eastAsia="Calibri" w:cs="Calibri"/>
          <w:color w:val="030303"/>
          <w:spacing w:val="3"/>
          <w:sz w:val="17"/>
          <w:szCs w:val="17"/>
        </w:rPr>
        <w:t>8</w:t>
      </w:r>
      <w:r>
        <w:rPr>
          <w:rFonts w:ascii="Calibri" w:hAnsi="Calibri" w:eastAsia="Calibri" w:cs="Calibri"/>
          <w:color w:val="030303"/>
          <w:spacing w:val="2"/>
          <w:sz w:val="17"/>
          <w:szCs w:val="17"/>
        </w:rPr>
        <w:t>00</w:t>
      </w:r>
    </w:p>
    <w:p>
      <w:pPr>
        <w:spacing w:line="242" w:lineRule="auto"/>
        <w:rPr>
          <w:rFonts w:ascii="Arial"/>
          <w:sz w:val="21"/>
        </w:rPr>
      </w:pPr>
    </w:p>
    <w:p>
      <w:pPr>
        <w:spacing w:before="52" w:line="186" w:lineRule="auto"/>
        <w:jc w:val="right"/>
        <w:rPr>
          <w:rFonts w:ascii="Calibri" w:hAnsi="Calibri" w:eastAsia="Calibri" w:cs="Calibri"/>
          <w:sz w:val="17"/>
          <w:szCs w:val="17"/>
        </w:rPr>
      </w:pPr>
      <w:r>
        <w:rPr>
          <w:rFonts w:ascii="Calibri" w:hAnsi="Calibri" w:eastAsia="Calibri" w:cs="Calibri"/>
          <w:color w:val="030303"/>
          <w:spacing w:val="2"/>
          <w:sz w:val="17"/>
          <w:szCs w:val="17"/>
        </w:rPr>
        <w:t>60</w:t>
      </w:r>
      <w:r>
        <w:rPr>
          <w:rFonts w:ascii="Calibri" w:hAnsi="Calibri" w:eastAsia="Calibri" w:cs="Calibri"/>
          <w:color w:val="030303"/>
          <w:spacing w:val="1"/>
          <w:sz w:val="17"/>
          <w:szCs w:val="17"/>
        </w:rPr>
        <w:t>0</w:t>
      </w:r>
    </w:p>
    <w:p>
      <w:pPr>
        <w:spacing w:line="242" w:lineRule="auto"/>
        <w:rPr>
          <w:rFonts w:ascii="Arial"/>
          <w:sz w:val="21"/>
        </w:rPr>
      </w:pPr>
    </w:p>
    <w:p>
      <w:pPr>
        <w:spacing w:before="52" w:line="186" w:lineRule="auto"/>
        <w:jc w:val="right"/>
        <w:rPr>
          <w:rFonts w:ascii="Calibri" w:hAnsi="Calibri" w:eastAsia="Calibri" w:cs="Calibri"/>
          <w:sz w:val="17"/>
          <w:szCs w:val="17"/>
        </w:rPr>
      </w:pPr>
      <w:r>
        <w:rPr>
          <w:rFonts w:ascii="Calibri" w:hAnsi="Calibri" w:eastAsia="Calibri" w:cs="Calibri"/>
          <w:color w:val="030303"/>
          <w:spacing w:val="4"/>
          <w:sz w:val="17"/>
          <w:szCs w:val="17"/>
        </w:rPr>
        <w:t>4</w:t>
      </w:r>
      <w:r>
        <w:rPr>
          <w:rFonts w:ascii="Calibri" w:hAnsi="Calibri" w:eastAsia="Calibri" w:cs="Calibri"/>
          <w:color w:val="030303"/>
          <w:spacing w:val="3"/>
          <w:sz w:val="17"/>
          <w:szCs w:val="17"/>
        </w:rPr>
        <w:t>00</w:t>
      </w:r>
    </w:p>
    <w:p>
      <w:pPr>
        <w:spacing w:line="242" w:lineRule="auto"/>
        <w:rPr>
          <w:rFonts w:ascii="Arial"/>
          <w:sz w:val="21"/>
        </w:rPr>
      </w:pPr>
    </w:p>
    <w:p>
      <w:pPr>
        <w:spacing w:before="53" w:line="186" w:lineRule="auto"/>
        <w:jc w:val="right"/>
        <w:rPr>
          <w:rFonts w:ascii="Calibri" w:hAnsi="Calibri" w:eastAsia="Calibri" w:cs="Calibri"/>
          <w:sz w:val="17"/>
          <w:szCs w:val="17"/>
        </w:rPr>
      </w:pPr>
      <w:r>
        <w:rPr>
          <w:rFonts w:ascii="Calibri" w:hAnsi="Calibri" w:eastAsia="Calibri" w:cs="Calibri"/>
          <w:color w:val="030303"/>
          <w:spacing w:val="2"/>
          <w:sz w:val="17"/>
          <w:szCs w:val="17"/>
        </w:rPr>
        <w:t>2</w:t>
      </w:r>
      <w:r>
        <w:rPr>
          <w:rFonts w:ascii="Calibri" w:hAnsi="Calibri" w:eastAsia="Calibri" w:cs="Calibri"/>
          <w:color w:val="030303"/>
          <w:spacing w:val="1"/>
          <w:sz w:val="17"/>
          <w:szCs w:val="17"/>
        </w:rPr>
        <w:t>00</w:t>
      </w:r>
    </w:p>
    <w:p>
      <w:pPr>
        <w:spacing w:line="242" w:lineRule="auto"/>
        <w:rPr>
          <w:rFonts w:ascii="Arial"/>
          <w:sz w:val="21"/>
        </w:rPr>
      </w:pPr>
    </w:p>
    <w:p>
      <w:pPr>
        <w:spacing w:before="52" w:line="186" w:lineRule="auto"/>
        <w:jc w:val="right"/>
        <w:rPr>
          <w:rFonts w:ascii="Calibri" w:hAnsi="Calibri" w:eastAsia="Calibri" w:cs="Calibri"/>
          <w:sz w:val="17"/>
          <w:szCs w:val="17"/>
        </w:rPr>
      </w:pPr>
      <w:r>
        <w:rPr>
          <w:rFonts w:ascii="Calibri" w:hAnsi="Calibri" w:eastAsia="Calibri" w:cs="Calibri"/>
          <w:color w:val="030303"/>
          <w:spacing w:val="-2"/>
          <w:sz w:val="17"/>
          <w:szCs w:val="17"/>
        </w:rPr>
        <w:t>0</w:t>
      </w:r>
    </w:p>
    <w:p>
      <w:pPr>
        <w:spacing w:line="14" w:lineRule="auto"/>
        <w:rPr>
          <w:rFonts w:ascii="Arial"/>
          <w:sz w:val="2"/>
        </w:rPr>
      </w:pPr>
      <w:r>
        <w:rPr>
          <w:rFonts w:ascii="Arial" w:hAnsi="Arial" w:eastAsia="Arial" w:cs="Arial"/>
          <w:sz w:val="2"/>
          <w:szCs w:val="2"/>
        </w:rPr>
        <w:br w:type="column"/>
      </w:r>
    </w:p>
    <w:p>
      <w:pPr>
        <w:spacing w:line="14" w:lineRule="auto"/>
        <w:rPr>
          <w:rFonts w:ascii="Arial"/>
          <w:sz w:val="2"/>
        </w:rPr>
      </w:pPr>
      <w:r>
        <w:rPr>
          <w:rFonts w:ascii="Arial" w:hAnsi="Arial" w:eastAsia="Arial" w:cs="Arial"/>
          <w:sz w:val="2"/>
          <w:szCs w:val="2"/>
        </w:rPr>
        <w:br w:type="column"/>
      </w:r>
    </w:p>
    <w:p>
      <w:pPr>
        <w:spacing w:line="250" w:lineRule="auto"/>
        <w:rPr>
          <w:rFonts w:ascii="Arial"/>
          <w:sz w:val="21"/>
        </w:rPr>
      </w:pPr>
    </w:p>
    <w:p>
      <w:pPr>
        <w:spacing w:line="251" w:lineRule="auto"/>
        <w:rPr>
          <w:rFonts w:ascii="Arial"/>
          <w:sz w:val="21"/>
        </w:rPr>
      </w:pPr>
    </w:p>
    <w:p>
      <w:pPr>
        <w:spacing w:before="52" w:line="241" w:lineRule="exact"/>
        <w:ind w:left="1"/>
        <w:rPr>
          <w:rFonts w:ascii="Calibri" w:hAnsi="Calibri" w:eastAsia="Calibri" w:cs="Calibri"/>
          <w:sz w:val="17"/>
          <w:szCs w:val="17"/>
        </w:rPr>
      </w:pPr>
      <w:r>
        <w:rPr>
          <w:rFonts w:ascii="Calibri" w:hAnsi="Calibri" w:eastAsia="Calibri" w:cs="Calibri"/>
          <w:color w:val="030303"/>
          <w:spacing w:val="2"/>
          <w:position w:val="2"/>
          <w:sz w:val="17"/>
          <w:szCs w:val="17"/>
        </w:rPr>
        <w:t>25%</w:t>
      </w:r>
    </w:p>
    <w:p>
      <w:pPr>
        <w:spacing w:line="253" w:lineRule="auto"/>
        <w:rPr>
          <w:rFonts w:ascii="Arial"/>
          <w:sz w:val="21"/>
        </w:rPr>
      </w:pPr>
    </w:p>
    <w:p>
      <w:pPr>
        <w:spacing w:before="52" w:line="241" w:lineRule="exact"/>
        <w:ind w:left="1"/>
        <w:rPr>
          <w:rFonts w:ascii="Calibri" w:hAnsi="Calibri" w:eastAsia="Calibri" w:cs="Calibri"/>
          <w:sz w:val="17"/>
          <w:szCs w:val="17"/>
        </w:rPr>
      </w:pPr>
      <w:r>
        <w:rPr>
          <w:rFonts w:ascii="Calibri" w:hAnsi="Calibri" w:eastAsia="Calibri" w:cs="Calibri"/>
          <w:color w:val="030303"/>
          <w:spacing w:val="2"/>
          <w:position w:val="2"/>
          <w:sz w:val="17"/>
          <w:szCs w:val="17"/>
        </w:rPr>
        <w:t>20%</w:t>
      </w:r>
    </w:p>
    <w:p>
      <w:pPr>
        <w:spacing w:line="253" w:lineRule="auto"/>
        <w:rPr>
          <w:rFonts w:ascii="Arial"/>
          <w:sz w:val="21"/>
        </w:rPr>
      </w:pPr>
    </w:p>
    <w:p>
      <w:pPr>
        <w:spacing w:before="52" w:line="241" w:lineRule="exact"/>
        <w:ind w:left="6"/>
        <w:rPr>
          <w:rFonts w:ascii="Calibri" w:hAnsi="Calibri" w:eastAsia="Calibri" w:cs="Calibri"/>
          <w:sz w:val="17"/>
          <w:szCs w:val="17"/>
        </w:rPr>
      </w:pPr>
      <w:r>
        <w:rPr>
          <w:rFonts w:ascii="Calibri" w:hAnsi="Calibri" w:eastAsia="Calibri" w:cs="Calibri"/>
          <w:color w:val="030303"/>
          <w:spacing w:val="1"/>
          <w:position w:val="2"/>
          <w:sz w:val="17"/>
          <w:szCs w:val="17"/>
        </w:rPr>
        <w:t>1</w:t>
      </w:r>
      <w:r>
        <w:rPr>
          <w:rFonts w:ascii="Calibri" w:hAnsi="Calibri" w:eastAsia="Calibri" w:cs="Calibri"/>
          <w:color w:val="030303"/>
          <w:position w:val="2"/>
          <w:sz w:val="17"/>
          <w:szCs w:val="17"/>
        </w:rPr>
        <w:t>5%</w:t>
      </w:r>
    </w:p>
    <w:p>
      <w:pPr>
        <w:spacing w:line="254" w:lineRule="auto"/>
        <w:rPr>
          <w:rFonts w:ascii="Arial"/>
          <w:sz w:val="21"/>
        </w:rPr>
      </w:pPr>
    </w:p>
    <w:p>
      <w:pPr>
        <w:spacing w:before="52" w:line="241" w:lineRule="exact"/>
        <w:ind w:left="6"/>
        <w:rPr>
          <w:rFonts w:ascii="Calibri" w:hAnsi="Calibri" w:eastAsia="Calibri" w:cs="Calibri"/>
          <w:sz w:val="17"/>
          <w:szCs w:val="17"/>
        </w:rPr>
      </w:pPr>
      <w:r>
        <w:rPr>
          <w:rFonts w:ascii="Calibri" w:hAnsi="Calibri" w:eastAsia="Calibri" w:cs="Calibri"/>
          <w:color w:val="030303"/>
          <w:spacing w:val="1"/>
          <w:position w:val="2"/>
          <w:sz w:val="17"/>
          <w:szCs w:val="17"/>
        </w:rPr>
        <w:t>1</w:t>
      </w:r>
      <w:r>
        <w:rPr>
          <w:rFonts w:ascii="Calibri" w:hAnsi="Calibri" w:eastAsia="Calibri" w:cs="Calibri"/>
          <w:color w:val="030303"/>
          <w:position w:val="2"/>
          <w:sz w:val="17"/>
          <w:szCs w:val="17"/>
        </w:rPr>
        <w:t>0%</w:t>
      </w:r>
    </w:p>
    <w:p>
      <w:pPr>
        <w:spacing w:line="253" w:lineRule="auto"/>
        <w:rPr>
          <w:rFonts w:ascii="Arial"/>
          <w:sz w:val="21"/>
        </w:rPr>
      </w:pPr>
    </w:p>
    <w:p>
      <w:pPr>
        <w:spacing w:before="52" w:line="241" w:lineRule="exact"/>
        <w:rPr>
          <w:rFonts w:ascii="Calibri" w:hAnsi="Calibri" w:eastAsia="Calibri" w:cs="Calibri"/>
          <w:sz w:val="17"/>
          <w:szCs w:val="17"/>
        </w:rPr>
      </w:pPr>
      <w:r>
        <w:rPr>
          <w:rFonts w:ascii="Calibri" w:hAnsi="Calibri" w:eastAsia="Calibri" w:cs="Calibri"/>
          <w:color w:val="030303"/>
          <w:spacing w:val="2"/>
          <w:position w:val="2"/>
          <w:sz w:val="17"/>
          <w:szCs w:val="17"/>
        </w:rPr>
        <w:t>5</w:t>
      </w:r>
      <w:r>
        <w:rPr>
          <w:rFonts w:ascii="Calibri" w:hAnsi="Calibri" w:eastAsia="Calibri" w:cs="Calibri"/>
          <w:color w:val="030303"/>
          <w:spacing w:val="1"/>
          <w:position w:val="2"/>
          <w:sz w:val="17"/>
          <w:szCs w:val="17"/>
          <w:highlight w:val="white"/>
        </w:rPr>
        <w:t>%</w:t>
      </w:r>
    </w:p>
    <w:p>
      <w:pPr>
        <w:sectPr>
          <w:type w:val="continuous"/>
          <w:pgSz w:w="12246" w:h="16498"/>
          <w:pgMar w:top="400" w:right="0" w:bottom="400" w:left="0" w:header="0" w:footer="0" w:gutter="0"/>
          <w:cols w:equalWidth="0" w:num="3">
            <w:col w:w="3082" w:space="39"/>
            <w:col w:w="6225" w:space="54"/>
            <w:col w:w="2845"/>
          </w:cols>
        </w:sectPr>
      </w:pPr>
    </w:p>
    <w:p>
      <w:pPr>
        <w:spacing w:line="31" w:lineRule="exact"/>
      </w:pPr>
    </w:p>
    <w:p>
      <w:pPr>
        <w:sectPr>
          <w:type w:val="continuous"/>
          <w:pgSz w:w="12246" w:h="16498"/>
          <w:pgMar w:top="400" w:right="0" w:bottom="400" w:left="0" w:header="0" w:footer="0" w:gutter="0"/>
          <w:cols w:equalWidth="0" w:num="1">
            <w:col w:w="12246"/>
          </w:cols>
        </w:sectPr>
      </w:pPr>
    </w:p>
    <w:p>
      <w:pPr>
        <w:spacing w:before="23" w:line="117" w:lineRule="exact"/>
        <w:ind w:left="4038"/>
        <w:rPr>
          <w:rFonts w:ascii="Calibri" w:hAnsi="Calibri" w:eastAsia="Calibri" w:cs="Calibri"/>
          <w:sz w:val="17"/>
          <w:szCs w:val="17"/>
        </w:rPr>
      </w:pPr>
      <w:r>
        <w:rPr>
          <w:rFonts w:ascii="Calibri" w:hAnsi="Calibri" w:eastAsia="Calibri" w:cs="Calibri"/>
          <w:color w:val="030303"/>
          <w:spacing w:val="3"/>
          <w:position w:val="-2"/>
          <w:sz w:val="17"/>
          <w:szCs w:val="17"/>
        </w:rPr>
        <w:t>2</w:t>
      </w:r>
      <w:r>
        <w:rPr>
          <w:rFonts w:ascii="Calibri" w:hAnsi="Calibri" w:eastAsia="Calibri" w:cs="Calibri"/>
          <w:color w:val="030303"/>
          <w:spacing w:val="2"/>
          <w:position w:val="-2"/>
          <w:sz w:val="17"/>
          <w:szCs w:val="17"/>
        </w:rPr>
        <w:t>019</w:t>
      </w:r>
    </w:p>
    <w:p>
      <w:pPr>
        <w:spacing w:line="14" w:lineRule="auto"/>
        <w:rPr>
          <w:rFonts w:ascii="Arial"/>
          <w:sz w:val="2"/>
        </w:rPr>
      </w:pPr>
      <w:r>
        <w:rPr>
          <w:rFonts w:ascii="Arial" w:hAnsi="Arial" w:eastAsia="Arial" w:cs="Arial"/>
          <w:sz w:val="2"/>
          <w:szCs w:val="2"/>
        </w:rPr>
        <w:br w:type="column"/>
      </w:r>
    </w:p>
    <w:p>
      <w:pPr>
        <w:spacing w:before="21" w:line="117" w:lineRule="exact"/>
        <w:rPr>
          <w:rFonts w:ascii="Calibri" w:hAnsi="Calibri" w:eastAsia="Calibri" w:cs="Calibri"/>
          <w:sz w:val="17"/>
          <w:szCs w:val="17"/>
        </w:rPr>
      </w:pPr>
      <w:r>
        <w:rPr>
          <w:rFonts w:ascii="Calibri" w:hAnsi="Calibri" w:eastAsia="Calibri" w:cs="Calibri"/>
          <w:color w:val="030303"/>
          <w:spacing w:val="3"/>
          <w:position w:val="-2"/>
          <w:sz w:val="17"/>
          <w:szCs w:val="17"/>
        </w:rPr>
        <w:t>2</w:t>
      </w:r>
      <w:r>
        <w:rPr>
          <w:rFonts w:ascii="Calibri" w:hAnsi="Calibri" w:eastAsia="Calibri" w:cs="Calibri"/>
          <w:color w:val="030303"/>
          <w:spacing w:val="2"/>
          <w:position w:val="-2"/>
          <w:sz w:val="17"/>
          <w:szCs w:val="17"/>
        </w:rPr>
        <w:t>020</w:t>
      </w:r>
    </w:p>
    <w:p>
      <w:pPr>
        <w:spacing w:line="14" w:lineRule="auto"/>
        <w:rPr>
          <w:rFonts w:ascii="Arial"/>
          <w:sz w:val="2"/>
        </w:rPr>
      </w:pPr>
      <w:r>
        <w:rPr>
          <w:rFonts w:ascii="Arial" w:hAnsi="Arial" w:eastAsia="Arial" w:cs="Arial"/>
          <w:sz w:val="2"/>
          <w:szCs w:val="2"/>
        </w:rPr>
        <w:br w:type="column"/>
      </w:r>
    </w:p>
    <w:p>
      <w:pPr>
        <w:spacing w:before="21" w:line="117" w:lineRule="exact"/>
        <w:rPr>
          <w:rFonts w:ascii="Calibri" w:hAnsi="Calibri" w:eastAsia="Calibri" w:cs="Calibri"/>
          <w:sz w:val="17"/>
          <w:szCs w:val="17"/>
        </w:rPr>
      </w:pPr>
      <w:r>
        <w:rPr>
          <w:rFonts w:ascii="Calibri" w:hAnsi="Calibri" w:eastAsia="Calibri" w:cs="Calibri"/>
          <w:color w:val="030303"/>
          <w:spacing w:val="3"/>
          <w:position w:val="-2"/>
          <w:sz w:val="17"/>
          <w:szCs w:val="17"/>
        </w:rPr>
        <w:t>2</w:t>
      </w:r>
      <w:r>
        <w:rPr>
          <w:rFonts w:ascii="Calibri" w:hAnsi="Calibri" w:eastAsia="Calibri" w:cs="Calibri"/>
          <w:color w:val="030303"/>
          <w:spacing w:val="2"/>
          <w:position w:val="-2"/>
          <w:sz w:val="17"/>
          <w:szCs w:val="17"/>
        </w:rPr>
        <w:t>021</w:t>
      </w:r>
    </w:p>
    <w:p>
      <w:pPr>
        <w:sectPr>
          <w:type w:val="continuous"/>
          <w:pgSz w:w="12246" w:h="16498"/>
          <w:pgMar w:top="400" w:right="0" w:bottom="400" w:left="0" w:header="0" w:footer="0" w:gutter="0"/>
          <w:cols w:equalWidth="0" w:num="3">
            <w:col w:w="5965" w:space="100"/>
            <w:col w:w="1926" w:space="100"/>
            <w:col w:w="4156"/>
          </w:cols>
        </w:sectPr>
      </w:pPr>
    </w:p>
    <w:p>
      <w:pPr>
        <w:spacing w:before="269" w:line="230" w:lineRule="auto"/>
        <w:ind w:left="4932"/>
        <w:rPr>
          <w:rFonts w:ascii="宋体" w:hAnsi="宋体" w:eastAsia="宋体" w:cs="宋体"/>
          <w:sz w:val="17"/>
          <w:szCs w:val="17"/>
        </w:rPr>
      </w:pPr>
      <w:r>
        <w:rPr>
          <w:rFonts w:ascii="宋体" w:hAnsi="宋体" w:eastAsia="宋体" w:cs="宋体"/>
          <w:color w:val="030303"/>
          <w:spacing w:val="2"/>
          <w:sz w:val="17"/>
          <w:szCs w:val="17"/>
        </w:rPr>
        <w:t xml:space="preserve">外资大项目数量 </w:t>
      </w:r>
      <w:r>
        <w:rPr>
          <w:sz w:val="17"/>
          <w:szCs w:val="17"/>
        </w:rPr>
        <w:drawing>
          <wp:inline distT="0" distB="0" distL="0" distR="0">
            <wp:extent cx="281940" cy="7302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71"/>
                    <a:stretch>
                      <a:fillRect/>
                    </a:stretch>
                  </pic:blipFill>
                  <pic:spPr>
                    <a:xfrm>
                      <a:off x="0" y="0"/>
                      <a:ext cx="282247" cy="73280"/>
                    </a:xfrm>
                    <a:prstGeom prst="rect">
                      <a:avLst/>
                    </a:prstGeom>
                  </pic:spPr>
                </pic:pic>
              </a:graphicData>
            </a:graphic>
          </wp:inline>
        </w:drawing>
      </w:r>
      <w:r>
        <w:rPr>
          <w:rFonts w:ascii="宋体" w:hAnsi="宋体" w:eastAsia="宋体" w:cs="宋体"/>
          <w:color w:val="030303"/>
          <w:spacing w:val="2"/>
          <w:sz w:val="17"/>
          <w:szCs w:val="17"/>
        </w:rPr>
        <w:t xml:space="preserve"> 外资大项目</w:t>
      </w:r>
      <w:r>
        <w:rPr>
          <w:rFonts w:ascii="宋体" w:hAnsi="宋体" w:eastAsia="宋体" w:cs="宋体"/>
          <w:color w:val="030303"/>
          <w:spacing w:val="1"/>
          <w:sz w:val="17"/>
          <w:szCs w:val="17"/>
        </w:rPr>
        <w:t>增</w:t>
      </w:r>
      <w:r>
        <w:rPr>
          <w:rFonts w:ascii="宋体" w:hAnsi="宋体" w:eastAsia="宋体" w:cs="宋体"/>
          <w:color w:val="030303"/>
          <w:sz w:val="17"/>
          <w:szCs w:val="17"/>
        </w:rPr>
        <w:t>速</w:t>
      </w:r>
    </w:p>
    <w:p>
      <w:pPr>
        <w:spacing w:line="321" w:lineRule="auto"/>
        <w:rPr>
          <w:rFonts w:ascii="Arial"/>
          <w:sz w:val="21"/>
        </w:rPr>
      </w:pPr>
    </w:p>
    <w:p>
      <w:pPr>
        <w:spacing w:before="66" w:line="382" w:lineRule="exact"/>
        <w:ind w:left="4337"/>
        <w:rPr>
          <w:rFonts w:ascii="SimHei" w:hAnsi="SimHei" w:eastAsia="SimHei" w:cs="SimHei"/>
          <w:sz w:val="20"/>
          <w:szCs w:val="20"/>
        </w:rPr>
      </w:pPr>
      <w:r>
        <w:rPr>
          <w:rFonts w:ascii="SimHei" w:hAnsi="SimHei" w:eastAsia="SimHei" w:cs="SimHei"/>
          <w:color w:val="231F20"/>
          <w:spacing w:val="4"/>
          <w:position w:val="13"/>
          <w:sz w:val="20"/>
          <w:szCs w:val="20"/>
        </w:rPr>
        <w:t xml:space="preserve">图 </w:t>
      </w:r>
      <w:r>
        <w:rPr>
          <w:rFonts w:ascii="Times New Roman" w:hAnsi="Times New Roman" w:eastAsia="Times New Roman" w:cs="Times New Roman"/>
          <w:color w:val="231F20"/>
          <w:spacing w:val="3"/>
          <w:position w:val="13"/>
          <w:sz w:val="20"/>
          <w:szCs w:val="20"/>
        </w:rPr>
        <w:t>1</w:t>
      </w:r>
      <w:r>
        <w:rPr>
          <w:rFonts w:ascii="Times New Roman" w:hAnsi="Times New Roman" w:eastAsia="Times New Roman" w:cs="Times New Roman"/>
          <w:color w:val="231F20"/>
          <w:spacing w:val="2"/>
          <w:position w:val="13"/>
          <w:sz w:val="20"/>
          <w:szCs w:val="20"/>
        </w:rPr>
        <w:t xml:space="preserve">-8 2019-2021 </w:t>
      </w:r>
      <w:r>
        <w:rPr>
          <w:rFonts w:ascii="SimHei" w:hAnsi="SimHei" w:eastAsia="SimHei" w:cs="SimHei"/>
          <w:color w:val="231F20"/>
          <w:spacing w:val="2"/>
          <w:position w:val="13"/>
          <w:sz w:val="20"/>
          <w:szCs w:val="20"/>
        </w:rPr>
        <w:t>年外资大项目数量情况</w:t>
      </w:r>
    </w:p>
    <w:p>
      <w:pPr>
        <w:spacing w:line="222" w:lineRule="auto"/>
        <w:ind w:left="1987"/>
        <w:rPr>
          <w:rFonts w:ascii="KaiTi" w:hAnsi="KaiTi" w:eastAsia="KaiTi" w:cs="KaiTi"/>
          <w:sz w:val="17"/>
          <w:szCs w:val="17"/>
        </w:rPr>
      </w:pPr>
      <w:r>
        <w:rPr>
          <w:rFonts w:ascii="KaiTi" w:hAnsi="KaiTi" w:eastAsia="KaiTi" w:cs="KaiTi"/>
          <w:color w:val="231F20"/>
          <w:spacing w:val="6"/>
          <w:sz w:val="17"/>
          <w:szCs w:val="17"/>
        </w:rPr>
        <w:t>数据来源：商务部外资统计。</w:t>
      </w:r>
    </w:p>
    <w:p>
      <w:pPr>
        <w:spacing w:line="277" w:lineRule="auto"/>
        <w:rPr>
          <w:rFonts w:ascii="Arial"/>
          <w:sz w:val="21"/>
        </w:rPr>
      </w:pPr>
    </w:p>
    <w:p>
      <w:pPr>
        <w:spacing w:line="277" w:lineRule="auto"/>
        <w:rPr>
          <w:rFonts w:ascii="Arial"/>
          <w:sz w:val="21"/>
        </w:rPr>
      </w:pPr>
    </w:p>
    <w:p>
      <w:pPr>
        <w:spacing w:before="72" w:line="214"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重要开</w:t>
      </w:r>
      <w:r>
        <w:rPr>
          <w:rFonts w:ascii="KaiTi" w:hAnsi="KaiTi" w:eastAsia="KaiTi" w:cs="KaiTi"/>
          <w:color w:val="015DAC"/>
          <w:sz w:val="22"/>
          <w:szCs w:val="22"/>
        </w:rPr>
        <w:t>放平台引资作用显著</w:t>
      </w:r>
    </w:p>
    <w:p>
      <w:pPr>
        <w:spacing w:before="257" w:line="244" w:lineRule="auto"/>
        <w:ind w:left="1990" w:right="1764" w:firstLine="452"/>
        <w:rPr>
          <w:rFonts w:ascii="微软雅黑" w:hAnsi="微软雅黑" w:eastAsia="微软雅黑" w:cs="微软雅黑"/>
          <w:sz w:val="22"/>
          <w:szCs w:val="22"/>
        </w:rPr>
      </w:pPr>
      <w:r>
        <w:rPr>
          <w:rFonts w:ascii="Times New Roman" w:hAnsi="Times New Roman" w:eastAsia="Times New Roman" w:cs="Times New Roman"/>
          <w:color w:val="231F20"/>
          <w:spacing w:val="-14"/>
          <w:sz w:val="22"/>
          <w:szCs w:val="22"/>
        </w:rPr>
        <w:t>20</w:t>
      </w:r>
      <w:r>
        <w:rPr>
          <w:rFonts w:ascii="Times New Roman" w:hAnsi="Times New Roman" w:eastAsia="Times New Roman" w:cs="Times New Roman"/>
          <w:color w:val="231F20"/>
          <w:spacing w:val="-10"/>
          <w:sz w:val="22"/>
          <w:szCs w:val="22"/>
        </w:rPr>
        <w:t>2</w:t>
      </w:r>
      <w:r>
        <w:rPr>
          <w:rFonts w:ascii="Times New Roman" w:hAnsi="Times New Roman" w:eastAsia="Times New Roman" w:cs="Times New Roman"/>
          <w:color w:val="231F20"/>
          <w:spacing w:val="-7"/>
          <w:sz w:val="22"/>
          <w:szCs w:val="22"/>
        </w:rPr>
        <w:t xml:space="preserve">1 </w:t>
      </w:r>
      <w:r>
        <w:rPr>
          <w:rFonts w:ascii="微软雅黑" w:hAnsi="微软雅黑" w:eastAsia="微软雅黑" w:cs="微软雅黑"/>
          <w:color w:val="231F20"/>
          <w:spacing w:val="-7"/>
          <w:sz w:val="22"/>
          <w:szCs w:val="22"/>
        </w:rPr>
        <w:t>年，   自由贸易试验区、  自 由贸易港、服务业扩大开放综合试点、国家级经济</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技术开发区等一批对外开放平台充分发挥政策叠加优势 ，在吸引外</w:t>
      </w:r>
      <w:r>
        <w:rPr>
          <w:rFonts w:ascii="微软雅黑" w:hAnsi="微软雅黑" w:eastAsia="微软雅黑" w:cs="微软雅黑"/>
          <w:color w:val="231F20"/>
          <w:spacing w:val="1"/>
          <w:sz w:val="22"/>
          <w:szCs w:val="22"/>
        </w:rPr>
        <w:t>资、稳住外资方面</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发挥了显著作用。</w:t>
      </w:r>
      <w:r>
        <w:rPr>
          <w:rFonts w:ascii="Times New Roman" w:hAnsi="Times New Roman" w:eastAsia="Times New Roman" w:cs="Times New Roman"/>
          <w:color w:val="231F20"/>
          <w:spacing w:val="1"/>
          <w:sz w:val="22"/>
          <w:szCs w:val="22"/>
        </w:rPr>
        <w:t xml:space="preserve">21 </w:t>
      </w:r>
      <w:r>
        <w:rPr>
          <w:rFonts w:ascii="微软雅黑" w:hAnsi="微软雅黑" w:eastAsia="微软雅黑" w:cs="微软雅黑"/>
          <w:color w:val="231F20"/>
          <w:spacing w:val="1"/>
          <w:sz w:val="22"/>
          <w:szCs w:val="22"/>
        </w:rPr>
        <w:t>个自由</w:t>
      </w:r>
      <w:r>
        <w:rPr>
          <w:rFonts w:ascii="微软雅黑" w:hAnsi="微软雅黑" w:eastAsia="微软雅黑" w:cs="微软雅黑"/>
          <w:color w:val="231F20"/>
          <w:sz w:val="22"/>
          <w:szCs w:val="22"/>
        </w:rPr>
        <w:t xml:space="preserve">贸易试验区以不到全国千分之四的国土面积 ，实现了占全   </w:t>
      </w:r>
      <w:r>
        <w:rPr>
          <w:rFonts w:ascii="微软雅黑" w:hAnsi="微软雅黑" w:eastAsia="微软雅黑" w:cs="微软雅黑"/>
          <w:color w:val="231F20"/>
          <w:spacing w:val="1"/>
          <w:sz w:val="22"/>
          <w:szCs w:val="22"/>
        </w:rPr>
        <w:t xml:space="preserve">国 </w:t>
      </w:r>
      <w:r>
        <w:rPr>
          <w:rFonts w:ascii="Times New Roman" w:hAnsi="Times New Roman" w:eastAsia="Times New Roman" w:cs="Times New Roman"/>
          <w:color w:val="231F20"/>
          <w:spacing w:val="1"/>
          <w:sz w:val="22"/>
          <w:szCs w:val="22"/>
        </w:rPr>
        <w:t xml:space="preserve">18.6% </w:t>
      </w:r>
      <w:r>
        <w:rPr>
          <w:rFonts w:ascii="微软雅黑" w:hAnsi="微软雅黑" w:eastAsia="微软雅黑" w:cs="微软雅黑"/>
          <w:color w:val="231F20"/>
          <w:spacing w:val="1"/>
          <w:sz w:val="22"/>
          <w:szCs w:val="22"/>
        </w:rPr>
        <w:t>的外商投资 ，为稳外资做了积极贡献。海南自由贸易港在外商投</w:t>
      </w:r>
      <w:r>
        <w:rPr>
          <w:rFonts w:ascii="微软雅黑" w:hAnsi="微软雅黑" w:eastAsia="微软雅黑" w:cs="微软雅黑"/>
          <w:color w:val="231F20"/>
          <w:sz w:val="22"/>
          <w:szCs w:val="22"/>
        </w:rPr>
        <w:t xml:space="preserve">资准入负面   </w:t>
      </w:r>
      <w:r>
        <w:rPr>
          <w:rFonts w:ascii="微软雅黑" w:hAnsi="微软雅黑" w:eastAsia="微软雅黑" w:cs="微软雅黑"/>
          <w:color w:val="231F20"/>
          <w:spacing w:val="2"/>
          <w:sz w:val="22"/>
          <w:szCs w:val="22"/>
        </w:rPr>
        <w:t>清单、</w:t>
      </w:r>
      <w:r>
        <w:rPr>
          <w:rFonts w:ascii="微软雅黑" w:hAnsi="微软雅黑" w:eastAsia="微软雅黑" w:cs="微软雅黑"/>
          <w:color w:val="231F20"/>
          <w:spacing w:val="1"/>
          <w:sz w:val="22"/>
          <w:szCs w:val="22"/>
        </w:rPr>
        <w:t>跨境服务贸易负面清单等利好政策落地实施的驱动下，外商投资实现快速增长。</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服务业扩</w:t>
      </w:r>
      <w:r>
        <w:rPr>
          <w:rFonts w:ascii="微软雅黑" w:hAnsi="微软雅黑" w:eastAsia="微软雅黑" w:cs="微软雅黑"/>
          <w:color w:val="231F20"/>
          <w:sz w:val="22"/>
          <w:szCs w:val="22"/>
        </w:rPr>
        <w:t xml:space="preserve">大开放创新探索 </w:t>
      </w:r>
      <w:r>
        <w:rPr>
          <w:rFonts w:ascii="Times New Roman" w:hAnsi="Times New Roman" w:eastAsia="Times New Roman" w:cs="Times New Roman"/>
          <w:color w:val="231F20"/>
          <w:sz w:val="22"/>
          <w:szCs w:val="22"/>
        </w:rPr>
        <w:t xml:space="preserve">7 </w:t>
      </w:r>
      <w:r>
        <w:rPr>
          <w:rFonts w:ascii="微软雅黑" w:hAnsi="微软雅黑" w:eastAsia="微软雅黑" w:cs="微软雅黑"/>
          <w:color w:val="231F20"/>
          <w:sz w:val="22"/>
          <w:szCs w:val="22"/>
        </w:rPr>
        <w:t>年之后迎来扩围，形成了京、津、沪、琼、渝等省市“</w:t>
      </w:r>
      <w:r>
        <w:rPr>
          <w:rFonts w:ascii="Times New Roman" w:hAnsi="Times New Roman" w:eastAsia="Times New Roman" w:cs="Times New Roman"/>
          <w:color w:val="231F20"/>
          <w:sz w:val="22"/>
          <w:szCs w:val="22"/>
        </w:rPr>
        <w:t>1+4</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试点示范区格局，“</w:t>
      </w:r>
      <w:r>
        <w:rPr>
          <w:rFonts w:ascii="Times New Roman" w:hAnsi="Times New Roman" w:eastAsia="Times New Roman" w:cs="Times New Roman"/>
          <w:color w:val="231F20"/>
          <w:spacing w:val="-1"/>
          <w:sz w:val="22"/>
          <w:szCs w:val="22"/>
        </w:rPr>
        <w:t>1+4</w:t>
      </w:r>
      <w:r>
        <w:rPr>
          <w:rFonts w:ascii="微软雅黑" w:hAnsi="微软雅黑" w:eastAsia="微软雅黑" w:cs="微软雅黑"/>
          <w:color w:val="231F20"/>
          <w:spacing w:val="-1"/>
          <w:sz w:val="22"/>
          <w:szCs w:val="22"/>
        </w:rPr>
        <w:t xml:space="preserve">”试点示范省市全年服务业实际使用外资 </w:t>
      </w:r>
      <w:r>
        <w:rPr>
          <w:rFonts w:ascii="Times New Roman" w:hAnsi="Times New Roman" w:eastAsia="Times New Roman" w:cs="Times New Roman"/>
          <w:color w:val="231F20"/>
          <w:spacing w:val="-1"/>
          <w:sz w:val="22"/>
          <w:szCs w:val="22"/>
        </w:rPr>
        <w:t xml:space="preserve">45.6 </w:t>
      </w:r>
      <w:r>
        <w:rPr>
          <w:rFonts w:ascii="微软雅黑" w:hAnsi="微软雅黑" w:eastAsia="微软雅黑" w:cs="微软雅黑"/>
          <w:color w:val="231F20"/>
          <w:sz w:val="22"/>
          <w:szCs w:val="22"/>
        </w:rPr>
        <w:t xml:space="preserve">亿美元，   占全   </w:t>
      </w:r>
      <w:r>
        <w:rPr>
          <w:rFonts w:ascii="微软雅黑" w:hAnsi="微软雅黑" w:eastAsia="微软雅黑" w:cs="微软雅黑"/>
          <w:color w:val="231F20"/>
          <w:spacing w:val="-2"/>
          <w:sz w:val="22"/>
          <w:szCs w:val="22"/>
        </w:rPr>
        <w:t>国服务业实际使用</w:t>
      </w:r>
      <w:r>
        <w:rPr>
          <w:rFonts w:ascii="微软雅黑" w:hAnsi="微软雅黑" w:eastAsia="微软雅黑" w:cs="微软雅黑"/>
          <w:color w:val="231F20"/>
          <w:spacing w:val="-1"/>
          <w:sz w:val="22"/>
          <w:szCs w:val="22"/>
        </w:rPr>
        <w:t xml:space="preserve">外资的 </w:t>
      </w:r>
      <w:r>
        <w:rPr>
          <w:rFonts w:ascii="Times New Roman" w:hAnsi="Times New Roman" w:eastAsia="Times New Roman" w:cs="Times New Roman"/>
          <w:color w:val="231F20"/>
          <w:spacing w:val="-1"/>
          <w:sz w:val="22"/>
          <w:szCs w:val="22"/>
        </w:rPr>
        <w:t xml:space="preserve">33.4% </w:t>
      </w:r>
      <w:r>
        <w:rPr>
          <w:rFonts w:ascii="微软雅黑" w:hAnsi="微软雅黑" w:eastAsia="微软雅黑" w:cs="微软雅黑"/>
          <w:color w:val="231F20"/>
          <w:spacing w:val="-1"/>
          <w:sz w:val="22"/>
          <w:szCs w:val="22"/>
        </w:rPr>
        <w:t xml:space="preserve">、  占全国实际使用外资的 </w:t>
      </w:r>
      <w:r>
        <w:rPr>
          <w:rFonts w:ascii="Times New Roman" w:hAnsi="Times New Roman" w:eastAsia="Times New Roman" w:cs="Times New Roman"/>
          <w:color w:val="231F20"/>
          <w:spacing w:val="-1"/>
          <w:sz w:val="22"/>
          <w:szCs w:val="22"/>
        </w:rPr>
        <w:t xml:space="preserve">26.3% </w:t>
      </w:r>
      <w:r>
        <w:rPr>
          <w:rFonts w:ascii="微软雅黑" w:hAnsi="微软雅黑" w:eastAsia="微软雅黑" w:cs="微软雅黑"/>
          <w:color w:val="231F20"/>
          <w:spacing w:val="-1"/>
          <w:sz w:val="22"/>
          <w:szCs w:val="22"/>
        </w:rPr>
        <w:t>，对全国服务业开放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发展的引领示范作用日益增强。</w:t>
      </w:r>
      <w:r>
        <w:rPr>
          <w:rFonts w:ascii="Times New Roman" w:hAnsi="Times New Roman" w:eastAsia="Times New Roman" w:cs="Times New Roman"/>
          <w:color w:val="231F20"/>
          <w:spacing w:val="-1"/>
          <w:sz w:val="22"/>
          <w:szCs w:val="22"/>
        </w:rPr>
        <w:t xml:space="preserve">230 </w:t>
      </w:r>
      <w:r>
        <w:rPr>
          <w:rFonts w:ascii="微软雅黑" w:hAnsi="微软雅黑" w:eastAsia="微软雅黑" w:cs="微软雅黑"/>
          <w:color w:val="231F20"/>
          <w:spacing w:val="-1"/>
          <w:sz w:val="22"/>
          <w:szCs w:val="22"/>
        </w:rPr>
        <w:t>家国家级经济技术开发区实际使用外资</w:t>
      </w:r>
      <w:r>
        <w:rPr>
          <w:rFonts w:ascii="Times New Roman" w:hAnsi="Times New Roman" w:eastAsia="Times New Roman" w:cs="Times New Roman"/>
          <w:color w:val="231F20"/>
          <w:sz w:val="22"/>
          <w:szCs w:val="22"/>
        </w:rPr>
        <w:t>303</w:t>
      </w:r>
      <w:r>
        <w:rPr>
          <w:rFonts w:ascii="微软雅黑" w:hAnsi="微软雅黑" w:eastAsia="微软雅黑" w:cs="微软雅黑"/>
          <w:color w:val="231F20"/>
          <w:sz w:val="22"/>
          <w:szCs w:val="22"/>
        </w:rPr>
        <w:t>亿美元，</w:t>
      </w:r>
    </w:p>
    <w:p>
      <w:pPr>
        <w:sectPr>
          <w:type w:val="continuous"/>
          <w:pgSz w:w="12246" w:h="16498"/>
          <w:pgMar w:top="400" w:right="0" w:bottom="400" w:left="0" w:header="0" w:footer="0" w:gutter="0"/>
          <w:cols w:equalWidth="0" w:num="1">
            <w:col w:w="12246"/>
          </w:cols>
        </w:sectPr>
      </w:pPr>
    </w:p>
    <w:p>
      <w:pPr>
        <w:spacing w:line="357" w:lineRule="auto"/>
        <w:rPr>
          <w:rFonts w:ascii="Arial"/>
          <w:sz w:val="21"/>
        </w:rPr>
      </w:pPr>
      <w:r>
        <w:pict>
          <v:shape id="_x0000_s1168" o:spid="_x0000_s1168" o:spt="202" type="#_x0000_t202" style="position:absolute;left:0pt;margin-left:401.35pt;margin-top:438.75pt;height:12.85pt;width:22.3pt;mso-position-horizontal-relative:page;mso-position-vertical-relative:page;z-index:251809792;mso-width-relative:page;mso-height-relative:page;" filled="f" stroked="f" coordsize="21600,21600" o:allowincell="f">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1"/>
                      <w:sz w:val="17"/>
                      <w:szCs w:val="17"/>
                    </w:rPr>
                    <w:t>7 9%</w:t>
                  </w:r>
                </w:p>
              </w:txbxContent>
            </v:textbox>
          </v:shape>
        </w:pict>
      </w:r>
      <w:r>
        <w:pict>
          <v:shape id="_x0000_s1169" o:spid="_x0000_s1169" style="position:absolute;left:0pt;margin-left:310.95pt;margin-top:435.95pt;height:23.8pt;width:99.25pt;mso-position-horizontal-relative:page;mso-position-vertical-relative:page;z-index:251807744;mso-width-relative:page;mso-height-relative:page;" filled="f" stroked="t" coordsize="1985,475" o:allowincell="f" path="m22,453l1962,22e">
            <v:fill on="f" focussize="0,0"/>
            <v:stroke weight="2.25pt" color="#86A9CB" miterlimit="10" endcap="round"/>
            <v:imagedata o:title=""/>
            <o:lock v:ext="edit"/>
          </v:shape>
        </w:pict>
      </w:r>
      <w:r>
        <w:pict>
          <v:shape id="_x0000_s1170" o:spid="_x0000_s1170" style="position:absolute;left:0pt;margin-left:309.2pt;margin-top:455.75pt;height:5.8pt;width:5.8pt;mso-position-horizontal-relative:page;mso-position-vertical-relative:page;z-index:251810816;mso-width-relative:page;mso-height-relative:page;" filled="f" stroked="t" coordsize="116,116" o:allowincell="f" path="m7,57c7,29,29,7,57,7c85,7,107,29,107,57c107,85,85,107,57,107c29,107,7,85,7,57e">
            <v:fill on="f" focussize="0,0"/>
            <v:stroke color="#86A9CB" miterlimit="10"/>
            <v:imagedata o:title=""/>
            <o:lock v:ext="edit"/>
          </v:shape>
        </w:pict>
      </w:r>
      <w:r>
        <w:pict>
          <v:shape id="_x0000_s1171" o:spid="_x0000_s1171" o:spt="202" type="#_x0000_t202" style="position:absolute;left:0pt;margin-left:462.8pt;margin-top:397.6pt;height:14.05pt;width:19.45pt;mso-position-horizontal-relative:page;mso-position-vertical-relative:page;z-index:251808768;mso-width-relative:page;mso-height-relative:page;" filled="f" stroked="f" coordsize="21600,21600" o:allowincell="f">
            <v:path/>
            <v:fill on="f" focussize="0,0"/>
            <v:stroke on="f"/>
            <v:imagedata o:title=""/>
            <o:lock v:ext="edit" aspectratio="f"/>
            <v:textbox inset="0mm,0mm,0mm,0mm">
              <w:txbxContent>
                <w:p>
                  <w:pPr>
                    <w:spacing w:before="20" w:line="240" w:lineRule="exact"/>
                    <w:ind w:left="20"/>
                    <w:rPr>
                      <w:rFonts w:ascii="Calibri" w:hAnsi="Calibri" w:eastAsia="Calibri" w:cs="Calibri"/>
                      <w:sz w:val="17"/>
                      <w:szCs w:val="17"/>
                    </w:rPr>
                  </w:pPr>
                  <w:r>
                    <w:rPr>
                      <w:rFonts w:ascii="Calibri" w:hAnsi="Calibri" w:eastAsia="Calibri" w:cs="Calibri"/>
                      <w:color w:val="030303"/>
                      <w:spacing w:val="3"/>
                      <w:position w:val="2"/>
                      <w:sz w:val="17"/>
                      <w:szCs w:val="17"/>
                    </w:rPr>
                    <w:t>8.5</w:t>
                  </w:r>
                  <w:r>
                    <w:rPr>
                      <w:rFonts w:ascii="Calibri" w:hAnsi="Calibri" w:eastAsia="Calibri" w:cs="Calibri"/>
                      <w:color w:val="030303"/>
                      <w:spacing w:val="2"/>
                      <w:position w:val="2"/>
                      <w:sz w:val="17"/>
                      <w:szCs w:val="17"/>
                    </w:rPr>
                    <w:t>%</w:t>
                  </w:r>
                </w:p>
              </w:txbxContent>
            </v:textbox>
          </v:shape>
        </w:pict>
      </w:r>
      <w:r>
        <w:drawing>
          <wp:anchor distT="0" distB="0" distL="0" distR="0" simplePos="0" relativeHeight="25180364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609"/>
        <w:rPr>
          <w:rFonts w:ascii="SimHei" w:hAnsi="SimHei" w:eastAsia="SimHei" w:cs="SimHei"/>
          <w:sz w:val="21"/>
          <w:szCs w:val="21"/>
        </w:rPr>
      </w:pPr>
      <w:r>
        <w:rPr>
          <w:rFonts w:ascii="Arial" w:hAnsi="Arial" w:eastAsia="Arial" w:cs="Arial"/>
          <w:color w:val="231F20"/>
          <w:spacing w:val="27"/>
          <w:sz w:val="20"/>
          <w:szCs w:val="20"/>
        </w:rPr>
        <w:t>1</w:t>
      </w:r>
      <w:r>
        <w:rPr>
          <w:rFonts w:ascii="Arial" w:hAnsi="Arial" w:eastAsia="Arial" w:cs="Arial"/>
          <w:color w:val="231F20"/>
          <w:spacing w:val="21"/>
          <w:sz w:val="20"/>
          <w:szCs w:val="20"/>
        </w:rPr>
        <w:t xml:space="preserve">4  </w:t>
      </w:r>
      <w:r>
        <w:rPr>
          <w:position w:val="-5"/>
          <w:sz w:val="20"/>
          <w:szCs w:val="20"/>
        </w:rPr>
        <w:drawing>
          <wp:inline distT="0" distB="0" distL="0" distR="0">
            <wp:extent cx="3175" cy="14732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综合篇</w:t>
      </w: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94" w:line="233" w:lineRule="auto"/>
        <w:ind w:left="2009"/>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同比增长</w:t>
      </w:r>
      <w:r>
        <w:rPr>
          <w:rFonts w:ascii="微软雅黑" w:hAnsi="微软雅黑" w:eastAsia="微软雅黑" w:cs="微软雅黑"/>
          <w:color w:val="231F20"/>
          <w:spacing w:val="-3"/>
          <w:sz w:val="22"/>
          <w:szCs w:val="22"/>
        </w:rPr>
        <w:t xml:space="preserve"> </w:t>
      </w:r>
      <w:r>
        <w:rPr>
          <w:rFonts w:ascii="Times New Roman" w:hAnsi="Times New Roman" w:eastAsia="Times New Roman" w:cs="Times New Roman"/>
          <w:color w:val="231F20"/>
          <w:spacing w:val="-2"/>
          <w:sz w:val="22"/>
          <w:szCs w:val="22"/>
        </w:rPr>
        <w:t xml:space="preserve">25.7% </w:t>
      </w:r>
      <w:r>
        <w:rPr>
          <w:rFonts w:ascii="微软雅黑" w:hAnsi="微软雅黑" w:eastAsia="微软雅黑" w:cs="微软雅黑"/>
          <w:color w:val="231F20"/>
          <w:spacing w:val="-2"/>
          <w:sz w:val="22"/>
          <w:szCs w:val="22"/>
        </w:rPr>
        <w:t xml:space="preserve">，增速高于全国平均增速 </w:t>
      </w:r>
      <w:r>
        <w:rPr>
          <w:rFonts w:ascii="Times New Roman" w:hAnsi="Times New Roman" w:eastAsia="Times New Roman" w:cs="Times New Roman"/>
          <w:color w:val="231F20"/>
          <w:spacing w:val="-2"/>
          <w:sz w:val="22"/>
          <w:szCs w:val="22"/>
        </w:rPr>
        <w:t xml:space="preserve">5.5 </w:t>
      </w:r>
      <w:r>
        <w:rPr>
          <w:rFonts w:ascii="微软雅黑" w:hAnsi="微软雅黑" w:eastAsia="微软雅黑" w:cs="微软雅黑"/>
          <w:color w:val="231F20"/>
          <w:spacing w:val="-2"/>
          <w:sz w:val="22"/>
          <w:szCs w:val="22"/>
        </w:rPr>
        <w:t>个百分点。</w:t>
      </w:r>
    </w:p>
    <w:p>
      <w:pPr>
        <w:spacing w:before="302" w:line="216" w:lineRule="auto"/>
        <w:ind w:left="2441"/>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4. </w:t>
      </w:r>
      <w:r>
        <w:rPr>
          <w:rFonts w:ascii="KaiTi" w:hAnsi="KaiTi" w:eastAsia="KaiTi" w:cs="KaiTi"/>
          <w:color w:val="015DAC"/>
          <w:spacing w:val="1"/>
          <w:sz w:val="22"/>
          <w:szCs w:val="22"/>
        </w:rPr>
        <w:t>外资企业在华经营</w:t>
      </w:r>
      <w:r>
        <w:rPr>
          <w:rFonts w:ascii="KaiTi" w:hAnsi="KaiTi" w:eastAsia="KaiTi" w:cs="KaiTi"/>
          <w:color w:val="015DAC"/>
          <w:sz w:val="22"/>
          <w:szCs w:val="22"/>
        </w:rPr>
        <w:t>持续向好</w:t>
      </w:r>
    </w:p>
    <w:p>
      <w:pPr>
        <w:spacing w:before="286" w:line="257" w:lineRule="auto"/>
        <w:ind w:left="1989" w:right="1918" w:firstLine="452"/>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从规模以上工业情况看，</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年 ，规模以上外资工业企业营业收入 、经营利</w:t>
      </w:r>
      <w:r>
        <w:rPr>
          <w:rFonts w:ascii="微软雅黑" w:hAnsi="微软雅黑" w:eastAsia="微软雅黑" w:cs="微软雅黑"/>
          <w:color w:val="231F20"/>
          <w:sz w:val="22"/>
          <w:szCs w:val="22"/>
        </w:rPr>
        <w:t xml:space="preserve">润 </w:t>
      </w:r>
      <w:r>
        <w:rPr>
          <w:rFonts w:ascii="微软雅黑" w:hAnsi="微软雅黑" w:eastAsia="微软雅黑" w:cs="微软雅黑"/>
          <w:color w:val="231F20"/>
          <w:spacing w:val="1"/>
          <w:sz w:val="22"/>
          <w:szCs w:val="22"/>
        </w:rPr>
        <w:t>双增长，连续两年正</w:t>
      </w:r>
      <w:r>
        <w:rPr>
          <w:rFonts w:ascii="微软雅黑" w:hAnsi="微软雅黑" w:eastAsia="微软雅黑" w:cs="微软雅黑"/>
          <w:color w:val="231F20"/>
          <w:sz w:val="22"/>
          <w:szCs w:val="22"/>
        </w:rPr>
        <w:t>增长 ，且增长速度加快。国家统计局数据显示，</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年全国规模 </w:t>
      </w:r>
      <w:r>
        <w:rPr>
          <w:rFonts w:ascii="微软雅黑" w:hAnsi="微软雅黑" w:eastAsia="微软雅黑" w:cs="微软雅黑"/>
          <w:color w:val="231F20"/>
          <w:spacing w:val="-1"/>
          <w:sz w:val="22"/>
          <w:szCs w:val="22"/>
        </w:rPr>
        <w:t xml:space="preserve">以上外商投资工业企业营业收入 </w:t>
      </w:r>
      <w:r>
        <w:rPr>
          <w:rFonts w:ascii="Times New Roman" w:hAnsi="Times New Roman" w:eastAsia="Times New Roman" w:cs="Times New Roman"/>
          <w:color w:val="231F20"/>
          <w:spacing w:val="-1"/>
          <w:sz w:val="22"/>
          <w:szCs w:val="22"/>
        </w:rPr>
        <w:t xml:space="preserve">28.8 </w:t>
      </w:r>
      <w:r>
        <w:rPr>
          <w:rFonts w:ascii="微软雅黑" w:hAnsi="微软雅黑" w:eastAsia="微软雅黑" w:cs="微软雅黑"/>
          <w:color w:val="231F20"/>
          <w:spacing w:val="-1"/>
          <w:sz w:val="22"/>
          <w:szCs w:val="22"/>
        </w:rPr>
        <w:t xml:space="preserve">万亿元人民币，实现利润总额 </w:t>
      </w:r>
      <w:r>
        <w:rPr>
          <w:rFonts w:ascii="Times New Roman" w:hAnsi="Times New Roman" w:eastAsia="Times New Roman" w:cs="Times New Roman"/>
          <w:color w:val="231F20"/>
          <w:spacing w:val="-1"/>
          <w:sz w:val="22"/>
          <w:szCs w:val="22"/>
        </w:rPr>
        <w:t xml:space="preserve">2.3 </w:t>
      </w:r>
      <w:r>
        <w:rPr>
          <w:rFonts w:ascii="微软雅黑" w:hAnsi="微软雅黑" w:eastAsia="微软雅黑" w:cs="微软雅黑"/>
          <w:color w:val="231F20"/>
          <w:spacing w:val="-1"/>
          <w:sz w:val="22"/>
          <w:szCs w:val="22"/>
        </w:rPr>
        <w:t>万亿元人民</w:t>
      </w:r>
      <w:r>
        <w:rPr>
          <w:rFonts w:ascii="微软雅黑" w:hAnsi="微软雅黑" w:eastAsia="微软雅黑" w:cs="微软雅黑"/>
          <w:color w:val="231F20"/>
          <w:sz w:val="22"/>
          <w:szCs w:val="22"/>
        </w:rPr>
        <w:t xml:space="preserve">币， </w:t>
      </w:r>
      <w:r>
        <w:rPr>
          <w:rFonts w:ascii="微软雅黑" w:hAnsi="微软雅黑" w:eastAsia="微软雅黑" w:cs="微软雅黑"/>
          <w:color w:val="231F20"/>
          <w:spacing w:val="-4"/>
          <w:sz w:val="22"/>
          <w:szCs w:val="22"/>
        </w:rPr>
        <w:t xml:space="preserve">同比分别增长 </w:t>
      </w:r>
      <w:r>
        <w:rPr>
          <w:rFonts w:ascii="Times New Roman" w:hAnsi="Times New Roman" w:eastAsia="Times New Roman" w:cs="Times New Roman"/>
          <w:color w:val="231F20"/>
          <w:spacing w:val="-4"/>
          <w:sz w:val="22"/>
          <w:szCs w:val="22"/>
        </w:rPr>
        <w:t xml:space="preserve">14.8% </w:t>
      </w:r>
      <w:r>
        <w:rPr>
          <w:rFonts w:ascii="微软雅黑" w:hAnsi="微软雅黑" w:eastAsia="微软雅黑" w:cs="微软雅黑"/>
          <w:color w:val="231F20"/>
          <w:spacing w:val="-3"/>
          <w:sz w:val="22"/>
          <w:szCs w:val="22"/>
        </w:rPr>
        <w:t>和</w:t>
      </w:r>
      <w:r>
        <w:rPr>
          <w:rFonts w:ascii="微软雅黑" w:hAnsi="微软雅黑" w:eastAsia="微软雅黑" w:cs="微软雅黑"/>
          <w:color w:val="231F20"/>
          <w:spacing w:val="-2"/>
          <w:sz w:val="22"/>
          <w:szCs w:val="22"/>
        </w:rPr>
        <w:t xml:space="preserve"> </w:t>
      </w:r>
      <w:r>
        <w:rPr>
          <w:rFonts w:ascii="Times New Roman" w:hAnsi="Times New Roman" w:eastAsia="Times New Roman" w:cs="Times New Roman"/>
          <w:color w:val="231F20"/>
          <w:spacing w:val="-2"/>
          <w:sz w:val="22"/>
          <w:szCs w:val="22"/>
        </w:rPr>
        <w:t>21. 1%</w:t>
      </w:r>
      <w:r>
        <w:rPr>
          <w:rFonts w:ascii="微软雅黑" w:hAnsi="微软雅黑" w:eastAsia="微软雅黑" w:cs="微软雅黑"/>
          <w:color w:val="231F20"/>
          <w:spacing w:val="-2"/>
          <w:sz w:val="22"/>
          <w:szCs w:val="22"/>
        </w:rPr>
        <w:t xml:space="preserve">，  比 </w:t>
      </w:r>
      <w:r>
        <w:rPr>
          <w:rFonts w:ascii="Times New Roman" w:hAnsi="Times New Roman" w:eastAsia="Times New Roman" w:cs="Times New Roman"/>
          <w:color w:val="231F20"/>
          <w:spacing w:val="-2"/>
          <w:sz w:val="22"/>
          <w:szCs w:val="22"/>
        </w:rPr>
        <w:t xml:space="preserve">2020 </w:t>
      </w:r>
      <w:r>
        <w:rPr>
          <w:rFonts w:ascii="微软雅黑" w:hAnsi="微软雅黑" w:eastAsia="微软雅黑" w:cs="微软雅黑"/>
          <w:color w:val="231F20"/>
          <w:spacing w:val="-2"/>
          <w:sz w:val="22"/>
          <w:szCs w:val="22"/>
        </w:rPr>
        <w:t xml:space="preserve">年增速分别高出 </w:t>
      </w:r>
      <w:r>
        <w:rPr>
          <w:rFonts w:ascii="Times New Roman" w:hAnsi="Times New Roman" w:eastAsia="Times New Roman" w:cs="Times New Roman"/>
          <w:color w:val="231F20"/>
          <w:spacing w:val="-2"/>
          <w:sz w:val="22"/>
          <w:szCs w:val="22"/>
        </w:rPr>
        <w:t xml:space="preserve">13.9 </w:t>
      </w:r>
      <w:r>
        <w:rPr>
          <w:rFonts w:ascii="微软雅黑" w:hAnsi="微软雅黑" w:eastAsia="微软雅黑" w:cs="微软雅黑"/>
          <w:color w:val="231F20"/>
          <w:spacing w:val="-2"/>
          <w:sz w:val="22"/>
          <w:szCs w:val="22"/>
        </w:rPr>
        <w:t xml:space="preserve">和 </w:t>
      </w:r>
      <w:r>
        <w:rPr>
          <w:rFonts w:ascii="Times New Roman" w:hAnsi="Times New Roman" w:eastAsia="Times New Roman" w:cs="Times New Roman"/>
          <w:color w:val="231F20"/>
          <w:spacing w:val="-2"/>
          <w:sz w:val="22"/>
          <w:szCs w:val="22"/>
        </w:rPr>
        <w:t xml:space="preserve">14. 1 </w:t>
      </w:r>
      <w:r>
        <w:rPr>
          <w:rFonts w:ascii="微软雅黑" w:hAnsi="微软雅黑" w:eastAsia="微软雅黑" w:cs="微软雅黑"/>
          <w:color w:val="231F20"/>
          <w:spacing w:val="-2"/>
          <w:sz w:val="22"/>
          <w:szCs w:val="22"/>
        </w:rPr>
        <w:t>个百分点。从营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收利润率</w:t>
      </w:r>
      <w:r>
        <w:rPr>
          <w:rFonts w:ascii="微软雅黑" w:hAnsi="微软雅黑" w:eastAsia="微软雅黑" w:cs="微软雅黑"/>
          <w:color w:val="231F20"/>
          <w:spacing w:val="-5"/>
          <w:sz w:val="22"/>
          <w:szCs w:val="22"/>
        </w:rPr>
        <w:t>指标来看，</w:t>
      </w:r>
      <w:r>
        <w:rPr>
          <w:rFonts w:ascii="Times New Roman" w:hAnsi="Times New Roman" w:eastAsia="Times New Roman" w:cs="Times New Roman"/>
          <w:color w:val="231F20"/>
          <w:spacing w:val="-5"/>
          <w:sz w:val="22"/>
          <w:szCs w:val="22"/>
        </w:rPr>
        <w:t>2019-2021</w:t>
      </w:r>
      <w:r>
        <w:rPr>
          <w:rFonts w:ascii="微软雅黑" w:hAnsi="微软雅黑" w:eastAsia="微软雅黑" w:cs="微软雅黑"/>
          <w:color w:val="231F20"/>
          <w:spacing w:val="-5"/>
          <w:sz w:val="22"/>
          <w:szCs w:val="22"/>
        </w:rPr>
        <w:t xml:space="preserve">年，规模以上外资工业企业营收利润率快速增长，从 </w:t>
      </w:r>
      <w:r>
        <w:rPr>
          <w:rFonts w:ascii="Times New Roman" w:hAnsi="Times New Roman" w:eastAsia="Times New Roman" w:cs="Times New Roman"/>
          <w:color w:val="231F20"/>
          <w:spacing w:val="-5"/>
          <w:sz w:val="22"/>
          <w:szCs w:val="22"/>
        </w:rPr>
        <w:t>6.6%</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3"/>
          <w:sz w:val="22"/>
          <w:szCs w:val="22"/>
        </w:rPr>
        <w:t>增</w:t>
      </w:r>
      <w:r>
        <w:rPr>
          <w:rFonts w:ascii="微软雅黑" w:hAnsi="微软雅黑" w:eastAsia="微软雅黑" w:cs="微软雅黑"/>
          <w:color w:val="231F20"/>
          <w:spacing w:val="2"/>
          <w:sz w:val="22"/>
          <w:szCs w:val="22"/>
        </w:rPr>
        <w:t xml:space="preserve">长到 </w:t>
      </w:r>
      <w:r>
        <w:rPr>
          <w:rFonts w:ascii="Times New Roman" w:hAnsi="Times New Roman" w:eastAsia="Times New Roman" w:cs="Times New Roman"/>
          <w:color w:val="231F20"/>
          <w:spacing w:val="2"/>
          <w:sz w:val="22"/>
          <w:szCs w:val="22"/>
        </w:rPr>
        <w:t xml:space="preserve">7.9% </w:t>
      </w:r>
      <w:r>
        <w:rPr>
          <w:rFonts w:ascii="微软雅黑" w:hAnsi="微软雅黑" w:eastAsia="微软雅黑" w:cs="微软雅黑"/>
          <w:color w:val="231F20"/>
          <w:spacing w:val="2"/>
          <w:sz w:val="22"/>
          <w:szCs w:val="22"/>
        </w:rPr>
        <w:t xml:space="preserve">，并明显高于规模以上工业企业整体营收利润率。中国美国商会 </w:t>
      </w:r>
      <w:r>
        <w:rPr>
          <w:rFonts w:ascii="Times New Roman" w:hAnsi="Times New Roman" w:eastAsia="Times New Roman" w:cs="Times New Roman"/>
          <w:color w:val="231F20"/>
          <w:spacing w:val="2"/>
          <w:sz w:val="22"/>
          <w:szCs w:val="22"/>
        </w:rPr>
        <w:t xml:space="preserve">2022 </w:t>
      </w:r>
      <w:r>
        <w:rPr>
          <w:rFonts w:ascii="微软雅黑" w:hAnsi="微软雅黑" w:eastAsia="微软雅黑" w:cs="微软雅黑"/>
          <w:color w:val="231F20"/>
          <w:spacing w:val="2"/>
          <w:sz w:val="22"/>
          <w:szCs w:val="22"/>
        </w:rPr>
        <w:t>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发布的《美国企业在中国白皮书》显示，</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年预计“利润将非常丰厚”的</w:t>
      </w:r>
      <w:r>
        <w:rPr>
          <w:rFonts w:ascii="微软雅黑" w:hAnsi="微软雅黑" w:eastAsia="微软雅黑" w:cs="微软雅黑"/>
          <w:color w:val="231F20"/>
          <w:spacing w:val="1"/>
          <w:sz w:val="22"/>
          <w:szCs w:val="22"/>
        </w:rPr>
        <w:t>企</w:t>
      </w:r>
      <w:r>
        <w:rPr>
          <w:rFonts w:ascii="微软雅黑" w:hAnsi="微软雅黑" w:eastAsia="微软雅黑" w:cs="微软雅黑"/>
          <w:color w:val="231F20"/>
          <w:sz w:val="22"/>
          <w:szCs w:val="22"/>
        </w:rPr>
        <w:t xml:space="preserve">业所占 </w:t>
      </w:r>
      <w:r>
        <w:rPr>
          <w:rFonts w:ascii="微软雅黑" w:hAnsi="微软雅黑" w:eastAsia="微软雅黑" w:cs="微软雅黑"/>
          <w:color w:val="231F20"/>
          <w:spacing w:val="-4"/>
          <w:sz w:val="22"/>
          <w:szCs w:val="22"/>
        </w:rPr>
        <w:t xml:space="preserve">比例上升至 </w:t>
      </w:r>
      <w:r>
        <w:rPr>
          <w:rFonts w:ascii="Times New Roman" w:hAnsi="Times New Roman" w:eastAsia="Times New Roman" w:cs="Times New Roman"/>
          <w:color w:val="231F20"/>
          <w:spacing w:val="-4"/>
          <w:sz w:val="22"/>
          <w:szCs w:val="22"/>
        </w:rPr>
        <w:t xml:space="preserve">13% </w:t>
      </w:r>
      <w:r>
        <w:rPr>
          <w:rFonts w:ascii="微软雅黑" w:hAnsi="微软雅黑" w:eastAsia="微软雅黑" w:cs="微软雅黑"/>
          <w:color w:val="231F20"/>
          <w:spacing w:val="-4"/>
          <w:sz w:val="22"/>
          <w:szCs w:val="22"/>
        </w:rPr>
        <w:t xml:space="preserve">，为过去 </w:t>
      </w:r>
      <w:r>
        <w:rPr>
          <w:rFonts w:ascii="Times New Roman" w:hAnsi="Times New Roman" w:eastAsia="Times New Roman" w:cs="Times New Roman"/>
          <w:color w:val="231F20"/>
          <w:spacing w:val="-4"/>
          <w:sz w:val="22"/>
          <w:szCs w:val="22"/>
        </w:rPr>
        <w:t>5</w:t>
      </w:r>
      <w:r>
        <w:rPr>
          <w:rFonts w:ascii="Times New Roman" w:hAnsi="Times New Roman" w:eastAsia="Times New Roman" w:cs="Times New Roman"/>
          <w:color w:val="231F20"/>
          <w:spacing w:val="-2"/>
          <w:sz w:val="22"/>
          <w:szCs w:val="22"/>
        </w:rPr>
        <w:t xml:space="preserve"> </w:t>
      </w:r>
      <w:r>
        <w:rPr>
          <w:rFonts w:ascii="微软雅黑" w:hAnsi="微软雅黑" w:eastAsia="微软雅黑" w:cs="微软雅黑"/>
          <w:color w:val="231F20"/>
          <w:spacing w:val="-2"/>
          <w:sz w:val="22"/>
          <w:szCs w:val="22"/>
        </w:rPr>
        <w:t xml:space="preserve">年的最高点，  比 </w:t>
      </w:r>
      <w:r>
        <w:rPr>
          <w:rFonts w:ascii="Times New Roman" w:hAnsi="Times New Roman" w:eastAsia="Times New Roman" w:cs="Times New Roman"/>
          <w:color w:val="231F20"/>
          <w:spacing w:val="-2"/>
          <w:sz w:val="22"/>
          <w:szCs w:val="22"/>
        </w:rPr>
        <w:t xml:space="preserve">2020 </w:t>
      </w:r>
      <w:r>
        <w:rPr>
          <w:rFonts w:ascii="微软雅黑" w:hAnsi="微软雅黑" w:eastAsia="微软雅黑" w:cs="微软雅黑"/>
          <w:color w:val="231F20"/>
          <w:spacing w:val="-2"/>
          <w:sz w:val="22"/>
          <w:szCs w:val="22"/>
        </w:rPr>
        <w:t xml:space="preserve">年提高了 </w:t>
      </w:r>
      <w:r>
        <w:rPr>
          <w:rFonts w:ascii="Times New Roman" w:hAnsi="Times New Roman" w:eastAsia="Times New Roman" w:cs="Times New Roman"/>
          <w:color w:val="231F20"/>
          <w:spacing w:val="-2"/>
          <w:sz w:val="22"/>
          <w:szCs w:val="22"/>
        </w:rPr>
        <w:t xml:space="preserve">8 </w:t>
      </w:r>
      <w:r>
        <w:rPr>
          <w:rFonts w:ascii="微软雅黑" w:hAnsi="微软雅黑" w:eastAsia="微软雅黑" w:cs="微软雅黑"/>
          <w:color w:val="231F20"/>
          <w:spacing w:val="-2"/>
          <w:sz w:val="22"/>
          <w:szCs w:val="22"/>
        </w:rPr>
        <w:t>个百分点；  预计企业将</w:t>
      </w:r>
      <w:r>
        <w:rPr>
          <w:rFonts w:ascii="微软雅黑" w:hAnsi="微软雅黑" w:eastAsia="微软雅黑" w:cs="微软雅黑"/>
          <w:color w:val="231F20"/>
          <w:sz w:val="22"/>
          <w:szCs w:val="22"/>
        </w:rPr>
        <w:t xml:space="preserve"> 盈利的比例为 </w:t>
      </w:r>
      <w:r>
        <w:rPr>
          <w:rFonts w:ascii="Times New Roman" w:hAnsi="Times New Roman" w:eastAsia="Times New Roman" w:cs="Times New Roman"/>
          <w:color w:val="231F20"/>
          <w:sz w:val="22"/>
          <w:szCs w:val="22"/>
        </w:rPr>
        <w:t>59%</w:t>
      </w:r>
      <w:r>
        <w:rPr>
          <w:rFonts w:ascii="微软雅黑" w:hAnsi="微软雅黑" w:eastAsia="微软雅黑" w:cs="微软雅黑"/>
          <w:color w:val="231F20"/>
          <w:sz w:val="22"/>
          <w:szCs w:val="22"/>
        </w:rPr>
        <w:t>。</w:t>
      </w:r>
    </w:p>
    <w:p/>
    <w:p>
      <w:pPr>
        <w:spacing w:line="167" w:lineRule="exact"/>
      </w:pPr>
    </w:p>
    <w:p>
      <w:pPr>
        <w:sectPr>
          <w:pgSz w:w="12246" w:h="16498"/>
          <w:pgMar w:top="400" w:right="0" w:bottom="400" w:left="0" w:header="0" w:footer="0" w:gutter="0"/>
          <w:cols w:equalWidth="0" w:num="1">
            <w:col w:w="12246"/>
          </w:cols>
        </w:sectPr>
      </w:pPr>
    </w:p>
    <w:p>
      <w:pPr>
        <w:spacing w:before="76" w:line="206" w:lineRule="auto"/>
        <w:ind w:left="2674"/>
        <w:rPr>
          <w:rFonts w:ascii="宋体" w:hAnsi="宋体" w:eastAsia="宋体" w:cs="宋体"/>
          <w:sz w:val="19"/>
          <w:szCs w:val="19"/>
        </w:rPr>
      </w:pPr>
      <w:r>
        <w:rPr>
          <w:rFonts w:ascii="宋体" w:hAnsi="宋体" w:eastAsia="宋体" w:cs="宋体"/>
          <w:color w:val="030303"/>
          <w:spacing w:val="-1"/>
          <w:sz w:val="19"/>
          <w:szCs w:val="19"/>
        </w:rPr>
        <w:t>亿</w:t>
      </w:r>
      <w:r>
        <w:rPr>
          <w:rFonts w:ascii="宋体" w:hAnsi="宋体" w:eastAsia="宋体" w:cs="宋体"/>
          <w:color w:val="030303"/>
          <w:sz w:val="19"/>
          <w:szCs w:val="19"/>
        </w:rPr>
        <w:t>元</w:t>
      </w:r>
    </w:p>
    <w:p>
      <w:pPr>
        <w:spacing w:line="14" w:lineRule="auto"/>
        <w:rPr>
          <w:rFonts w:ascii="Arial"/>
          <w:sz w:val="2"/>
        </w:rPr>
      </w:pPr>
      <w:r>
        <w:rPr>
          <w:rFonts w:ascii="Arial" w:hAnsi="Arial" w:eastAsia="Arial" w:cs="Arial"/>
          <w:sz w:val="2"/>
          <w:szCs w:val="2"/>
        </w:rPr>
        <w:br w:type="column"/>
      </w:r>
    </w:p>
    <w:p>
      <w:pPr>
        <w:spacing w:before="47" w:line="240" w:lineRule="exact"/>
        <w:rPr>
          <w:rFonts w:ascii="Arial" w:hAnsi="Arial" w:eastAsia="Arial" w:cs="Arial"/>
          <w:sz w:val="17"/>
          <w:szCs w:val="17"/>
        </w:rPr>
      </w:pPr>
      <w:r>
        <w:rPr>
          <w:rFonts w:ascii="Arial" w:hAnsi="Arial" w:eastAsia="Arial" w:cs="Arial"/>
          <w:color w:val="231F20"/>
          <w:position w:val="1"/>
          <w:sz w:val="17"/>
          <w:szCs w:val="17"/>
        </w:rPr>
        <w:t>%</w:t>
      </w:r>
    </w:p>
    <w:p>
      <w:pPr>
        <w:sectPr>
          <w:type w:val="continuous"/>
          <w:pgSz w:w="12246" w:h="16498"/>
          <w:pgMar w:top="400" w:right="0" w:bottom="400" w:left="0" w:header="0" w:footer="0" w:gutter="0"/>
          <w:cols w:equalWidth="0" w:num="2">
            <w:col w:w="9189" w:space="100"/>
            <w:col w:w="2958"/>
          </w:cols>
        </w:sectPr>
      </w:pPr>
    </w:p>
    <w:p>
      <w:pPr>
        <w:spacing w:line="72" w:lineRule="exact"/>
      </w:pPr>
    </w:p>
    <w:p>
      <w:pPr>
        <w:sectPr>
          <w:type w:val="continuous"/>
          <w:pgSz w:w="12246" w:h="16498"/>
          <w:pgMar w:top="400" w:right="0" w:bottom="400" w:left="0" w:header="0" w:footer="0" w:gutter="0"/>
          <w:cols w:equalWidth="0" w:num="1">
            <w:col w:w="12246"/>
          </w:cols>
        </w:sectPr>
      </w:pPr>
    </w:p>
    <w:p>
      <w:pPr>
        <w:spacing w:before="139" w:line="186" w:lineRule="auto"/>
        <w:jc w:val="right"/>
        <w:rPr>
          <w:rFonts w:ascii="Calibri" w:hAnsi="Calibri" w:eastAsia="Calibri" w:cs="Calibri"/>
          <w:sz w:val="17"/>
          <w:szCs w:val="17"/>
        </w:rPr>
      </w:pPr>
      <w:r>
        <w:rPr>
          <w:rFonts w:ascii="Calibri" w:hAnsi="Calibri" w:eastAsia="Calibri" w:cs="Calibri"/>
          <w:color w:val="030303"/>
          <w:spacing w:val="4"/>
          <w:sz w:val="17"/>
          <w:szCs w:val="17"/>
        </w:rPr>
        <w:t>3</w:t>
      </w:r>
      <w:r>
        <w:rPr>
          <w:rFonts w:ascii="Calibri" w:hAnsi="Calibri" w:eastAsia="Calibri" w:cs="Calibri"/>
          <w:color w:val="030303"/>
          <w:spacing w:val="3"/>
          <w:sz w:val="17"/>
          <w:szCs w:val="17"/>
        </w:rPr>
        <w:t>50000</w:t>
      </w:r>
    </w:p>
    <w:p>
      <w:pPr>
        <w:spacing w:before="223" w:line="186" w:lineRule="auto"/>
        <w:jc w:val="right"/>
        <w:rPr>
          <w:rFonts w:ascii="Calibri" w:hAnsi="Calibri" w:eastAsia="Calibri" w:cs="Calibri"/>
          <w:sz w:val="17"/>
          <w:szCs w:val="17"/>
        </w:rPr>
      </w:pPr>
      <w:r>
        <w:rPr>
          <w:rFonts w:ascii="Calibri" w:hAnsi="Calibri" w:eastAsia="Calibri" w:cs="Calibri"/>
          <w:color w:val="030303"/>
          <w:spacing w:val="4"/>
          <w:sz w:val="17"/>
          <w:szCs w:val="17"/>
        </w:rPr>
        <w:t>3</w:t>
      </w:r>
      <w:r>
        <w:rPr>
          <w:rFonts w:ascii="Calibri" w:hAnsi="Calibri" w:eastAsia="Calibri" w:cs="Calibri"/>
          <w:color w:val="030303"/>
          <w:spacing w:val="3"/>
          <w:sz w:val="17"/>
          <w:szCs w:val="17"/>
        </w:rPr>
        <w:t>00000</w:t>
      </w:r>
    </w:p>
    <w:p>
      <w:pPr>
        <w:spacing w:before="223" w:line="186" w:lineRule="auto"/>
        <w:jc w:val="right"/>
        <w:rPr>
          <w:rFonts w:ascii="Calibri" w:hAnsi="Calibri" w:eastAsia="Calibri" w:cs="Calibri"/>
          <w:sz w:val="17"/>
          <w:szCs w:val="17"/>
        </w:rPr>
      </w:pPr>
      <w:r>
        <w:rPr>
          <w:rFonts w:ascii="Calibri" w:hAnsi="Calibri" w:eastAsia="Calibri" w:cs="Calibri"/>
          <w:color w:val="030303"/>
          <w:spacing w:val="3"/>
          <w:sz w:val="17"/>
          <w:szCs w:val="17"/>
        </w:rPr>
        <w:t>250000</w:t>
      </w:r>
    </w:p>
    <w:p>
      <w:pPr>
        <w:spacing w:before="224" w:line="186" w:lineRule="auto"/>
        <w:jc w:val="right"/>
        <w:rPr>
          <w:rFonts w:ascii="Calibri" w:hAnsi="Calibri" w:eastAsia="Calibri" w:cs="Calibri"/>
          <w:sz w:val="17"/>
          <w:szCs w:val="17"/>
        </w:rPr>
      </w:pPr>
      <w:r>
        <w:rPr>
          <w:rFonts w:ascii="Calibri" w:hAnsi="Calibri" w:eastAsia="Calibri" w:cs="Calibri"/>
          <w:color w:val="030303"/>
          <w:spacing w:val="3"/>
          <w:sz w:val="17"/>
          <w:szCs w:val="17"/>
        </w:rPr>
        <w:t>200000</w:t>
      </w:r>
    </w:p>
    <w:p>
      <w:pPr>
        <w:spacing w:before="224" w:line="186" w:lineRule="auto"/>
        <w:jc w:val="right"/>
        <w:rPr>
          <w:rFonts w:ascii="Calibri" w:hAnsi="Calibri" w:eastAsia="Calibri" w:cs="Calibri"/>
          <w:sz w:val="17"/>
          <w:szCs w:val="17"/>
        </w:rPr>
      </w:pPr>
      <w:r>
        <w:rPr>
          <w:rFonts w:ascii="Calibri" w:hAnsi="Calibri" w:eastAsia="Calibri" w:cs="Calibri"/>
          <w:color w:val="030303"/>
          <w:spacing w:val="3"/>
          <w:sz w:val="17"/>
          <w:szCs w:val="17"/>
        </w:rPr>
        <w:t>1</w:t>
      </w:r>
      <w:r>
        <w:rPr>
          <w:rFonts w:ascii="Calibri" w:hAnsi="Calibri" w:eastAsia="Calibri" w:cs="Calibri"/>
          <w:color w:val="030303"/>
          <w:spacing w:val="2"/>
          <w:sz w:val="17"/>
          <w:szCs w:val="17"/>
        </w:rPr>
        <w:t>50000</w:t>
      </w:r>
    </w:p>
    <w:p>
      <w:pPr>
        <w:spacing w:before="223" w:line="186" w:lineRule="auto"/>
        <w:jc w:val="right"/>
        <w:rPr>
          <w:rFonts w:ascii="Calibri" w:hAnsi="Calibri" w:eastAsia="Calibri" w:cs="Calibri"/>
          <w:sz w:val="17"/>
          <w:szCs w:val="17"/>
        </w:rPr>
      </w:pPr>
      <w:r>
        <w:rPr>
          <w:rFonts w:ascii="Calibri" w:hAnsi="Calibri" w:eastAsia="Calibri" w:cs="Calibri"/>
          <w:color w:val="030303"/>
          <w:spacing w:val="3"/>
          <w:sz w:val="17"/>
          <w:szCs w:val="17"/>
        </w:rPr>
        <w:t>1</w:t>
      </w:r>
      <w:r>
        <w:rPr>
          <w:rFonts w:ascii="Calibri" w:hAnsi="Calibri" w:eastAsia="Calibri" w:cs="Calibri"/>
          <w:color w:val="030303"/>
          <w:spacing w:val="2"/>
          <w:sz w:val="17"/>
          <w:szCs w:val="17"/>
        </w:rPr>
        <w:t>00000</w:t>
      </w:r>
    </w:p>
    <w:p>
      <w:pPr>
        <w:spacing w:before="224" w:line="186" w:lineRule="auto"/>
        <w:jc w:val="right"/>
        <w:rPr>
          <w:rFonts w:ascii="Calibri" w:hAnsi="Calibri" w:eastAsia="Calibri" w:cs="Calibri"/>
          <w:sz w:val="17"/>
          <w:szCs w:val="17"/>
        </w:rPr>
      </w:pPr>
      <w:r>
        <w:rPr>
          <w:rFonts w:ascii="Calibri" w:hAnsi="Calibri" w:eastAsia="Calibri" w:cs="Calibri"/>
          <w:color w:val="030303"/>
          <w:spacing w:val="3"/>
          <w:sz w:val="17"/>
          <w:szCs w:val="17"/>
        </w:rPr>
        <w:t>50000</w:t>
      </w:r>
    </w:p>
    <w:p>
      <w:pPr>
        <w:spacing w:before="223" w:line="186" w:lineRule="auto"/>
        <w:jc w:val="right"/>
        <w:rPr>
          <w:rFonts w:ascii="Calibri" w:hAnsi="Calibri" w:eastAsia="Calibri" w:cs="Calibri"/>
          <w:sz w:val="17"/>
          <w:szCs w:val="17"/>
        </w:rPr>
      </w:pPr>
      <w:r>
        <w:rPr>
          <w:rFonts w:ascii="Calibri" w:hAnsi="Calibri" w:eastAsia="Calibri" w:cs="Calibri"/>
          <w:color w:val="030303"/>
          <w:spacing w:val="-2"/>
          <w:sz w:val="17"/>
          <w:szCs w:val="17"/>
        </w:rPr>
        <w:t>0</w:t>
      </w:r>
    </w:p>
    <w:p>
      <w:pPr>
        <w:spacing w:line="14" w:lineRule="auto"/>
        <w:rPr>
          <w:rFonts w:ascii="Arial"/>
          <w:sz w:val="2"/>
        </w:rPr>
      </w:pPr>
      <w:r>
        <w:rPr>
          <w:rFonts w:ascii="Arial" w:hAnsi="Arial" w:eastAsia="Arial" w:cs="Arial"/>
          <w:sz w:val="2"/>
          <w:szCs w:val="2"/>
        </w:rPr>
        <w:br w:type="column"/>
      </w:r>
    </w:p>
    <w:p>
      <w:pPr>
        <w:spacing w:line="47" w:lineRule="exact"/>
      </w:pPr>
    </w:p>
    <w:tbl>
      <w:tblPr>
        <w:tblStyle w:val="4"/>
        <w:tblW w:w="5981" w:type="dxa"/>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292"/>
        <w:gridCol w:w="2000"/>
        <w:gridCol w:w="168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25" w:hRule="atLeast"/>
        </w:trPr>
        <w:tc>
          <w:tcPr>
            <w:tcW w:w="5981" w:type="dxa"/>
            <w:gridSpan w:val="3"/>
            <w:tcBorders>
              <w:top w:val="single" w:color="CEE6ED" w:sz="2" w:space="0"/>
              <w:bottom w:val="single" w:color="CEE6ED" w:sz="2" w:space="0"/>
            </w:tcBorders>
            <w:vAlign w:val="top"/>
          </w:tcPr>
          <w:p>
            <w:pPr>
              <w:rPr>
                <w:rFonts w:ascii="Arial"/>
                <w:sz w:val="21"/>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79" w:hRule="atLeast"/>
        </w:trPr>
        <w:tc>
          <w:tcPr>
            <w:tcW w:w="5981" w:type="dxa"/>
            <w:gridSpan w:val="3"/>
            <w:tcBorders>
              <w:top w:val="single" w:color="CEE6ED" w:sz="2" w:space="0"/>
              <w:bottom w:val="single" w:color="CEE6ED" w:sz="2" w:space="0"/>
            </w:tcBorders>
            <w:vAlign w:val="top"/>
          </w:tcPr>
          <w:p>
            <w:pPr>
              <w:spacing w:before="198" w:line="115" w:lineRule="exact"/>
              <w:ind w:firstLine="4873"/>
              <w:textAlignment w:val="center"/>
            </w:pPr>
            <w:r>
              <w:pict>
                <v:group id="_x0000_s1172" o:spid="_x0000_s1172" o:spt="203" style="height:5.8pt;width:5.8pt;" coordsize="116,116">
                  <o:lock v:ext="edit"/>
                  <v:shape id="_x0000_s1173" o:spid="_x0000_s1173" style="position:absolute;left:7;top:7;height:101;width:101;" fillcolor="#86A9CB" filled="t" stroked="f" coordsize="101,101" path="m0,50c0,22,22,0,50,0c77,0,100,22,100,50c100,77,77,100,50,100c22,100,0,77,0,50e">
                    <v:path/>
                    <v:fill on="t" focussize="0,0"/>
                    <v:stroke on="f"/>
                    <v:imagedata o:title=""/>
                    <o:lock v:ext="edit"/>
                  </v:shape>
                  <v:shape id="_x0000_s1174" o:spid="_x0000_s1174" style="position:absolute;left:0;top:0;height:116;width:116;" filled="f" stroked="t" coordsize="116,116" path="m7,57c7,29,29,7,57,7c85,7,107,29,107,57c107,85,85,107,57,107c29,107,7,85,7,57e">
                    <v:fill on="f" focussize="0,0"/>
                    <v:stroke color="#86A9CB" miterlimit="10"/>
                    <v:imagedata o:title=""/>
                    <o:lock v:ext="edit"/>
                  </v:shape>
                  <w10:wrap type="none"/>
                  <w10:anchorlock/>
                </v:group>
              </w:pic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0" w:hRule="atLeast"/>
        </w:trPr>
        <w:tc>
          <w:tcPr>
            <w:tcW w:w="5981" w:type="dxa"/>
            <w:gridSpan w:val="3"/>
            <w:tcBorders>
              <w:top w:val="single" w:color="CEE6ED" w:sz="2" w:space="0"/>
              <w:bottom w:val="single" w:color="CEE6ED" w:sz="2" w:space="0"/>
            </w:tcBorders>
            <w:vAlign w:val="top"/>
          </w:tcPr>
          <w:p>
            <w:pPr>
              <w:spacing w:line="250" w:lineRule="auto"/>
              <w:rPr>
                <w:rFonts w:ascii="Arial"/>
                <w:sz w:val="21"/>
              </w:rPr>
            </w:pPr>
          </w:p>
          <w:p>
            <w:pPr>
              <w:spacing w:line="98" w:lineRule="exact"/>
              <w:ind w:firstLine="2941"/>
              <w:textAlignment w:val="center"/>
            </w:pPr>
            <w:r>
              <w:pict>
                <v:shape id="_x0000_s1175" o:spid="_x0000_s1175" style="height:5.05pt;width:5.05pt;" fillcolor="#86A9CB" filled="t" stroked="f" coordsize="101,101" path="m0,50c0,22,22,0,50,0c77,0,100,22,100,50c100,77,77,100,50,100c22,100,0,77,0,50e">
                  <v:path/>
                  <v:fill on="t" focussize="0,0"/>
                  <v:stroke on="f"/>
                  <v:imagedata o:title=""/>
                  <o:lock v:ext="edit"/>
                  <w10:wrap type="none"/>
                  <w10:anchorlock/>
                </v:shape>
              </w:pic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8" w:hRule="atLeast"/>
        </w:trPr>
        <w:tc>
          <w:tcPr>
            <w:tcW w:w="5981" w:type="dxa"/>
            <w:gridSpan w:val="3"/>
            <w:tcBorders>
              <w:top w:val="single" w:color="CEE6ED" w:sz="2" w:space="0"/>
              <w:bottom w:val="single" w:color="CEE6ED" w:sz="2" w:space="0"/>
            </w:tcBorders>
            <w:vAlign w:val="top"/>
          </w:tcPr>
          <w:p>
            <w:pPr>
              <w:spacing w:before="10" w:line="180" w:lineRule="auto"/>
              <w:ind w:left="2854"/>
              <w:rPr>
                <w:rFonts w:ascii="微软雅黑" w:hAnsi="微软雅黑" w:eastAsia="微软雅黑" w:cs="微软雅黑"/>
                <w:sz w:val="17"/>
                <w:szCs w:val="17"/>
              </w:rPr>
            </w:pPr>
            <w:r>
              <w:pict>
                <v:shape id="_x0000_s1176" o:spid="_x0000_s1176" style="position:absolute;left:0pt;margin-left:51.4pt;margin-top:-3.75pt;height:50.7pt;width:99.25pt;z-index:-251511808;mso-width-relative:page;mso-height-relative:page;" filled="f" stroked="t" coordsize="1985,1014" path="m22,991l1962,22e">
                  <v:fill on="f" focussize="0,0"/>
                  <v:stroke weight="2.25pt" color="#86A9CB" miterlimit="10" endcap="round"/>
                  <v:imagedata o:title=""/>
                  <o:lock v:ext="edit"/>
                </v:shape>
              </w:pict>
            </w:r>
            <w:r>
              <w:rPr>
                <w:rFonts w:ascii="微软雅黑" w:hAnsi="微软雅黑" w:eastAsia="微软雅黑" w:cs="微软雅黑"/>
                <w:color w:val="030303"/>
                <w:spacing w:val="4"/>
                <w:sz w:val="17"/>
                <w:szCs w:val="17"/>
              </w:rPr>
              <w:t>7</w:t>
            </w:r>
            <w:r>
              <w:rPr>
                <w:rFonts w:ascii="微软雅黑" w:hAnsi="微软雅黑" w:eastAsia="微软雅黑" w:cs="微软雅黑"/>
                <w:color w:val="030303"/>
                <w:spacing w:val="3"/>
                <w:sz w:val="17"/>
                <w:szCs w:val="17"/>
              </w:rPr>
              <w:t>.5%</w:t>
            </w:r>
          </w:p>
          <w:p>
            <w:pPr>
              <w:spacing w:before="75" w:line="103" w:lineRule="exact"/>
              <w:ind w:left="4282"/>
              <w:rPr>
                <w:rFonts w:ascii="微软雅黑" w:hAnsi="微软雅黑" w:eastAsia="微软雅黑" w:cs="微软雅黑"/>
                <w:sz w:val="13"/>
                <w:szCs w:val="13"/>
              </w:rPr>
            </w:pPr>
            <w:r>
              <w:rPr>
                <w:rFonts w:ascii="微软雅黑" w:hAnsi="微软雅黑" w:eastAsia="微软雅黑" w:cs="微软雅黑"/>
                <w:color w:val="030303"/>
                <w:spacing w:val="26"/>
                <w:position w:val="-2"/>
                <w:sz w:val="13"/>
                <w:szCs w:val="13"/>
              </w:rPr>
              <w:t>287986.2</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79" w:hRule="atLeast"/>
        </w:trPr>
        <w:tc>
          <w:tcPr>
            <w:tcW w:w="5981" w:type="dxa"/>
            <w:gridSpan w:val="3"/>
            <w:tcBorders>
              <w:top w:val="single" w:color="CEE6ED" w:sz="2" w:space="0"/>
              <w:bottom w:val="single" w:color="CEE6ED" w:sz="2" w:space="0"/>
            </w:tcBorders>
            <w:vAlign w:val="top"/>
          </w:tcPr>
          <w:p>
            <w:pPr>
              <w:spacing w:before="46" w:line="191" w:lineRule="auto"/>
              <w:ind w:left="393"/>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 xml:space="preserve">234664.4     </w:t>
            </w:r>
            <w:r>
              <w:rPr>
                <w:rFonts w:ascii="微软雅黑" w:hAnsi="微软雅黑" w:eastAsia="微软雅黑" w:cs="微软雅黑"/>
                <w:color w:val="030303"/>
                <w:spacing w:val="3"/>
                <w:sz w:val="17"/>
                <w:szCs w:val="17"/>
              </w:rPr>
              <w:t xml:space="preserve"> </w:t>
            </w:r>
            <w:r>
              <w:rPr>
                <w:rFonts w:ascii="微软雅黑" w:hAnsi="微软雅黑" w:eastAsia="微软雅黑" w:cs="微软雅黑"/>
                <w:color w:val="030303"/>
                <w:spacing w:val="2"/>
                <w:sz w:val="17"/>
                <w:szCs w:val="17"/>
              </w:rPr>
              <w:t xml:space="preserve">                 241779.4</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79" w:hRule="atLeast"/>
        </w:trPr>
        <w:tc>
          <w:tcPr>
            <w:tcW w:w="5981" w:type="dxa"/>
            <w:gridSpan w:val="3"/>
            <w:tcBorders>
              <w:top w:val="single" w:color="CEE6ED" w:sz="2" w:space="0"/>
              <w:bottom w:val="single" w:color="CEE6ED" w:sz="2" w:space="0"/>
            </w:tcBorders>
            <w:vAlign w:val="top"/>
          </w:tcPr>
          <w:p>
            <w:pPr>
              <w:spacing w:before="61" w:line="109" w:lineRule="exact"/>
              <w:ind w:firstLine="993"/>
              <w:textAlignment w:val="center"/>
            </w:pPr>
            <w:r>
              <w:pict>
                <v:group id="_x0000_s1177" o:spid="_x0000_s1177" o:spt="203" style="height:5.8pt;width:5.8pt;" coordsize="116,116">
                  <o:lock v:ext="edit"/>
                  <v:shape id="_x0000_s1178" o:spid="_x0000_s1178" style="position:absolute;left:7;top:7;height:101;width:101;" fillcolor="#86A9CB" filled="t" stroked="f" coordsize="101,101" path="m0,50c0,22,22,0,50,0c77,0,100,22,100,50c100,77,77,100,50,100c22,100,0,77,0,50e">
                    <v:path/>
                    <v:fill on="t" focussize="0,0"/>
                    <v:stroke on="f"/>
                    <v:imagedata o:title=""/>
                    <o:lock v:ext="edit"/>
                  </v:shape>
                  <v:shape id="_x0000_s1179" o:spid="_x0000_s1179" style="position:absolute;left:0;top:0;height:116;width:116;" filled="f" stroked="t" coordsize="116,116" path="m7,57c7,29,29,7,57,7c85,7,107,29,107,57c107,85,85,107,57,107c29,107,7,85,7,57e">
                    <v:fill on="f" focussize="0,0"/>
                    <v:stroke color="#86A9CB" miterlimit="10"/>
                    <v:imagedata o:title=""/>
                    <o:lock v:ext="edit"/>
                  </v:shape>
                  <w10:wrap type="none"/>
                  <w10:anchorlock/>
                </v:group>
              </w:pict>
            </w:r>
          </w:p>
          <w:p>
            <w:pPr>
              <w:spacing w:line="171" w:lineRule="auto"/>
              <w:ind w:left="899"/>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6.6%</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33" w:hRule="atLeast"/>
        </w:trPr>
        <w:tc>
          <w:tcPr>
            <w:tcW w:w="2292" w:type="dxa"/>
            <w:tcBorders>
              <w:bottom w:val="nil"/>
              <w:right w:val="nil"/>
            </w:tcBorders>
            <w:vAlign w:val="top"/>
          </w:tcPr>
          <w:p>
            <w:pPr>
              <w:spacing w:before="112" w:line="179" w:lineRule="auto"/>
              <w:ind w:left="1076"/>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1</w:t>
            </w:r>
            <w:r>
              <w:rPr>
                <w:rFonts w:ascii="微软雅黑" w:hAnsi="微软雅黑" w:eastAsia="微软雅黑" w:cs="微软雅黑"/>
                <w:color w:val="030303"/>
                <w:spacing w:val="2"/>
                <w:sz w:val="17"/>
                <w:szCs w:val="17"/>
              </w:rPr>
              <w:t>5580</w:t>
            </w:r>
          </w:p>
        </w:tc>
        <w:tc>
          <w:tcPr>
            <w:tcW w:w="2000" w:type="dxa"/>
            <w:tcBorders>
              <w:left w:val="nil"/>
              <w:bottom w:val="nil"/>
              <w:right w:val="nil"/>
            </w:tcBorders>
            <w:vAlign w:val="top"/>
          </w:tcPr>
          <w:p>
            <w:pPr>
              <w:spacing w:before="96" w:line="179" w:lineRule="auto"/>
              <w:ind w:left="702"/>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18234.</w:t>
            </w:r>
            <w:r>
              <w:rPr>
                <w:rFonts w:ascii="微软雅黑" w:hAnsi="微软雅黑" w:eastAsia="微软雅黑" w:cs="微软雅黑"/>
                <w:color w:val="030303"/>
                <w:spacing w:val="2"/>
                <w:sz w:val="17"/>
                <w:szCs w:val="17"/>
              </w:rPr>
              <w:t>1</w:t>
            </w:r>
          </w:p>
        </w:tc>
        <w:tc>
          <w:tcPr>
            <w:tcW w:w="1689" w:type="dxa"/>
            <w:tcBorders>
              <w:left w:val="nil"/>
              <w:bottom w:val="nil"/>
            </w:tcBorders>
            <w:vAlign w:val="top"/>
          </w:tcPr>
          <w:p>
            <w:pPr>
              <w:spacing w:before="60" w:line="178" w:lineRule="auto"/>
              <w:ind w:left="642"/>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22845.5</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0" w:hRule="atLeast"/>
        </w:trPr>
        <w:tc>
          <w:tcPr>
            <w:tcW w:w="5981" w:type="dxa"/>
            <w:gridSpan w:val="3"/>
            <w:tcBorders>
              <w:top w:val="nil"/>
              <w:bottom w:val="nil"/>
            </w:tcBorders>
            <w:vAlign w:val="top"/>
          </w:tcPr>
          <w:p>
            <w:pPr>
              <w:spacing w:line="60" w:lineRule="exact"/>
              <w:rPr>
                <w:rFonts w:ascii="Arial"/>
                <w:sz w:val="5"/>
              </w:rPr>
            </w:pPr>
          </w:p>
        </w:tc>
      </w:tr>
    </w:tbl>
    <w:p>
      <w:pPr>
        <w:spacing w:before="59" w:line="117" w:lineRule="exact"/>
        <w:ind w:left="4763"/>
        <w:rPr>
          <w:rFonts w:ascii="Calibri" w:hAnsi="Calibri" w:eastAsia="Calibri" w:cs="Calibri"/>
          <w:sz w:val="17"/>
          <w:szCs w:val="17"/>
        </w:rPr>
      </w:pPr>
      <w:r>
        <w:pict>
          <v:shape id="_x0000_s1180" o:spid="_x0000_s1180" o:spt="202" type="#_x0000_t202" style="position:absolute;left:0pt;margin-left:43.2pt;margin-top:1.95pt;height:10.05pt;width:19.7pt;z-index:251805696;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3"/>
                      <w:sz w:val="17"/>
                      <w:szCs w:val="17"/>
                    </w:rPr>
                    <w:t>2</w:t>
                  </w:r>
                  <w:r>
                    <w:rPr>
                      <w:rFonts w:ascii="Calibri" w:hAnsi="Calibri" w:eastAsia="Calibri" w:cs="Calibri"/>
                      <w:color w:val="030303"/>
                      <w:spacing w:val="2"/>
                      <w:sz w:val="17"/>
                      <w:szCs w:val="17"/>
                    </w:rPr>
                    <w:t>019</w:t>
                  </w:r>
                </w:p>
              </w:txbxContent>
            </v:textbox>
          </v:shape>
        </w:pict>
      </w:r>
      <w:r>
        <w:pict>
          <v:shape id="_x0000_s1181" o:spid="_x0000_s1181" o:spt="202" type="#_x0000_t202" style="position:absolute;left:0pt;margin-left:140.2pt;margin-top:1.95pt;height:10.05pt;width:19.7pt;z-index:251806720;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3"/>
                      <w:sz w:val="17"/>
                      <w:szCs w:val="17"/>
                    </w:rPr>
                    <w:t>2</w:t>
                  </w:r>
                  <w:r>
                    <w:rPr>
                      <w:rFonts w:ascii="Calibri" w:hAnsi="Calibri" w:eastAsia="Calibri" w:cs="Calibri"/>
                      <w:color w:val="030303"/>
                      <w:spacing w:val="2"/>
                      <w:sz w:val="17"/>
                      <w:szCs w:val="17"/>
                    </w:rPr>
                    <w:t>020</w:t>
                  </w:r>
                </w:p>
              </w:txbxContent>
            </v:textbox>
          </v:shape>
        </w:pict>
      </w:r>
      <w:r>
        <w:rPr>
          <w:rFonts w:ascii="Calibri" w:hAnsi="Calibri" w:eastAsia="Calibri" w:cs="Calibri"/>
          <w:color w:val="030303"/>
          <w:spacing w:val="3"/>
          <w:position w:val="-2"/>
          <w:sz w:val="17"/>
          <w:szCs w:val="17"/>
        </w:rPr>
        <w:t>2</w:t>
      </w:r>
      <w:r>
        <w:rPr>
          <w:rFonts w:ascii="Calibri" w:hAnsi="Calibri" w:eastAsia="Calibri" w:cs="Calibri"/>
          <w:color w:val="030303"/>
          <w:spacing w:val="2"/>
          <w:position w:val="-2"/>
          <w:sz w:val="17"/>
          <w:szCs w:val="17"/>
        </w:rPr>
        <w:t>021</w:t>
      </w:r>
    </w:p>
    <w:p>
      <w:pPr>
        <w:spacing w:line="14" w:lineRule="auto"/>
        <w:rPr>
          <w:rFonts w:ascii="Arial"/>
          <w:sz w:val="2"/>
        </w:rPr>
      </w:pPr>
      <w:r>
        <w:rPr>
          <w:rFonts w:ascii="Arial" w:hAnsi="Arial" w:eastAsia="Arial" w:cs="Arial"/>
          <w:sz w:val="2"/>
          <w:szCs w:val="2"/>
        </w:rPr>
        <w:br w:type="column"/>
      </w:r>
    </w:p>
    <w:p>
      <w:pPr>
        <w:spacing w:line="275" w:lineRule="auto"/>
        <w:rPr>
          <w:rFonts w:ascii="Arial"/>
          <w:sz w:val="21"/>
        </w:rPr>
      </w:pPr>
    </w:p>
    <w:p>
      <w:pPr>
        <w:spacing w:line="275" w:lineRule="auto"/>
        <w:rPr>
          <w:rFonts w:ascii="Arial"/>
          <w:sz w:val="21"/>
        </w:rPr>
      </w:pPr>
    </w:p>
    <w:p>
      <w:pPr>
        <w:spacing w:before="52" w:line="241" w:lineRule="exact"/>
        <w:rPr>
          <w:rFonts w:ascii="Calibri" w:hAnsi="Calibri" w:eastAsia="Calibri" w:cs="Calibri"/>
          <w:sz w:val="17"/>
          <w:szCs w:val="17"/>
        </w:rPr>
      </w:pPr>
      <w:r>
        <w:rPr>
          <w:rFonts w:ascii="Calibri" w:hAnsi="Calibri" w:eastAsia="Calibri" w:cs="Calibri"/>
          <w:color w:val="030303"/>
          <w:spacing w:val="3"/>
          <w:position w:val="2"/>
          <w:sz w:val="17"/>
          <w:szCs w:val="17"/>
        </w:rPr>
        <w:t>8.0</w:t>
      </w:r>
      <w:r>
        <w:rPr>
          <w:rFonts w:ascii="Calibri" w:hAnsi="Calibri" w:eastAsia="Calibri" w:cs="Calibri"/>
          <w:color w:val="030303"/>
          <w:spacing w:val="2"/>
          <w:position w:val="2"/>
          <w:sz w:val="17"/>
          <w:szCs w:val="17"/>
        </w:rPr>
        <w:t>%</w:t>
      </w:r>
    </w:p>
    <w:p>
      <w:pPr>
        <w:spacing w:line="244" w:lineRule="auto"/>
        <w:rPr>
          <w:rFonts w:ascii="Arial"/>
          <w:sz w:val="21"/>
        </w:rPr>
      </w:pPr>
    </w:p>
    <w:p>
      <w:pPr>
        <w:spacing w:before="52" w:line="241" w:lineRule="exact"/>
        <w:ind w:left="1"/>
        <w:rPr>
          <w:rFonts w:ascii="Calibri" w:hAnsi="Calibri" w:eastAsia="Calibri" w:cs="Calibri"/>
          <w:sz w:val="17"/>
          <w:szCs w:val="17"/>
        </w:rPr>
      </w:pPr>
      <w:r>
        <w:rPr>
          <w:rFonts w:ascii="Calibri" w:hAnsi="Calibri" w:eastAsia="Calibri" w:cs="Calibri"/>
          <w:color w:val="030303"/>
          <w:spacing w:val="3"/>
          <w:position w:val="2"/>
          <w:sz w:val="17"/>
          <w:szCs w:val="17"/>
        </w:rPr>
        <w:t>7</w:t>
      </w:r>
      <w:r>
        <w:rPr>
          <w:rFonts w:ascii="Calibri" w:hAnsi="Calibri" w:eastAsia="Calibri" w:cs="Calibri"/>
          <w:color w:val="030303"/>
          <w:spacing w:val="2"/>
          <w:position w:val="2"/>
          <w:sz w:val="17"/>
          <w:szCs w:val="17"/>
        </w:rPr>
        <w:t>.5%</w:t>
      </w:r>
    </w:p>
    <w:p>
      <w:pPr>
        <w:spacing w:line="244" w:lineRule="auto"/>
        <w:rPr>
          <w:rFonts w:ascii="Arial"/>
          <w:sz w:val="21"/>
        </w:rPr>
      </w:pPr>
    </w:p>
    <w:p>
      <w:pPr>
        <w:spacing w:before="52" w:line="241" w:lineRule="exact"/>
        <w:ind w:left="1"/>
        <w:rPr>
          <w:rFonts w:ascii="Calibri" w:hAnsi="Calibri" w:eastAsia="Calibri" w:cs="Calibri"/>
          <w:sz w:val="17"/>
          <w:szCs w:val="17"/>
        </w:rPr>
      </w:pPr>
      <w:r>
        <w:rPr>
          <w:rFonts w:ascii="Calibri" w:hAnsi="Calibri" w:eastAsia="Calibri" w:cs="Calibri"/>
          <w:color w:val="030303"/>
          <w:spacing w:val="3"/>
          <w:position w:val="2"/>
          <w:sz w:val="17"/>
          <w:szCs w:val="17"/>
        </w:rPr>
        <w:t>7</w:t>
      </w:r>
      <w:r>
        <w:rPr>
          <w:rFonts w:ascii="Calibri" w:hAnsi="Calibri" w:eastAsia="Calibri" w:cs="Calibri"/>
          <w:color w:val="030303"/>
          <w:spacing w:val="2"/>
          <w:position w:val="2"/>
          <w:sz w:val="17"/>
          <w:szCs w:val="17"/>
        </w:rPr>
        <w:t>.0%</w:t>
      </w:r>
    </w:p>
    <w:p>
      <w:pPr>
        <w:spacing w:line="243" w:lineRule="auto"/>
        <w:rPr>
          <w:rFonts w:ascii="Arial"/>
          <w:sz w:val="21"/>
        </w:rPr>
      </w:pPr>
    </w:p>
    <w:p>
      <w:pPr>
        <w:spacing w:before="52" w:line="241" w:lineRule="exact"/>
        <w:ind w:left="2"/>
        <w:rPr>
          <w:rFonts w:ascii="Calibri" w:hAnsi="Calibri" w:eastAsia="Calibri" w:cs="Calibri"/>
          <w:sz w:val="17"/>
          <w:szCs w:val="17"/>
        </w:rPr>
      </w:pPr>
      <w:r>
        <w:rPr>
          <w:rFonts w:ascii="Calibri" w:hAnsi="Calibri" w:eastAsia="Calibri" w:cs="Calibri"/>
          <w:color w:val="030303"/>
          <w:spacing w:val="3"/>
          <w:position w:val="2"/>
          <w:sz w:val="17"/>
          <w:szCs w:val="17"/>
        </w:rPr>
        <w:t>6</w:t>
      </w:r>
      <w:r>
        <w:rPr>
          <w:rFonts w:ascii="Calibri" w:hAnsi="Calibri" w:eastAsia="Calibri" w:cs="Calibri"/>
          <w:color w:val="030303"/>
          <w:spacing w:val="2"/>
          <w:position w:val="2"/>
          <w:sz w:val="17"/>
          <w:szCs w:val="17"/>
        </w:rPr>
        <w:t>.5%</w:t>
      </w:r>
    </w:p>
    <w:p>
      <w:pPr>
        <w:spacing w:line="244" w:lineRule="auto"/>
        <w:rPr>
          <w:rFonts w:ascii="Arial"/>
          <w:sz w:val="21"/>
        </w:rPr>
      </w:pPr>
    </w:p>
    <w:p>
      <w:pPr>
        <w:spacing w:before="52" w:line="241" w:lineRule="exact"/>
        <w:ind w:left="2"/>
        <w:rPr>
          <w:rFonts w:ascii="Calibri" w:hAnsi="Calibri" w:eastAsia="Calibri" w:cs="Calibri"/>
          <w:sz w:val="17"/>
          <w:szCs w:val="17"/>
        </w:rPr>
      </w:pPr>
      <w:r>
        <w:rPr>
          <w:rFonts w:ascii="Calibri" w:hAnsi="Calibri" w:eastAsia="Calibri" w:cs="Calibri"/>
          <w:color w:val="030303"/>
          <w:spacing w:val="3"/>
          <w:position w:val="2"/>
          <w:sz w:val="17"/>
          <w:szCs w:val="17"/>
        </w:rPr>
        <w:t>6</w:t>
      </w:r>
      <w:r>
        <w:rPr>
          <w:rFonts w:ascii="Calibri" w:hAnsi="Calibri" w:eastAsia="Calibri" w:cs="Calibri"/>
          <w:color w:val="030303"/>
          <w:spacing w:val="2"/>
          <w:position w:val="2"/>
          <w:sz w:val="17"/>
          <w:szCs w:val="17"/>
        </w:rPr>
        <w:t>.0%</w:t>
      </w:r>
    </w:p>
    <w:p>
      <w:pPr>
        <w:sectPr>
          <w:type w:val="continuous"/>
          <w:pgSz w:w="12246" w:h="16498"/>
          <w:pgMar w:top="400" w:right="0" w:bottom="400" w:left="0" w:header="0" w:footer="0" w:gutter="0"/>
          <w:cols w:equalWidth="0" w:num="3">
            <w:col w:w="3215" w:space="30"/>
            <w:col w:w="5987" w:space="43"/>
            <w:col w:w="2970"/>
          </w:cols>
        </w:sectPr>
      </w:pPr>
    </w:p>
    <w:p>
      <w:pPr>
        <w:spacing w:before="269" w:line="230" w:lineRule="auto"/>
        <w:ind w:left="4523"/>
        <w:rPr>
          <w:rFonts w:ascii="宋体" w:hAnsi="宋体" w:eastAsia="宋体" w:cs="宋体"/>
          <w:sz w:val="17"/>
          <w:szCs w:val="17"/>
        </w:rPr>
      </w:pPr>
      <w:r>
        <w:rPr>
          <w:rFonts w:ascii="宋体" w:hAnsi="宋体" w:eastAsia="宋体" w:cs="宋体"/>
          <w:color w:val="030303"/>
          <w:spacing w:val="2"/>
          <w:sz w:val="17"/>
          <w:szCs w:val="17"/>
        </w:rPr>
        <w:t xml:space="preserve">营业收入      利润总额 </w:t>
      </w:r>
      <w:r>
        <w:rPr>
          <w:sz w:val="17"/>
          <w:szCs w:val="17"/>
        </w:rPr>
        <w:drawing>
          <wp:inline distT="0" distB="0" distL="0" distR="0">
            <wp:extent cx="281940" cy="7302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72"/>
                    <a:stretch>
                      <a:fillRect/>
                    </a:stretch>
                  </pic:blipFill>
                  <pic:spPr>
                    <a:xfrm>
                      <a:off x="0" y="0"/>
                      <a:ext cx="282247" cy="73280"/>
                    </a:xfrm>
                    <a:prstGeom prst="rect">
                      <a:avLst/>
                    </a:prstGeom>
                  </pic:spPr>
                </pic:pic>
              </a:graphicData>
            </a:graphic>
          </wp:inline>
        </w:drawing>
      </w:r>
      <w:r>
        <w:rPr>
          <w:rFonts w:ascii="宋体" w:hAnsi="宋体" w:eastAsia="宋体" w:cs="宋体"/>
          <w:color w:val="030303"/>
          <w:spacing w:val="2"/>
          <w:sz w:val="17"/>
          <w:szCs w:val="17"/>
        </w:rPr>
        <w:t xml:space="preserve"> 营业收入利润</w:t>
      </w:r>
      <w:r>
        <w:rPr>
          <w:rFonts w:ascii="宋体" w:hAnsi="宋体" w:eastAsia="宋体" w:cs="宋体"/>
          <w:color w:val="030303"/>
          <w:sz w:val="17"/>
          <w:szCs w:val="17"/>
        </w:rPr>
        <w:t>率</w:t>
      </w:r>
    </w:p>
    <w:p>
      <w:pPr>
        <w:spacing w:before="225" w:line="382" w:lineRule="exact"/>
        <w:ind w:left="3819"/>
        <w:rPr>
          <w:rFonts w:ascii="SimHei" w:hAnsi="SimHei" w:eastAsia="SimHei" w:cs="SimHei"/>
          <w:sz w:val="20"/>
          <w:szCs w:val="20"/>
        </w:rPr>
      </w:pPr>
      <w:r>
        <w:rPr>
          <w:rFonts w:ascii="SimHei" w:hAnsi="SimHei" w:eastAsia="SimHei" w:cs="SimHei"/>
          <w:color w:val="231F20"/>
          <w:spacing w:val="3"/>
          <w:position w:val="13"/>
          <w:sz w:val="20"/>
          <w:szCs w:val="20"/>
        </w:rPr>
        <w:t xml:space="preserve">图 </w:t>
      </w:r>
      <w:r>
        <w:rPr>
          <w:rFonts w:ascii="Times New Roman" w:hAnsi="Times New Roman" w:eastAsia="Times New Roman" w:cs="Times New Roman"/>
          <w:color w:val="231F20"/>
          <w:spacing w:val="3"/>
          <w:position w:val="13"/>
          <w:sz w:val="20"/>
          <w:szCs w:val="20"/>
        </w:rPr>
        <w:t xml:space="preserve">1-9 2019-2021 </w:t>
      </w:r>
      <w:r>
        <w:rPr>
          <w:rFonts w:ascii="SimHei" w:hAnsi="SimHei" w:eastAsia="SimHei" w:cs="SimHei"/>
          <w:color w:val="231F20"/>
          <w:spacing w:val="3"/>
          <w:position w:val="13"/>
          <w:sz w:val="20"/>
          <w:szCs w:val="20"/>
        </w:rPr>
        <w:t>年规模以上外资工业企业经营情况</w:t>
      </w:r>
    </w:p>
    <w:p>
      <w:pPr>
        <w:spacing w:before="1"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pacing w:line="276" w:lineRule="auto"/>
        <w:rPr>
          <w:rFonts w:ascii="Arial"/>
          <w:sz w:val="21"/>
        </w:rPr>
      </w:pPr>
    </w:p>
    <w:p>
      <w:pPr>
        <w:spacing w:line="277" w:lineRule="auto"/>
        <w:rPr>
          <w:rFonts w:ascii="Arial"/>
          <w:sz w:val="21"/>
        </w:rPr>
      </w:pPr>
    </w:p>
    <w:p>
      <w:pPr>
        <w:spacing w:before="72" w:line="217" w:lineRule="auto"/>
        <w:ind w:left="2448"/>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5. </w:t>
      </w:r>
      <w:r>
        <w:rPr>
          <w:rFonts w:ascii="KaiTi" w:hAnsi="KaiTi" w:eastAsia="KaiTi" w:cs="KaiTi"/>
          <w:color w:val="015DAC"/>
          <w:spacing w:val="1"/>
          <w:sz w:val="22"/>
          <w:szCs w:val="22"/>
        </w:rPr>
        <w:t>外</w:t>
      </w:r>
      <w:r>
        <w:rPr>
          <w:rFonts w:ascii="KaiTi" w:hAnsi="KaiTi" w:eastAsia="KaiTi" w:cs="KaiTi"/>
          <w:color w:val="015DAC"/>
          <w:sz w:val="22"/>
          <w:szCs w:val="22"/>
        </w:rPr>
        <w:t>资企业投资信心持续增强</w:t>
      </w:r>
    </w:p>
    <w:p>
      <w:pPr>
        <w:spacing w:line="264" w:lineRule="auto"/>
        <w:rPr>
          <w:rFonts w:ascii="Arial"/>
          <w:sz w:val="21"/>
        </w:rPr>
      </w:pPr>
    </w:p>
    <w:p>
      <w:pPr>
        <w:spacing w:before="95" w:line="222" w:lineRule="auto"/>
        <w:ind w:left="2011" w:right="1913" w:firstLine="430"/>
        <w:rPr>
          <w:rFonts w:ascii="微软雅黑" w:hAnsi="微软雅黑" w:eastAsia="微软雅黑" w:cs="微软雅黑"/>
          <w:sz w:val="22"/>
          <w:szCs w:val="22"/>
        </w:rPr>
      </w:pPr>
      <w:r>
        <w:rPr>
          <w:rFonts w:ascii="Times New Roman" w:hAnsi="Times New Roman" w:eastAsia="Times New Roman" w:cs="Times New Roman"/>
          <w:color w:val="231F20"/>
          <w:spacing w:val="-8"/>
          <w:sz w:val="22"/>
          <w:szCs w:val="22"/>
        </w:rPr>
        <w:t xml:space="preserve">2021 </w:t>
      </w:r>
      <w:r>
        <w:rPr>
          <w:rFonts w:ascii="微软雅黑" w:hAnsi="微软雅黑" w:eastAsia="微软雅黑" w:cs="微软雅黑"/>
          <w:color w:val="231F20"/>
          <w:spacing w:val="-8"/>
          <w:sz w:val="22"/>
          <w:szCs w:val="22"/>
        </w:rPr>
        <w:t>年</w:t>
      </w:r>
      <w:r>
        <w:rPr>
          <w:rFonts w:ascii="微软雅黑" w:hAnsi="微软雅黑" w:eastAsia="微软雅黑" w:cs="微软雅黑"/>
          <w:color w:val="231F20"/>
          <w:spacing w:val="-6"/>
          <w:sz w:val="22"/>
          <w:szCs w:val="22"/>
        </w:rPr>
        <w:t>，</w:t>
      </w:r>
      <w:r>
        <w:rPr>
          <w:rFonts w:ascii="微软雅黑" w:hAnsi="微软雅黑" w:eastAsia="微软雅黑" w:cs="微软雅黑"/>
          <w:color w:val="231F20"/>
          <w:spacing w:val="-4"/>
          <w:sz w:val="22"/>
          <w:szCs w:val="22"/>
        </w:rPr>
        <w:t xml:space="preserve">  中国经济强劲复苏 ，利用外资稳步增长 ，进一步增强了外资企业对中国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的投资信心。美国科尔尼公司 </w:t>
      </w:r>
      <w:r>
        <w:rPr>
          <w:rFonts w:ascii="Times New Roman" w:hAnsi="Times New Roman" w:eastAsia="Times New Roman" w:cs="Times New Roman"/>
          <w:color w:val="231F20"/>
          <w:spacing w:val="-4"/>
          <w:sz w:val="22"/>
          <w:szCs w:val="22"/>
        </w:rPr>
        <w:t xml:space="preserve">2022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 xml:space="preserve">1 </w:t>
      </w:r>
      <w:r>
        <w:rPr>
          <w:rFonts w:ascii="微软雅黑" w:hAnsi="微软雅黑" w:eastAsia="微软雅黑" w:cs="微软雅黑"/>
          <w:color w:val="231F20"/>
          <w:spacing w:val="-4"/>
          <w:sz w:val="22"/>
          <w:szCs w:val="22"/>
        </w:rPr>
        <w:t>月公布的《外商直接投资信心指数》报告显</w:t>
      </w:r>
      <w:r>
        <w:rPr>
          <w:rFonts w:ascii="微软雅黑" w:hAnsi="微软雅黑" w:eastAsia="微软雅黑" w:cs="微软雅黑"/>
          <w:color w:val="231F20"/>
          <w:spacing w:val="-2"/>
          <w:sz w:val="22"/>
          <w:szCs w:val="22"/>
        </w:rPr>
        <w:t>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中国的外商投资信心指数排名从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w:t>
      </w:r>
      <w:r>
        <w:rPr>
          <w:rFonts w:ascii="微软雅黑" w:hAnsi="微软雅黑" w:eastAsia="微软雅黑" w:cs="微软雅黑"/>
          <w:color w:val="231F20"/>
          <w:spacing w:val="1"/>
          <w:sz w:val="22"/>
          <w:szCs w:val="22"/>
        </w:rPr>
        <w:t xml:space="preserve"> </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 xml:space="preserve">月的第 </w:t>
      </w:r>
      <w:r>
        <w:rPr>
          <w:rFonts w:ascii="Times New Roman" w:hAnsi="Times New Roman" w:eastAsia="Times New Roman" w:cs="Times New Roman"/>
          <w:color w:val="231F20"/>
          <w:spacing w:val="1"/>
          <w:sz w:val="22"/>
          <w:szCs w:val="22"/>
        </w:rPr>
        <w:t xml:space="preserve">12 </w:t>
      </w:r>
      <w:r>
        <w:rPr>
          <w:rFonts w:ascii="微软雅黑" w:hAnsi="微软雅黑" w:eastAsia="微软雅黑" w:cs="微软雅黑"/>
          <w:color w:val="231F20"/>
          <w:spacing w:val="1"/>
          <w:sz w:val="22"/>
          <w:szCs w:val="22"/>
        </w:rPr>
        <w:t xml:space="preserve">位上升到 </w:t>
      </w:r>
      <w:r>
        <w:rPr>
          <w:rFonts w:ascii="Times New Roman" w:hAnsi="Times New Roman" w:eastAsia="Times New Roman" w:cs="Times New Roman"/>
          <w:color w:val="231F20"/>
          <w:spacing w:val="1"/>
          <w:sz w:val="22"/>
          <w:szCs w:val="22"/>
        </w:rPr>
        <w:t xml:space="preserve">2022 </w:t>
      </w:r>
      <w:r>
        <w:rPr>
          <w:rFonts w:ascii="微软雅黑" w:hAnsi="微软雅黑" w:eastAsia="微软雅黑" w:cs="微软雅黑"/>
          <w:color w:val="231F20"/>
          <w:spacing w:val="1"/>
          <w:sz w:val="22"/>
          <w:szCs w:val="22"/>
        </w:rPr>
        <w:t xml:space="preserve">年的第 </w:t>
      </w:r>
      <w:r>
        <w:rPr>
          <w:rFonts w:ascii="Times New Roman" w:hAnsi="Times New Roman" w:eastAsia="Times New Roman" w:cs="Times New Roman"/>
          <w:color w:val="231F20"/>
          <w:spacing w:val="1"/>
          <w:sz w:val="22"/>
          <w:szCs w:val="22"/>
        </w:rPr>
        <w:t xml:space="preserve">10 </w:t>
      </w:r>
      <w:r>
        <w:rPr>
          <w:rFonts w:ascii="微软雅黑" w:hAnsi="微软雅黑" w:eastAsia="微软雅黑" w:cs="微软雅黑"/>
          <w:color w:val="231F20"/>
          <w:spacing w:val="1"/>
          <w:sz w:val="22"/>
          <w:szCs w:val="22"/>
        </w:rPr>
        <w:t>位。报</w:t>
      </w:r>
    </w:p>
    <w:p>
      <w:pPr>
        <w:sectPr>
          <w:type w:val="continuous"/>
          <w:pgSz w:w="12246" w:h="16498"/>
          <w:pgMar w:top="400" w:right="0" w:bottom="400" w:left="0" w:header="0" w:footer="0" w:gutter="0"/>
          <w:cols w:equalWidth="0" w:num="1">
            <w:col w:w="12246"/>
          </w:cols>
        </w:sectPr>
      </w:pPr>
    </w:p>
    <w:p>
      <w:pPr>
        <w:spacing w:line="241" w:lineRule="auto"/>
        <w:rPr>
          <w:rFonts w:ascii="Arial"/>
          <w:sz w:val="21"/>
        </w:rPr>
      </w:pPr>
      <w:r>
        <w:drawing>
          <wp:anchor distT="0" distB="0" distL="0" distR="0" simplePos="0" relativeHeight="25181184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5"/>
        <w:rPr>
          <w:rFonts w:ascii="Arial" w:hAnsi="Arial" w:eastAsia="Arial" w:cs="Arial"/>
          <w:sz w:val="20"/>
          <w:szCs w:val="20"/>
        </w:rPr>
      </w:pPr>
      <w:bookmarkStart w:id="11" w:name="_bookmark13"/>
      <w:bookmarkEnd w:id="11"/>
      <w:r>
        <w:rPr>
          <w:rFonts w:ascii="SimHei" w:hAnsi="SimHei" w:eastAsia="SimHei" w:cs="SimHei"/>
          <w:color w:val="1A67B3"/>
          <w:spacing w:val="41"/>
          <w:position w:val="1"/>
          <w:sz w:val="21"/>
          <w:szCs w:val="21"/>
          <w14:textOutline w14:w="3175" w14:cap="flat" w14:cmpd="sng">
            <w14:solidFill>
              <w14:srgbClr w14:val="1A67B3"/>
            </w14:solidFill>
            <w14:prstDash w14:val="solid"/>
            <w14:miter w14:val="0"/>
          </w14:textOutline>
        </w:rPr>
        <w:t>综</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合篇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15</w:t>
      </w: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94" w:line="272" w:lineRule="auto"/>
        <w:ind w:left="1992" w:right="1983" w:firstLine="6"/>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告认为，</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年中国有效的防疫政策带来经济快速复苏</w:t>
      </w:r>
      <w:r>
        <w:rPr>
          <w:rFonts w:ascii="微软雅黑" w:hAnsi="微软雅黑" w:eastAsia="微软雅黑" w:cs="微软雅黑"/>
          <w:color w:val="231F20"/>
          <w:spacing w:val="1"/>
          <w:sz w:val="22"/>
          <w:szCs w:val="22"/>
        </w:rPr>
        <w:t>、消费者信心恢复和供应链稳</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定性增强，提高了外国投资</w:t>
      </w:r>
      <w:r>
        <w:rPr>
          <w:rFonts w:ascii="微软雅黑" w:hAnsi="微软雅黑" w:eastAsia="微软雅黑" w:cs="微软雅黑"/>
          <w:color w:val="231F20"/>
          <w:sz w:val="22"/>
          <w:szCs w:val="22"/>
        </w:rPr>
        <w:t>者对中国的信心。</w:t>
      </w:r>
    </w:p>
    <w:p>
      <w:pPr>
        <w:spacing w:line="379" w:lineRule="auto"/>
        <w:rPr>
          <w:rFonts w:ascii="Arial"/>
          <w:sz w:val="21"/>
        </w:rPr>
      </w:pPr>
    </w:p>
    <w:p>
      <w:pPr>
        <w:spacing w:before="65" w:line="227" w:lineRule="auto"/>
        <w:ind w:left="3950"/>
        <w:rPr>
          <w:rFonts w:ascii="SimHei" w:hAnsi="SimHei" w:eastAsia="SimHei" w:cs="SimHei"/>
          <w:sz w:val="20"/>
          <w:szCs w:val="20"/>
        </w:rPr>
      </w:pPr>
      <w:r>
        <w:rPr>
          <w:rFonts w:ascii="SimHei" w:hAnsi="SimHei" w:eastAsia="SimHei" w:cs="SimHei"/>
          <w:color w:val="231F20"/>
          <w:spacing w:val="6"/>
          <w:sz w:val="20"/>
          <w:szCs w:val="20"/>
        </w:rPr>
        <w:t xml:space="preserve">表 </w:t>
      </w:r>
      <w:r>
        <w:rPr>
          <w:rFonts w:ascii="Times New Roman" w:hAnsi="Times New Roman" w:eastAsia="Times New Roman" w:cs="Times New Roman"/>
          <w:color w:val="231F20"/>
          <w:spacing w:val="5"/>
          <w:sz w:val="20"/>
          <w:szCs w:val="20"/>
        </w:rPr>
        <w:t>1</w:t>
      </w:r>
      <w:r>
        <w:rPr>
          <w:rFonts w:ascii="Times New Roman" w:hAnsi="Times New Roman" w:eastAsia="Times New Roman" w:cs="Times New Roman"/>
          <w:color w:val="231F20"/>
          <w:spacing w:val="3"/>
          <w:sz w:val="20"/>
          <w:szCs w:val="20"/>
        </w:rPr>
        <w:t xml:space="preserve">-2 2022 </w:t>
      </w:r>
      <w:r>
        <w:rPr>
          <w:rFonts w:ascii="SimHei" w:hAnsi="SimHei" w:eastAsia="SimHei" w:cs="SimHei"/>
          <w:color w:val="231F20"/>
          <w:spacing w:val="3"/>
          <w:sz w:val="20"/>
          <w:szCs w:val="20"/>
        </w:rPr>
        <w:t>年科尔尼外商直接投资信心指数排名</w:t>
      </w:r>
    </w:p>
    <w:p>
      <w:pPr>
        <w:spacing w:before="158" w:line="4962" w:lineRule="exact"/>
        <w:ind w:firstLine="1984"/>
        <w:textAlignment w:val="center"/>
      </w:pPr>
      <w:r>
        <w:pict>
          <v:group id="_x0000_s1182" o:spid="_x0000_s1182" o:spt="203" style="height:248.15pt;width:413.9pt;" coordsize="8277,4962">
            <o:lock v:ext="edit"/>
            <v:shape id="_x0000_s1183" o:spid="_x0000_s1183" o:spt="75" type="#_x0000_t75" style="position:absolute;left:0;top:10;height:4942;width:8277;" filled="f" stroked="f" coordsize="21600,21600">
              <v:path/>
              <v:fill on="f" focussize="0,0"/>
              <v:stroke on="f"/>
              <v:imagedata r:id="rId73" o:title=""/>
              <o:lock v:ext="edit" aspectratio="t"/>
            </v:shape>
            <v:shape id="_x0000_s1184" o:spid="_x0000_s1184" o:spt="202" type="#_x0000_t202" style="position:absolute;left:-20;top:-20;height:5002;width:8317;" filled="f" stroked="f" coordsize="21600,21600">
              <v:path/>
              <v:fill on="f" focussize="0,0"/>
              <v:stroke on="f"/>
              <v:imagedata o:title=""/>
              <o:lock v:ext="edit" aspectratio="f"/>
              <v:textbox inset="0mm,0mm,0mm,0mm">
                <w:txbxContent>
                  <w:p>
                    <w:pPr>
                      <w:spacing w:line="20" w:lineRule="exact"/>
                    </w:pPr>
                  </w:p>
                  <w:tbl>
                    <w:tblPr>
                      <w:tblStyle w:val="4"/>
                      <w:tblW w:w="8277" w:type="dxa"/>
                      <w:tblInd w:w="20" w:type="dxa"/>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Layout w:type="fixed"/>
                      <w:tblCellMar>
                        <w:top w:w="0" w:type="dxa"/>
                        <w:left w:w="0" w:type="dxa"/>
                        <w:bottom w:w="0" w:type="dxa"/>
                        <w:right w:w="0" w:type="dxa"/>
                      </w:tblCellMar>
                    </w:tblPr>
                    <w:tblGrid>
                      <w:gridCol w:w="2069"/>
                      <w:gridCol w:w="2069"/>
                      <w:gridCol w:w="2069"/>
                      <w:gridCol w:w="2070"/>
                    </w:tblGrid>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530" w:hRule="atLeast"/>
                      </w:trPr>
                      <w:tc>
                        <w:tcPr>
                          <w:tcW w:w="2069" w:type="dxa"/>
                          <w:tcBorders>
                            <w:left w:val="nil"/>
                          </w:tcBorders>
                          <w:vAlign w:val="top"/>
                        </w:tcPr>
                        <w:p>
                          <w:pPr>
                            <w:spacing w:before="167" w:line="222" w:lineRule="auto"/>
                            <w:ind w:left="853"/>
                            <w:rPr>
                              <w:rFonts w:ascii="SimHei" w:hAnsi="SimHei" w:eastAsia="SimHei" w:cs="SimHei"/>
                              <w:sz w:val="20"/>
                              <w:szCs w:val="20"/>
                            </w:rPr>
                          </w:pPr>
                          <w:r>
                            <w:rPr>
                              <w:rFonts w:ascii="SimHei" w:hAnsi="SimHei" w:eastAsia="SimHei" w:cs="SimHei"/>
                              <w:color w:val="231F20"/>
                              <w:spacing w:val="-6"/>
                              <w:sz w:val="20"/>
                              <w:szCs w:val="20"/>
                            </w:rPr>
                            <w:t>国</w:t>
                          </w:r>
                          <w:r>
                            <w:rPr>
                              <w:rFonts w:ascii="SimHei" w:hAnsi="SimHei" w:eastAsia="SimHei" w:cs="SimHei"/>
                              <w:color w:val="231F20"/>
                              <w:spacing w:val="-4"/>
                              <w:sz w:val="20"/>
                              <w:szCs w:val="20"/>
                            </w:rPr>
                            <w:t>家</w:t>
                          </w:r>
                        </w:p>
                      </w:tc>
                      <w:tc>
                        <w:tcPr>
                          <w:tcW w:w="2069" w:type="dxa"/>
                          <w:vAlign w:val="top"/>
                        </w:tcPr>
                        <w:p>
                          <w:pPr>
                            <w:spacing w:before="168" w:line="222" w:lineRule="auto"/>
                            <w:ind w:left="510"/>
                            <w:rPr>
                              <w:rFonts w:ascii="SimHei" w:hAnsi="SimHei" w:eastAsia="SimHei" w:cs="SimHei"/>
                              <w:sz w:val="20"/>
                              <w:szCs w:val="20"/>
                            </w:rPr>
                          </w:pPr>
                          <w:r>
                            <w:rPr>
                              <w:rFonts w:ascii="SimHei" w:hAnsi="SimHei" w:eastAsia="SimHei" w:cs="SimHei"/>
                              <w:color w:val="231F20"/>
                              <w:spacing w:val="-7"/>
                              <w:sz w:val="20"/>
                              <w:szCs w:val="20"/>
                            </w:rPr>
                            <w:t>2</w:t>
                          </w:r>
                          <w:r>
                            <w:rPr>
                              <w:rFonts w:ascii="SimHei" w:hAnsi="SimHei" w:eastAsia="SimHei" w:cs="SimHei"/>
                              <w:color w:val="231F20"/>
                              <w:spacing w:val="-6"/>
                              <w:sz w:val="20"/>
                              <w:szCs w:val="20"/>
                            </w:rPr>
                            <w:t>022 年排名</w:t>
                          </w:r>
                        </w:p>
                      </w:tc>
                      <w:tc>
                        <w:tcPr>
                          <w:tcW w:w="2069" w:type="dxa"/>
                          <w:vAlign w:val="top"/>
                        </w:tcPr>
                        <w:p>
                          <w:pPr>
                            <w:spacing w:before="168" w:line="222" w:lineRule="auto"/>
                            <w:ind w:left="536"/>
                            <w:rPr>
                              <w:rFonts w:ascii="SimHei" w:hAnsi="SimHei" w:eastAsia="SimHei" w:cs="SimHei"/>
                              <w:sz w:val="20"/>
                              <w:szCs w:val="20"/>
                            </w:rPr>
                          </w:pPr>
                          <w:r>
                            <w:rPr>
                              <w:rFonts w:ascii="SimHei" w:hAnsi="SimHei" w:eastAsia="SimHei" w:cs="SimHei"/>
                              <w:color w:val="231F20"/>
                              <w:spacing w:val="-1"/>
                              <w:sz w:val="20"/>
                              <w:szCs w:val="20"/>
                            </w:rPr>
                            <w:t>较上</w:t>
                          </w:r>
                          <w:r>
                            <w:rPr>
                              <w:rFonts w:ascii="SimHei" w:hAnsi="SimHei" w:eastAsia="SimHei" w:cs="SimHei"/>
                              <w:color w:val="231F20"/>
                              <w:sz w:val="20"/>
                              <w:szCs w:val="20"/>
                            </w:rPr>
                            <w:t>年排名</w:t>
                          </w:r>
                        </w:p>
                      </w:tc>
                      <w:tc>
                        <w:tcPr>
                          <w:tcW w:w="2070" w:type="dxa"/>
                          <w:tcBorders>
                            <w:right w:val="nil"/>
                          </w:tcBorders>
                          <w:vAlign w:val="top"/>
                        </w:tcPr>
                        <w:p>
                          <w:pPr>
                            <w:spacing w:before="168" w:line="222" w:lineRule="auto"/>
                            <w:ind w:left="511"/>
                            <w:rPr>
                              <w:rFonts w:ascii="SimHei" w:hAnsi="SimHei" w:eastAsia="SimHei" w:cs="SimHei"/>
                              <w:sz w:val="20"/>
                              <w:szCs w:val="20"/>
                            </w:rPr>
                          </w:pPr>
                          <w:r>
                            <w:rPr>
                              <w:rFonts w:ascii="SimHei" w:hAnsi="SimHei" w:eastAsia="SimHei" w:cs="SimHei"/>
                              <w:color w:val="231F20"/>
                              <w:spacing w:val="-7"/>
                              <w:sz w:val="20"/>
                              <w:szCs w:val="20"/>
                            </w:rPr>
                            <w:t>2</w:t>
                          </w:r>
                          <w:r>
                            <w:rPr>
                              <w:rFonts w:ascii="SimHei" w:hAnsi="SimHei" w:eastAsia="SimHei" w:cs="SimHei"/>
                              <w:color w:val="231F20"/>
                              <w:spacing w:val="-6"/>
                              <w:sz w:val="20"/>
                              <w:szCs w:val="20"/>
                            </w:rPr>
                            <w:t>021 年排名</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36" w:hRule="atLeast"/>
                      </w:trPr>
                      <w:tc>
                        <w:tcPr>
                          <w:tcW w:w="2069" w:type="dxa"/>
                          <w:tcBorders>
                            <w:left w:val="nil"/>
                          </w:tcBorders>
                          <w:vAlign w:val="top"/>
                        </w:tcPr>
                        <w:p>
                          <w:pPr>
                            <w:spacing w:before="116" w:line="221" w:lineRule="auto"/>
                            <w:ind w:left="850"/>
                            <w:rPr>
                              <w:rFonts w:ascii="SimHei" w:hAnsi="SimHei" w:eastAsia="SimHei" w:cs="SimHei"/>
                              <w:sz w:val="20"/>
                              <w:szCs w:val="20"/>
                            </w:rPr>
                          </w:pPr>
                          <w:r>
                            <w:rPr>
                              <w:rFonts w:ascii="SimHei" w:hAnsi="SimHei" w:eastAsia="SimHei" w:cs="SimHei"/>
                              <w:color w:val="231F20"/>
                              <w:spacing w:val="-4"/>
                              <w:sz w:val="20"/>
                              <w:szCs w:val="20"/>
                            </w:rPr>
                            <w:t>美国</w:t>
                          </w:r>
                        </w:p>
                      </w:tc>
                      <w:tc>
                        <w:tcPr>
                          <w:tcW w:w="2069" w:type="dxa"/>
                          <w:vAlign w:val="top"/>
                        </w:tcPr>
                        <w:p>
                          <w:pPr>
                            <w:spacing w:before="151" w:line="186" w:lineRule="auto"/>
                            <w:ind w:left="1005"/>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1</w:t>
                          </w:r>
                        </w:p>
                      </w:tc>
                      <w:tc>
                        <w:tcPr>
                          <w:tcW w:w="2069" w:type="dxa"/>
                          <w:vAlign w:val="top"/>
                        </w:tcPr>
                        <w:p>
                          <w:pPr>
                            <w:spacing w:before="234" w:line="133" w:lineRule="exact"/>
                            <w:ind w:left="1007"/>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w:t>
                          </w:r>
                        </w:p>
                      </w:tc>
                      <w:tc>
                        <w:tcPr>
                          <w:tcW w:w="2070" w:type="dxa"/>
                          <w:tcBorders>
                            <w:right w:val="nil"/>
                          </w:tcBorders>
                          <w:vAlign w:val="top"/>
                        </w:tcPr>
                        <w:p>
                          <w:pPr>
                            <w:spacing w:before="151" w:line="186" w:lineRule="auto"/>
                            <w:ind w:left="1006"/>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1</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36" w:hRule="atLeast"/>
                      </w:trPr>
                      <w:tc>
                        <w:tcPr>
                          <w:tcW w:w="2069" w:type="dxa"/>
                          <w:tcBorders>
                            <w:left w:val="nil"/>
                          </w:tcBorders>
                          <w:vAlign w:val="top"/>
                        </w:tcPr>
                        <w:p>
                          <w:pPr>
                            <w:spacing w:before="117" w:line="222" w:lineRule="auto"/>
                            <w:ind w:left="840"/>
                            <w:rPr>
                              <w:rFonts w:ascii="SimHei" w:hAnsi="SimHei" w:eastAsia="SimHei" w:cs="SimHei"/>
                              <w:sz w:val="20"/>
                              <w:szCs w:val="20"/>
                            </w:rPr>
                          </w:pPr>
                          <w:r>
                            <w:rPr>
                              <w:rFonts w:ascii="SimHei" w:hAnsi="SimHei" w:eastAsia="SimHei" w:cs="SimHei"/>
                              <w:color w:val="231F20"/>
                              <w:spacing w:val="-2"/>
                              <w:sz w:val="20"/>
                              <w:szCs w:val="20"/>
                            </w:rPr>
                            <w:t>德国</w:t>
                          </w:r>
                        </w:p>
                      </w:tc>
                      <w:tc>
                        <w:tcPr>
                          <w:tcW w:w="2069" w:type="dxa"/>
                          <w:vAlign w:val="top"/>
                        </w:tcPr>
                        <w:p>
                          <w:pPr>
                            <w:spacing w:before="152" w:line="186" w:lineRule="auto"/>
                            <w:ind w:left="986"/>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2</w:t>
                          </w:r>
                        </w:p>
                      </w:tc>
                      <w:tc>
                        <w:tcPr>
                          <w:tcW w:w="2069" w:type="dxa"/>
                          <w:vAlign w:val="top"/>
                        </w:tcPr>
                        <w:p>
                          <w:pPr>
                            <w:spacing w:before="110" w:line="215" w:lineRule="auto"/>
                            <w:ind w:left="993"/>
                            <w:rPr>
                              <w:rFonts w:ascii="微软雅黑" w:hAnsi="微软雅黑" w:eastAsia="微软雅黑" w:cs="微软雅黑"/>
                              <w:sz w:val="20"/>
                              <w:szCs w:val="20"/>
                            </w:rPr>
                          </w:pPr>
                          <w:r>
                            <w:rPr>
                              <w:rFonts w:ascii="微软雅黑" w:hAnsi="微软雅黑" w:eastAsia="微软雅黑" w:cs="微软雅黑"/>
                              <w:color w:val="231F20"/>
                              <w:spacing w:val="39"/>
                              <w:sz w:val="20"/>
                              <w:szCs w:val="20"/>
                            </w:rPr>
                            <w:t>↑</w:t>
                          </w:r>
                        </w:p>
                      </w:tc>
                      <w:tc>
                        <w:tcPr>
                          <w:tcW w:w="2070" w:type="dxa"/>
                          <w:tcBorders>
                            <w:right w:val="nil"/>
                          </w:tcBorders>
                          <w:vAlign w:val="top"/>
                        </w:tcPr>
                        <w:p>
                          <w:pPr>
                            <w:spacing w:before="152" w:line="186" w:lineRule="auto"/>
                            <w:ind w:left="990"/>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3</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37" w:hRule="atLeast"/>
                      </w:trPr>
                      <w:tc>
                        <w:tcPr>
                          <w:tcW w:w="2069" w:type="dxa"/>
                          <w:tcBorders>
                            <w:left w:val="nil"/>
                          </w:tcBorders>
                          <w:vAlign w:val="top"/>
                        </w:tcPr>
                        <w:p>
                          <w:pPr>
                            <w:spacing w:before="117" w:line="222" w:lineRule="auto"/>
                            <w:ind w:left="741"/>
                            <w:rPr>
                              <w:rFonts w:ascii="SimHei" w:hAnsi="SimHei" w:eastAsia="SimHei" w:cs="SimHei"/>
                              <w:sz w:val="20"/>
                              <w:szCs w:val="20"/>
                            </w:rPr>
                          </w:pPr>
                          <w:r>
                            <w:rPr>
                              <w:rFonts w:ascii="SimHei" w:hAnsi="SimHei" w:eastAsia="SimHei" w:cs="SimHei"/>
                              <w:color w:val="231F20"/>
                              <w:spacing w:val="-2"/>
                              <w:sz w:val="20"/>
                              <w:szCs w:val="20"/>
                            </w:rPr>
                            <w:t>加拿</w:t>
                          </w:r>
                          <w:r>
                            <w:rPr>
                              <w:rFonts w:ascii="SimHei" w:hAnsi="SimHei" w:eastAsia="SimHei" w:cs="SimHei"/>
                              <w:color w:val="231F20"/>
                              <w:spacing w:val="-1"/>
                              <w:sz w:val="20"/>
                              <w:szCs w:val="20"/>
                            </w:rPr>
                            <w:t>大</w:t>
                          </w:r>
                        </w:p>
                      </w:tc>
                      <w:tc>
                        <w:tcPr>
                          <w:tcW w:w="2069" w:type="dxa"/>
                          <w:vAlign w:val="top"/>
                        </w:tcPr>
                        <w:p>
                          <w:pPr>
                            <w:spacing w:before="152" w:line="186" w:lineRule="auto"/>
                            <w:ind w:left="990"/>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3</w:t>
                          </w:r>
                        </w:p>
                      </w:tc>
                      <w:tc>
                        <w:tcPr>
                          <w:tcW w:w="2069" w:type="dxa"/>
                          <w:vAlign w:val="top"/>
                        </w:tcPr>
                        <w:p>
                          <w:pPr>
                            <w:spacing w:before="110" w:line="215" w:lineRule="auto"/>
                            <w:ind w:left="993"/>
                            <w:rPr>
                              <w:rFonts w:ascii="微软雅黑" w:hAnsi="微软雅黑" w:eastAsia="微软雅黑" w:cs="微软雅黑"/>
                              <w:sz w:val="20"/>
                              <w:szCs w:val="20"/>
                            </w:rPr>
                          </w:pPr>
                          <w:r>
                            <w:rPr>
                              <w:rFonts w:ascii="微软雅黑" w:hAnsi="微软雅黑" w:eastAsia="微软雅黑" w:cs="微软雅黑"/>
                              <w:color w:val="231F20"/>
                              <w:spacing w:val="39"/>
                              <w:sz w:val="20"/>
                              <w:szCs w:val="20"/>
                            </w:rPr>
                            <w:t>↓</w:t>
                          </w:r>
                        </w:p>
                      </w:tc>
                      <w:tc>
                        <w:tcPr>
                          <w:tcW w:w="2070" w:type="dxa"/>
                          <w:tcBorders>
                            <w:right w:val="nil"/>
                          </w:tcBorders>
                          <w:vAlign w:val="top"/>
                        </w:tcPr>
                        <w:p>
                          <w:pPr>
                            <w:spacing w:before="152" w:line="186" w:lineRule="auto"/>
                            <w:ind w:left="986"/>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2</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36" w:hRule="atLeast"/>
                      </w:trPr>
                      <w:tc>
                        <w:tcPr>
                          <w:tcW w:w="2069" w:type="dxa"/>
                          <w:tcBorders>
                            <w:left w:val="nil"/>
                          </w:tcBorders>
                          <w:vAlign w:val="top"/>
                        </w:tcPr>
                        <w:p>
                          <w:pPr>
                            <w:spacing w:before="116" w:line="224" w:lineRule="auto"/>
                            <w:ind w:left="872"/>
                            <w:rPr>
                              <w:rFonts w:ascii="SimHei" w:hAnsi="SimHei" w:eastAsia="SimHei" w:cs="SimHei"/>
                              <w:sz w:val="20"/>
                              <w:szCs w:val="20"/>
                            </w:rPr>
                          </w:pPr>
                          <w:r>
                            <w:rPr>
                              <w:rFonts w:ascii="SimHei" w:hAnsi="SimHei" w:eastAsia="SimHei" w:cs="SimHei"/>
                              <w:color w:val="231F20"/>
                              <w:spacing w:val="-10"/>
                              <w:sz w:val="20"/>
                              <w:szCs w:val="20"/>
                            </w:rPr>
                            <w:t>日</w:t>
                          </w:r>
                          <w:r>
                            <w:rPr>
                              <w:rFonts w:ascii="SimHei" w:hAnsi="SimHei" w:eastAsia="SimHei" w:cs="SimHei"/>
                              <w:color w:val="231F20"/>
                              <w:spacing w:val="-9"/>
                              <w:sz w:val="20"/>
                              <w:szCs w:val="20"/>
                            </w:rPr>
                            <w:t>本</w:t>
                          </w:r>
                        </w:p>
                      </w:tc>
                      <w:tc>
                        <w:tcPr>
                          <w:tcW w:w="2069" w:type="dxa"/>
                          <w:vAlign w:val="top"/>
                        </w:tcPr>
                        <w:p>
                          <w:pPr>
                            <w:spacing w:before="152" w:line="186" w:lineRule="auto"/>
                            <w:ind w:left="985"/>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4</w:t>
                          </w:r>
                        </w:p>
                      </w:tc>
                      <w:tc>
                        <w:tcPr>
                          <w:tcW w:w="2069" w:type="dxa"/>
                          <w:vAlign w:val="top"/>
                        </w:tcPr>
                        <w:p>
                          <w:pPr>
                            <w:spacing w:before="110" w:line="215" w:lineRule="auto"/>
                            <w:ind w:left="993"/>
                            <w:rPr>
                              <w:rFonts w:ascii="微软雅黑" w:hAnsi="微软雅黑" w:eastAsia="微软雅黑" w:cs="微软雅黑"/>
                              <w:sz w:val="20"/>
                              <w:szCs w:val="20"/>
                            </w:rPr>
                          </w:pPr>
                          <w:r>
                            <w:rPr>
                              <w:rFonts w:ascii="微软雅黑" w:hAnsi="微软雅黑" w:eastAsia="微软雅黑" w:cs="微软雅黑"/>
                              <w:color w:val="231F20"/>
                              <w:spacing w:val="39"/>
                              <w:sz w:val="20"/>
                              <w:szCs w:val="20"/>
                            </w:rPr>
                            <w:t>↑</w:t>
                          </w:r>
                        </w:p>
                      </w:tc>
                      <w:tc>
                        <w:tcPr>
                          <w:tcW w:w="2070" w:type="dxa"/>
                          <w:tcBorders>
                            <w:right w:val="nil"/>
                          </w:tcBorders>
                          <w:vAlign w:val="top"/>
                        </w:tcPr>
                        <w:p>
                          <w:pPr>
                            <w:spacing w:before="155" w:line="183" w:lineRule="auto"/>
                            <w:ind w:left="991"/>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5</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36" w:hRule="atLeast"/>
                      </w:trPr>
                      <w:tc>
                        <w:tcPr>
                          <w:tcW w:w="2069" w:type="dxa"/>
                          <w:tcBorders>
                            <w:left w:val="nil"/>
                          </w:tcBorders>
                          <w:vAlign w:val="top"/>
                        </w:tcPr>
                        <w:p>
                          <w:pPr>
                            <w:spacing w:before="118" w:line="222" w:lineRule="auto"/>
                            <w:ind w:left="845"/>
                            <w:rPr>
                              <w:rFonts w:ascii="SimHei" w:hAnsi="SimHei" w:eastAsia="SimHei" w:cs="SimHei"/>
                              <w:sz w:val="20"/>
                              <w:szCs w:val="20"/>
                            </w:rPr>
                          </w:pPr>
                          <w:r>
                            <w:rPr>
                              <w:rFonts w:ascii="SimHei" w:hAnsi="SimHei" w:eastAsia="SimHei" w:cs="SimHei"/>
                              <w:color w:val="231F20"/>
                              <w:spacing w:val="-3"/>
                              <w:sz w:val="20"/>
                              <w:szCs w:val="20"/>
                            </w:rPr>
                            <w:t>英国</w:t>
                          </w:r>
                        </w:p>
                      </w:tc>
                      <w:tc>
                        <w:tcPr>
                          <w:tcW w:w="2069" w:type="dxa"/>
                          <w:vAlign w:val="top"/>
                        </w:tcPr>
                        <w:p>
                          <w:pPr>
                            <w:spacing w:before="155" w:line="183" w:lineRule="auto"/>
                            <w:ind w:left="991"/>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5</w:t>
                          </w:r>
                        </w:p>
                      </w:tc>
                      <w:tc>
                        <w:tcPr>
                          <w:tcW w:w="2069" w:type="dxa"/>
                          <w:vAlign w:val="top"/>
                        </w:tcPr>
                        <w:p>
                          <w:pPr>
                            <w:spacing w:before="111" w:line="215" w:lineRule="auto"/>
                            <w:ind w:left="992"/>
                            <w:rPr>
                              <w:rFonts w:ascii="微软雅黑" w:hAnsi="微软雅黑" w:eastAsia="微软雅黑" w:cs="微软雅黑"/>
                              <w:sz w:val="20"/>
                              <w:szCs w:val="20"/>
                            </w:rPr>
                          </w:pPr>
                          <w:r>
                            <w:rPr>
                              <w:rFonts w:ascii="微软雅黑" w:hAnsi="微软雅黑" w:eastAsia="微软雅黑" w:cs="微软雅黑"/>
                              <w:color w:val="231F20"/>
                              <w:spacing w:val="39"/>
                              <w:sz w:val="20"/>
                              <w:szCs w:val="20"/>
                            </w:rPr>
                            <w:t>↓</w:t>
                          </w:r>
                        </w:p>
                      </w:tc>
                      <w:tc>
                        <w:tcPr>
                          <w:tcW w:w="2070" w:type="dxa"/>
                          <w:tcBorders>
                            <w:right w:val="nil"/>
                          </w:tcBorders>
                          <w:vAlign w:val="top"/>
                        </w:tcPr>
                        <w:p>
                          <w:pPr>
                            <w:spacing w:before="152" w:line="186" w:lineRule="auto"/>
                            <w:ind w:left="985"/>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4</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36" w:hRule="atLeast"/>
                      </w:trPr>
                      <w:tc>
                        <w:tcPr>
                          <w:tcW w:w="2069" w:type="dxa"/>
                          <w:tcBorders>
                            <w:left w:val="nil"/>
                          </w:tcBorders>
                          <w:vAlign w:val="top"/>
                        </w:tcPr>
                        <w:p>
                          <w:pPr>
                            <w:spacing w:before="118" w:line="222" w:lineRule="auto"/>
                            <w:ind w:left="842"/>
                            <w:rPr>
                              <w:rFonts w:ascii="SimHei" w:hAnsi="SimHei" w:eastAsia="SimHei" w:cs="SimHei"/>
                              <w:sz w:val="20"/>
                              <w:szCs w:val="20"/>
                            </w:rPr>
                          </w:pPr>
                          <w:r>
                            <w:rPr>
                              <w:rFonts w:ascii="SimHei" w:hAnsi="SimHei" w:eastAsia="SimHei" w:cs="SimHei"/>
                              <w:color w:val="231F20"/>
                              <w:spacing w:val="-3"/>
                              <w:sz w:val="20"/>
                              <w:szCs w:val="20"/>
                            </w:rPr>
                            <w:t>法</w:t>
                          </w:r>
                          <w:r>
                            <w:rPr>
                              <w:rFonts w:ascii="SimHei" w:hAnsi="SimHei" w:eastAsia="SimHei" w:cs="SimHei"/>
                              <w:color w:val="231F20"/>
                              <w:spacing w:val="-2"/>
                              <w:sz w:val="20"/>
                              <w:szCs w:val="20"/>
                            </w:rPr>
                            <w:t>国</w:t>
                          </w:r>
                        </w:p>
                      </w:tc>
                      <w:tc>
                        <w:tcPr>
                          <w:tcW w:w="2069" w:type="dxa"/>
                          <w:vAlign w:val="top"/>
                        </w:tcPr>
                        <w:p>
                          <w:pPr>
                            <w:spacing w:before="153" w:line="186" w:lineRule="auto"/>
                            <w:ind w:left="990"/>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6</w:t>
                          </w:r>
                        </w:p>
                      </w:tc>
                      <w:tc>
                        <w:tcPr>
                          <w:tcW w:w="2069" w:type="dxa"/>
                          <w:vAlign w:val="top"/>
                        </w:tcPr>
                        <w:p>
                          <w:pPr>
                            <w:spacing w:before="236" w:line="133" w:lineRule="exact"/>
                            <w:ind w:left="1006"/>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w:t>
                          </w:r>
                        </w:p>
                      </w:tc>
                      <w:tc>
                        <w:tcPr>
                          <w:tcW w:w="2070" w:type="dxa"/>
                          <w:tcBorders>
                            <w:right w:val="nil"/>
                          </w:tcBorders>
                          <w:vAlign w:val="top"/>
                        </w:tcPr>
                        <w:p>
                          <w:pPr>
                            <w:spacing w:before="153" w:line="186" w:lineRule="auto"/>
                            <w:ind w:left="990"/>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6</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37" w:hRule="atLeast"/>
                      </w:trPr>
                      <w:tc>
                        <w:tcPr>
                          <w:tcW w:w="2069" w:type="dxa"/>
                          <w:tcBorders>
                            <w:left w:val="nil"/>
                          </w:tcBorders>
                          <w:vAlign w:val="top"/>
                        </w:tcPr>
                        <w:p>
                          <w:pPr>
                            <w:spacing w:before="118" w:line="222" w:lineRule="auto"/>
                            <w:ind w:left="742"/>
                            <w:rPr>
                              <w:rFonts w:ascii="SimHei" w:hAnsi="SimHei" w:eastAsia="SimHei" w:cs="SimHei"/>
                              <w:sz w:val="20"/>
                              <w:szCs w:val="20"/>
                            </w:rPr>
                          </w:pPr>
                          <w:r>
                            <w:rPr>
                              <w:rFonts w:ascii="SimHei" w:hAnsi="SimHei" w:eastAsia="SimHei" w:cs="SimHei"/>
                              <w:color w:val="231F20"/>
                              <w:spacing w:val="-2"/>
                              <w:sz w:val="20"/>
                              <w:szCs w:val="20"/>
                            </w:rPr>
                            <w:t>意大</w:t>
                          </w:r>
                          <w:r>
                            <w:rPr>
                              <w:rFonts w:ascii="SimHei" w:hAnsi="SimHei" w:eastAsia="SimHei" w:cs="SimHei"/>
                              <w:color w:val="231F20"/>
                              <w:spacing w:val="-1"/>
                              <w:sz w:val="20"/>
                              <w:szCs w:val="20"/>
                            </w:rPr>
                            <w:t>利</w:t>
                          </w:r>
                        </w:p>
                      </w:tc>
                      <w:tc>
                        <w:tcPr>
                          <w:tcW w:w="2069" w:type="dxa"/>
                          <w:vAlign w:val="top"/>
                        </w:tcPr>
                        <w:p>
                          <w:pPr>
                            <w:spacing w:before="156" w:line="183" w:lineRule="auto"/>
                            <w:ind w:left="988"/>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7</w:t>
                          </w:r>
                        </w:p>
                      </w:tc>
                      <w:tc>
                        <w:tcPr>
                          <w:tcW w:w="2069" w:type="dxa"/>
                          <w:vAlign w:val="top"/>
                        </w:tcPr>
                        <w:p>
                          <w:pPr>
                            <w:spacing w:before="112" w:line="215" w:lineRule="auto"/>
                            <w:ind w:left="992"/>
                            <w:rPr>
                              <w:rFonts w:ascii="微软雅黑" w:hAnsi="微软雅黑" w:eastAsia="微软雅黑" w:cs="微软雅黑"/>
                              <w:sz w:val="20"/>
                              <w:szCs w:val="20"/>
                            </w:rPr>
                          </w:pPr>
                          <w:r>
                            <w:rPr>
                              <w:rFonts w:ascii="微软雅黑" w:hAnsi="微软雅黑" w:eastAsia="微软雅黑" w:cs="微软雅黑"/>
                              <w:color w:val="231F20"/>
                              <w:spacing w:val="39"/>
                              <w:sz w:val="20"/>
                              <w:szCs w:val="20"/>
                            </w:rPr>
                            <w:t>↑</w:t>
                          </w:r>
                        </w:p>
                      </w:tc>
                      <w:tc>
                        <w:tcPr>
                          <w:tcW w:w="2070" w:type="dxa"/>
                          <w:tcBorders>
                            <w:right w:val="nil"/>
                          </w:tcBorders>
                          <w:vAlign w:val="top"/>
                        </w:tcPr>
                        <w:p>
                          <w:pPr>
                            <w:spacing w:before="154" w:line="186" w:lineRule="auto"/>
                            <w:ind w:left="994"/>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8</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36" w:hRule="atLeast"/>
                      </w:trPr>
                      <w:tc>
                        <w:tcPr>
                          <w:tcW w:w="2069" w:type="dxa"/>
                          <w:tcBorders>
                            <w:left w:val="nil"/>
                          </w:tcBorders>
                          <w:vAlign w:val="top"/>
                        </w:tcPr>
                        <w:p>
                          <w:pPr>
                            <w:spacing w:before="118" w:line="223" w:lineRule="auto"/>
                            <w:ind w:left="746"/>
                            <w:rPr>
                              <w:rFonts w:ascii="SimHei" w:hAnsi="SimHei" w:eastAsia="SimHei" w:cs="SimHei"/>
                              <w:sz w:val="20"/>
                              <w:szCs w:val="20"/>
                            </w:rPr>
                          </w:pPr>
                          <w:r>
                            <w:rPr>
                              <w:rFonts w:ascii="SimHei" w:hAnsi="SimHei" w:eastAsia="SimHei" w:cs="SimHei"/>
                              <w:color w:val="231F20"/>
                              <w:spacing w:val="-4"/>
                              <w:sz w:val="20"/>
                              <w:szCs w:val="20"/>
                            </w:rPr>
                            <w:t>西</w:t>
                          </w:r>
                          <w:r>
                            <w:rPr>
                              <w:rFonts w:ascii="SimHei" w:hAnsi="SimHei" w:eastAsia="SimHei" w:cs="SimHei"/>
                              <w:color w:val="231F20"/>
                              <w:spacing w:val="-2"/>
                              <w:sz w:val="20"/>
                              <w:szCs w:val="20"/>
                            </w:rPr>
                            <w:t>班牙</w:t>
                          </w:r>
                        </w:p>
                      </w:tc>
                      <w:tc>
                        <w:tcPr>
                          <w:tcW w:w="2069" w:type="dxa"/>
                          <w:vAlign w:val="top"/>
                        </w:tcPr>
                        <w:p>
                          <w:pPr>
                            <w:spacing w:before="153" w:line="186" w:lineRule="auto"/>
                            <w:ind w:left="993"/>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8</w:t>
                          </w:r>
                        </w:p>
                      </w:tc>
                      <w:tc>
                        <w:tcPr>
                          <w:tcW w:w="2069" w:type="dxa"/>
                          <w:vAlign w:val="top"/>
                        </w:tcPr>
                        <w:p>
                          <w:pPr>
                            <w:spacing w:before="111" w:line="215" w:lineRule="auto"/>
                            <w:ind w:left="992"/>
                            <w:rPr>
                              <w:rFonts w:ascii="微软雅黑" w:hAnsi="微软雅黑" w:eastAsia="微软雅黑" w:cs="微软雅黑"/>
                              <w:sz w:val="20"/>
                              <w:szCs w:val="20"/>
                            </w:rPr>
                          </w:pPr>
                          <w:r>
                            <w:rPr>
                              <w:rFonts w:ascii="微软雅黑" w:hAnsi="微软雅黑" w:eastAsia="微软雅黑" w:cs="微软雅黑"/>
                              <w:color w:val="231F20"/>
                              <w:spacing w:val="39"/>
                              <w:sz w:val="20"/>
                              <w:szCs w:val="20"/>
                            </w:rPr>
                            <w:t>↑</w:t>
                          </w:r>
                        </w:p>
                      </w:tc>
                      <w:tc>
                        <w:tcPr>
                          <w:tcW w:w="2070" w:type="dxa"/>
                          <w:tcBorders>
                            <w:right w:val="nil"/>
                          </w:tcBorders>
                          <w:vAlign w:val="top"/>
                        </w:tcPr>
                        <w:p>
                          <w:pPr>
                            <w:spacing w:before="153" w:line="186" w:lineRule="auto"/>
                            <w:ind w:left="989"/>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9</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36" w:hRule="atLeast"/>
                      </w:trPr>
                      <w:tc>
                        <w:tcPr>
                          <w:tcW w:w="2069" w:type="dxa"/>
                          <w:tcBorders>
                            <w:left w:val="nil"/>
                          </w:tcBorders>
                          <w:vAlign w:val="top"/>
                        </w:tcPr>
                        <w:p>
                          <w:pPr>
                            <w:spacing w:before="118" w:line="224" w:lineRule="auto"/>
                            <w:ind w:left="838"/>
                            <w:rPr>
                              <w:rFonts w:ascii="SimHei" w:hAnsi="SimHei" w:eastAsia="SimHei" w:cs="SimHei"/>
                              <w:sz w:val="20"/>
                              <w:szCs w:val="20"/>
                            </w:rPr>
                          </w:pPr>
                          <w:r>
                            <w:rPr>
                              <w:rFonts w:ascii="SimHei" w:hAnsi="SimHei" w:eastAsia="SimHei" w:cs="SimHei"/>
                              <w:color w:val="231F20"/>
                              <w:spacing w:val="-2"/>
                              <w:sz w:val="20"/>
                              <w:szCs w:val="20"/>
                            </w:rPr>
                            <w:t>瑞</w:t>
                          </w:r>
                          <w:r>
                            <w:rPr>
                              <w:rFonts w:ascii="SimHei" w:hAnsi="SimHei" w:eastAsia="SimHei" w:cs="SimHei"/>
                              <w:color w:val="231F20"/>
                              <w:spacing w:val="-1"/>
                              <w:sz w:val="20"/>
                              <w:szCs w:val="20"/>
                            </w:rPr>
                            <w:t>士</w:t>
                          </w:r>
                        </w:p>
                      </w:tc>
                      <w:tc>
                        <w:tcPr>
                          <w:tcW w:w="2069" w:type="dxa"/>
                          <w:vAlign w:val="top"/>
                        </w:tcPr>
                        <w:p>
                          <w:pPr>
                            <w:spacing w:before="154" w:line="186" w:lineRule="auto"/>
                            <w:ind w:left="989"/>
                            <w:rPr>
                              <w:rFonts w:ascii="Times New Roman" w:hAnsi="Times New Roman" w:eastAsia="Times New Roman" w:cs="Times New Roman"/>
                              <w:sz w:val="20"/>
                              <w:szCs w:val="20"/>
                            </w:rPr>
                          </w:pPr>
                          <w:r>
                            <w:rPr>
                              <w:rFonts w:ascii="Times New Roman" w:hAnsi="Times New Roman" w:eastAsia="Times New Roman" w:cs="Times New Roman"/>
                              <w:color w:val="231F20"/>
                              <w:sz w:val="20"/>
                              <w:szCs w:val="20"/>
                            </w:rPr>
                            <w:t>9</w:t>
                          </w:r>
                        </w:p>
                      </w:tc>
                      <w:tc>
                        <w:tcPr>
                          <w:tcW w:w="2069" w:type="dxa"/>
                          <w:vAlign w:val="top"/>
                        </w:tcPr>
                        <w:p>
                          <w:pPr>
                            <w:spacing w:before="112" w:line="215" w:lineRule="auto"/>
                            <w:ind w:left="992"/>
                            <w:rPr>
                              <w:rFonts w:ascii="微软雅黑" w:hAnsi="微软雅黑" w:eastAsia="微软雅黑" w:cs="微软雅黑"/>
                              <w:sz w:val="20"/>
                              <w:szCs w:val="20"/>
                            </w:rPr>
                          </w:pPr>
                          <w:r>
                            <w:rPr>
                              <w:rFonts w:ascii="微软雅黑" w:hAnsi="微软雅黑" w:eastAsia="微软雅黑" w:cs="微软雅黑"/>
                              <w:color w:val="231F20"/>
                              <w:spacing w:val="39"/>
                              <w:sz w:val="20"/>
                              <w:szCs w:val="20"/>
                            </w:rPr>
                            <w:t>↑</w:t>
                          </w:r>
                        </w:p>
                      </w:tc>
                      <w:tc>
                        <w:tcPr>
                          <w:tcW w:w="2070" w:type="dxa"/>
                          <w:tcBorders>
                            <w:right w:val="nil"/>
                          </w:tcBorders>
                          <w:vAlign w:val="top"/>
                        </w:tcPr>
                        <w:p>
                          <w:pPr>
                            <w:spacing w:before="154" w:line="186" w:lineRule="auto"/>
                            <w:ind w:left="954"/>
                            <w:rPr>
                              <w:rFonts w:ascii="Times New Roman" w:hAnsi="Times New Roman" w:eastAsia="Times New Roman" w:cs="Times New Roman"/>
                              <w:sz w:val="20"/>
                              <w:szCs w:val="20"/>
                            </w:rPr>
                          </w:pPr>
                          <w:r>
                            <w:rPr>
                              <w:rFonts w:ascii="Times New Roman" w:hAnsi="Times New Roman" w:eastAsia="Times New Roman" w:cs="Times New Roman"/>
                              <w:color w:val="231F20"/>
                              <w:spacing w:val="-12"/>
                              <w:sz w:val="20"/>
                              <w:szCs w:val="20"/>
                            </w:rPr>
                            <w:t>1</w:t>
                          </w:r>
                          <w:r>
                            <w:rPr>
                              <w:rFonts w:ascii="Times New Roman" w:hAnsi="Times New Roman" w:eastAsia="Times New Roman" w:cs="Times New Roman"/>
                              <w:color w:val="231F20"/>
                              <w:spacing w:val="-11"/>
                              <w:sz w:val="20"/>
                              <w:szCs w:val="20"/>
                            </w:rPr>
                            <w:t>0</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46" w:hRule="atLeast"/>
                      </w:trPr>
                      <w:tc>
                        <w:tcPr>
                          <w:tcW w:w="2069" w:type="dxa"/>
                          <w:tcBorders>
                            <w:left w:val="nil"/>
                          </w:tcBorders>
                          <w:vAlign w:val="top"/>
                        </w:tcPr>
                        <w:p>
                          <w:pPr>
                            <w:spacing w:before="120" w:line="222" w:lineRule="auto"/>
                            <w:ind w:left="152"/>
                            <w:rPr>
                              <w:rFonts w:ascii="SimHei" w:hAnsi="SimHei" w:eastAsia="SimHei" w:cs="SimHei"/>
                              <w:sz w:val="20"/>
                              <w:szCs w:val="20"/>
                            </w:rPr>
                          </w:pPr>
                          <w:r>
                            <w:rPr>
                              <w:rFonts w:ascii="SimHei" w:hAnsi="SimHei" w:eastAsia="SimHei" w:cs="SimHei"/>
                              <w:color w:val="231F20"/>
                              <w:spacing w:val="8"/>
                              <w:sz w:val="20"/>
                              <w:szCs w:val="20"/>
                            </w:rPr>
                            <w:t>中</w:t>
                          </w:r>
                          <w:r>
                            <w:rPr>
                              <w:rFonts w:ascii="SimHei" w:hAnsi="SimHei" w:eastAsia="SimHei" w:cs="SimHei"/>
                              <w:color w:val="231F20"/>
                              <w:spacing w:val="7"/>
                              <w:sz w:val="20"/>
                              <w:szCs w:val="20"/>
                            </w:rPr>
                            <w:t>国(含香港地区)</w:t>
                          </w:r>
                        </w:p>
                      </w:tc>
                      <w:tc>
                        <w:tcPr>
                          <w:tcW w:w="2069" w:type="dxa"/>
                          <w:vAlign w:val="top"/>
                        </w:tcPr>
                        <w:p>
                          <w:pPr>
                            <w:spacing w:before="154" w:line="186" w:lineRule="auto"/>
                            <w:ind w:left="953"/>
                            <w:rPr>
                              <w:rFonts w:ascii="Times New Roman" w:hAnsi="Times New Roman" w:eastAsia="Times New Roman" w:cs="Times New Roman"/>
                              <w:sz w:val="20"/>
                              <w:szCs w:val="20"/>
                            </w:rPr>
                          </w:pPr>
                          <w:r>
                            <w:rPr>
                              <w:rFonts w:ascii="Times New Roman" w:hAnsi="Times New Roman" w:eastAsia="Times New Roman" w:cs="Times New Roman"/>
                              <w:color w:val="231F20"/>
                              <w:spacing w:val="-12"/>
                              <w:sz w:val="20"/>
                              <w:szCs w:val="20"/>
                            </w:rPr>
                            <w:t>1</w:t>
                          </w:r>
                          <w:r>
                            <w:rPr>
                              <w:rFonts w:ascii="Times New Roman" w:hAnsi="Times New Roman" w:eastAsia="Times New Roman" w:cs="Times New Roman"/>
                              <w:color w:val="231F20"/>
                              <w:spacing w:val="-11"/>
                              <w:sz w:val="20"/>
                              <w:szCs w:val="20"/>
                            </w:rPr>
                            <w:t>0</w:t>
                          </w:r>
                        </w:p>
                      </w:tc>
                      <w:tc>
                        <w:tcPr>
                          <w:tcW w:w="2069" w:type="dxa"/>
                          <w:vAlign w:val="top"/>
                        </w:tcPr>
                        <w:p>
                          <w:pPr>
                            <w:spacing w:before="113" w:line="215" w:lineRule="auto"/>
                            <w:ind w:left="992"/>
                            <w:rPr>
                              <w:rFonts w:ascii="微软雅黑" w:hAnsi="微软雅黑" w:eastAsia="微软雅黑" w:cs="微软雅黑"/>
                              <w:sz w:val="20"/>
                              <w:szCs w:val="20"/>
                            </w:rPr>
                          </w:pPr>
                          <w:r>
                            <w:rPr>
                              <w:rFonts w:ascii="微软雅黑" w:hAnsi="微软雅黑" w:eastAsia="微软雅黑" w:cs="微软雅黑"/>
                              <w:color w:val="231F20"/>
                              <w:spacing w:val="39"/>
                              <w:sz w:val="20"/>
                              <w:szCs w:val="20"/>
                            </w:rPr>
                            <w:t>↑</w:t>
                          </w:r>
                        </w:p>
                      </w:tc>
                      <w:tc>
                        <w:tcPr>
                          <w:tcW w:w="2070" w:type="dxa"/>
                          <w:tcBorders>
                            <w:right w:val="nil"/>
                          </w:tcBorders>
                          <w:vAlign w:val="top"/>
                        </w:tcPr>
                        <w:p>
                          <w:pPr>
                            <w:spacing w:before="154" w:line="186" w:lineRule="auto"/>
                            <w:ind w:left="954"/>
                            <w:rPr>
                              <w:rFonts w:ascii="Times New Roman" w:hAnsi="Times New Roman" w:eastAsia="Times New Roman" w:cs="Times New Roman"/>
                              <w:sz w:val="20"/>
                              <w:szCs w:val="20"/>
                            </w:rPr>
                          </w:pPr>
                          <w:r>
                            <w:rPr>
                              <w:rFonts w:ascii="Times New Roman" w:hAnsi="Times New Roman" w:eastAsia="Times New Roman" w:cs="Times New Roman"/>
                              <w:color w:val="231F20"/>
                              <w:spacing w:val="-12"/>
                              <w:sz w:val="20"/>
                              <w:szCs w:val="20"/>
                            </w:rPr>
                            <w:t>1</w:t>
                          </w:r>
                          <w:r>
                            <w:rPr>
                              <w:rFonts w:ascii="Times New Roman" w:hAnsi="Times New Roman" w:eastAsia="Times New Roman" w:cs="Times New Roman"/>
                              <w:color w:val="231F20"/>
                              <w:spacing w:val="-11"/>
                              <w:sz w:val="20"/>
                              <w:szCs w:val="20"/>
                            </w:rPr>
                            <w:t>2</w:t>
                          </w:r>
                        </w:p>
                      </w:tc>
                    </w:tr>
                  </w:tbl>
                  <w:p>
                    <w:pPr>
                      <w:rPr>
                        <w:rFonts w:ascii="Arial"/>
                        <w:sz w:val="21"/>
                      </w:rPr>
                    </w:pPr>
                  </w:p>
                </w:txbxContent>
              </v:textbox>
            </v:shape>
            <w10:wrap type="none"/>
            <w10:anchorlock/>
          </v:group>
        </w:pict>
      </w:r>
    </w:p>
    <w:p>
      <w:pPr>
        <w:spacing w:before="58" w:line="218" w:lineRule="auto"/>
        <w:ind w:left="1987"/>
        <w:rPr>
          <w:rFonts w:ascii="KaiTi" w:hAnsi="KaiTi" w:eastAsia="KaiTi" w:cs="KaiTi"/>
          <w:sz w:val="17"/>
          <w:szCs w:val="17"/>
        </w:rPr>
      </w:pPr>
      <w:r>
        <w:rPr>
          <w:rFonts w:ascii="KaiTi" w:hAnsi="KaiTi" w:eastAsia="KaiTi" w:cs="KaiTi"/>
          <w:color w:val="231F20"/>
          <w:spacing w:val="6"/>
          <w:sz w:val="17"/>
          <w:szCs w:val="17"/>
        </w:rPr>
        <w:t>数据来源：科尔尼</w:t>
      </w:r>
      <w:r>
        <w:rPr>
          <w:rFonts w:ascii="KaiTi" w:hAnsi="KaiTi" w:eastAsia="KaiTi" w:cs="KaiTi"/>
          <w:color w:val="231F20"/>
          <w:spacing w:val="4"/>
          <w:sz w:val="17"/>
          <w:szCs w:val="17"/>
        </w:rPr>
        <w:t xml:space="preserve"> </w:t>
      </w:r>
      <w:r>
        <w:rPr>
          <w:rFonts w:ascii="KaiTi" w:hAnsi="KaiTi" w:eastAsia="KaiTi" w:cs="KaiTi"/>
          <w:color w:val="231F20"/>
          <w:spacing w:val="3"/>
          <w:sz w:val="17"/>
          <w:szCs w:val="17"/>
        </w:rPr>
        <w:t>(</w:t>
      </w:r>
      <w:r>
        <w:rPr>
          <w:rFonts w:ascii="Times New Roman" w:hAnsi="Times New Roman" w:eastAsia="Times New Roman" w:cs="Times New Roman"/>
          <w:color w:val="231F20"/>
          <w:sz w:val="17"/>
          <w:szCs w:val="17"/>
        </w:rPr>
        <w:t>Kearney</w:t>
      </w:r>
      <w:r>
        <w:rPr>
          <w:rFonts w:ascii="KaiTi" w:hAnsi="KaiTi" w:eastAsia="KaiTi" w:cs="KaiTi"/>
          <w:color w:val="231F20"/>
          <w:spacing w:val="3"/>
          <w:sz w:val="17"/>
          <w:szCs w:val="17"/>
        </w:rPr>
        <w:t>)  《</w:t>
      </w:r>
      <w:r>
        <w:rPr>
          <w:rFonts w:ascii="Times New Roman" w:hAnsi="Times New Roman" w:eastAsia="Times New Roman" w:cs="Times New Roman"/>
          <w:color w:val="231F20"/>
          <w:spacing w:val="3"/>
          <w:sz w:val="17"/>
          <w:szCs w:val="17"/>
        </w:rPr>
        <w:t xml:space="preserve">2022 </w:t>
      </w:r>
      <w:r>
        <w:rPr>
          <w:rFonts w:ascii="KaiTi" w:hAnsi="KaiTi" w:eastAsia="KaiTi" w:cs="KaiTi"/>
          <w:color w:val="231F20"/>
          <w:spacing w:val="3"/>
          <w:sz w:val="17"/>
          <w:szCs w:val="17"/>
        </w:rPr>
        <w:t>科尔尼外商直接投资信心指数报告》。</w:t>
      </w:r>
    </w:p>
    <w:p>
      <w:pPr>
        <w:spacing w:line="267" w:lineRule="auto"/>
        <w:rPr>
          <w:rFonts w:ascii="Arial"/>
          <w:sz w:val="21"/>
        </w:rPr>
      </w:pPr>
    </w:p>
    <w:p>
      <w:pPr>
        <w:spacing w:line="267" w:lineRule="auto"/>
        <w:rPr>
          <w:rFonts w:ascii="Arial"/>
          <w:sz w:val="21"/>
        </w:rPr>
      </w:pPr>
    </w:p>
    <w:p>
      <w:pPr>
        <w:spacing w:before="94" w:line="255" w:lineRule="auto"/>
        <w:ind w:left="1992" w:right="1981" w:firstLine="449"/>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从各机构对在华外资企业开展的投资调查结</w:t>
      </w:r>
      <w:r>
        <w:rPr>
          <w:rFonts w:ascii="微软雅黑" w:hAnsi="微软雅黑" w:eastAsia="微软雅黑" w:cs="微软雅黑"/>
          <w:color w:val="231F20"/>
          <w:spacing w:val="1"/>
          <w:sz w:val="22"/>
          <w:szCs w:val="22"/>
        </w:rPr>
        <w:t>果来看 ，外资企业继续保持对中国的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投资热情。</w:t>
      </w:r>
      <w:r>
        <w:rPr>
          <w:rFonts w:ascii="Times New Roman" w:hAnsi="Times New Roman" w:eastAsia="Times New Roman" w:cs="Times New Roman"/>
          <w:color w:val="231F20"/>
          <w:spacing w:val="-4"/>
          <w:sz w:val="22"/>
          <w:szCs w:val="22"/>
        </w:rPr>
        <w:t xml:space="preserve">2022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 xml:space="preserve">5 </w:t>
      </w:r>
      <w:r>
        <w:rPr>
          <w:rFonts w:ascii="微软雅黑" w:hAnsi="微软雅黑" w:eastAsia="微软雅黑" w:cs="微软雅黑"/>
          <w:color w:val="231F20"/>
          <w:spacing w:val="-4"/>
          <w:sz w:val="22"/>
          <w:szCs w:val="22"/>
        </w:rPr>
        <w:t xml:space="preserve">月，  中国贸促会发布的《 </w:t>
      </w:r>
      <w:r>
        <w:rPr>
          <w:rFonts w:ascii="Times New Roman" w:hAnsi="Times New Roman" w:eastAsia="Times New Roman" w:cs="Times New Roman"/>
          <w:color w:val="231F20"/>
          <w:spacing w:val="-4"/>
          <w:sz w:val="22"/>
          <w:szCs w:val="22"/>
        </w:rPr>
        <w:t xml:space="preserve">2022 </w:t>
      </w:r>
      <w:r>
        <w:rPr>
          <w:rFonts w:ascii="微软雅黑" w:hAnsi="微软雅黑" w:eastAsia="微软雅黑" w:cs="微软雅黑"/>
          <w:color w:val="231F20"/>
          <w:spacing w:val="-4"/>
          <w:sz w:val="22"/>
          <w:szCs w:val="22"/>
        </w:rPr>
        <w:t>年第一季度中国外资营商环境</w:t>
      </w:r>
      <w:r>
        <w:rPr>
          <w:rFonts w:ascii="微软雅黑" w:hAnsi="微软雅黑" w:eastAsia="微软雅黑" w:cs="微软雅黑"/>
          <w:color w:val="231F20"/>
          <w:sz w:val="22"/>
          <w:szCs w:val="22"/>
        </w:rPr>
        <w:t xml:space="preserve">调研 </w:t>
      </w:r>
      <w:r>
        <w:rPr>
          <w:rFonts w:ascii="微软雅黑" w:hAnsi="微软雅黑" w:eastAsia="微软雅黑" w:cs="微软雅黑"/>
          <w:color w:val="231F20"/>
          <w:spacing w:val="-4"/>
          <w:sz w:val="22"/>
          <w:szCs w:val="22"/>
        </w:rPr>
        <w:t>报告》</w:t>
      </w:r>
      <w:r>
        <w:rPr>
          <w:rFonts w:ascii="微软雅黑" w:hAnsi="微软雅黑" w:eastAsia="微软雅黑" w:cs="微软雅黑"/>
          <w:color w:val="231F20"/>
          <w:spacing w:val="-3"/>
          <w:sz w:val="22"/>
          <w:szCs w:val="22"/>
        </w:rPr>
        <w:t>显</w:t>
      </w:r>
      <w:r>
        <w:rPr>
          <w:rFonts w:ascii="微软雅黑" w:hAnsi="微软雅黑" w:eastAsia="微软雅黑" w:cs="微软雅黑"/>
          <w:color w:val="231F20"/>
          <w:spacing w:val="-2"/>
          <w:sz w:val="22"/>
          <w:szCs w:val="22"/>
        </w:rPr>
        <w:t>示，</w:t>
      </w:r>
      <w:r>
        <w:rPr>
          <w:rFonts w:ascii="Times New Roman" w:hAnsi="Times New Roman" w:eastAsia="Times New Roman" w:cs="Times New Roman"/>
          <w:color w:val="231F20"/>
          <w:spacing w:val="-2"/>
          <w:sz w:val="22"/>
          <w:szCs w:val="22"/>
        </w:rPr>
        <w:t xml:space="preserve">2022 </w:t>
      </w:r>
      <w:r>
        <w:rPr>
          <w:rFonts w:ascii="微软雅黑" w:hAnsi="微软雅黑" w:eastAsia="微软雅黑" w:cs="微软雅黑"/>
          <w:color w:val="231F20"/>
          <w:spacing w:val="-2"/>
          <w:sz w:val="22"/>
          <w:szCs w:val="22"/>
        </w:rPr>
        <w:t xml:space="preserve">年一季度约 </w:t>
      </w:r>
      <w:r>
        <w:rPr>
          <w:rFonts w:ascii="Times New Roman" w:hAnsi="Times New Roman" w:eastAsia="Times New Roman" w:cs="Times New Roman"/>
          <w:color w:val="231F20"/>
          <w:spacing w:val="-2"/>
          <w:sz w:val="22"/>
          <w:szCs w:val="22"/>
        </w:rPr>
        <w:t xml:space="preserve">71% </w:t>
      </w:r>
      <w:r>
        <w:rPr>
          <w:rFonts w:ascii="微软雅黑" w:hAnsi="微软雅黑" w:eastAsia="微软雅黑" w:cs="微软雅黑"/>
          <w:color w:val="231F20"/>
          <w:spacing w:val="-2"/>
          <w:sz w:val="22"/>
          <w:szCs w:val="22"/>
        </w:rPr>
        <w:t xml:space="preserve">受访外资企业维持在华业务规模，  </w:t>
      </w:r>
      <w:r>
        <w:rPr>
          <w:rFonts w:ascii="Times New Roman" w:hAnsi="Times New Roman" w:eastAsia="Times New Roman" w:cs="Times New Roman"/>
          <w:color w:val="231F20"/>
          <w:spacing w:val="-2"/>
          <w:sz w:val="22"/>
          <w:szCs w:val="22"/>
        </w:rPr>
        <w:t xml:space="preserve">16.4% </w:t>
      </w:r>
      <w:r>
        <w:rPr>
          <w:rFonts w:ascii="微软雅黑" w:hAnsi="微软雅黑" w:eastAsia="微软雅黑" w:cs="微软雅黑"/>
          <w:color w:val="231F20"/>
          <w:spacing w:val="-2"/>
          <w:sz w:val="22"/>
          <w:szCs w:val="22"/>
        </w:rPr>
        <w:t>的企业扩</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大了业务规</w:t>
      </w:r>
      <w:r>
        <w:rPr>
          <w:rFonts w:ascii="微软雅黑" w:hAnsi="微软雅黑" w:eastAsia="微软雅黑" w:cs="微软雅黑"/>
          <w:color w:val="231F20"/>
          <w:spacing w:val="-7"/>
          <w:sz w:val="22"/>
          <w:szCs w:val="22"/>
        </w:rPr>
        <w:t>模</w:t>
      </w:r>
      <w:r>
        <w:rPr>
          <w:rFonts w:ascii="微软雅黑" w:hAnsi="微软雅黑" w:eastAsia="微软雅黑" w:cs="微软雅黑"/>
          <w:color w:val="231F20"/>
          <w:spacing w:val="-4"/>
          <w:sz w:val="22"/>
          <w:szCs w:val="22"/>
        </w:rPr>
        <w:t>，</w:t>
      </w:r>
      <w:r>
        <w:rPr>
          <w:rFonts w:ascii="Times New Roman" w:hAnsi="Times New Roman" w:eastAsia="Times New Roman" w:cs="Times New Roman"/>
          <w:color w:val="231F20"/>
          <w:spacing w:val="-4"/>
          <w:sz w:val="22"/>
          <w:szCs w:val="22"/>
        </w:rPr>
        <w:t xml:space="preserve">72. 1% </w:t>
      </w:r>
      <w:r>
        <w:rPr>
          <w:rFonts w:ascii="微软雅黑" w:hAnsi="微软雅黑" w:eastAsia="微软雅黑" w:cs="微软雅黑"/>
          <w:color w:val="231F20"/>
          <w:spacing w:val="-4"/>
          <w:sz w:val="22"/>
          <w:szCs w:val="22"/>
        </w:rPr>
        <w:t xml:space="preserve">的企业在华增资幅度大于 </w:t>
      </w:r>
      <w:r>
        <w:rPr>
          <w:rFonts w:ascii="Times New Roman" w:hAnsi="Times New Roman" w:eastAsia="Times New Roman" w:cs="Times New Roman"/>
          <w:color w:val="231F20"/>
          <w:spacing w:val="-4"/>
          <w:sz w:val="22"/>
          <w:szCs w:val="22"/>
        </w:rPr>
        <w:t>5%</w:t>
      </w:r>
      <w:r>
        <w:rPr>
          <w:rFonts w:ascii="微软雅黑" w:hAnsi="微软雅黑" w:eastAsia="微软雅黑" w:cs="微软雅黑"/>
          <w:color w:val="231F20"/>
          <w:spacing w:val="-4"/>
          <w:sz w:val="22"/>
          <w:szCs w:val="22"/>
        </w:rPr>
        <w:t>。</w:t>
      </w:r>
      <w:r>
        <w:rPr>
          <w:rFonts w:ascii="Times New Roman" w:hAnsi="Times New Roman" w:eastAsia="Times New Roman" w:cs="Times New Roman"/>
          <w:color w:val="231F20"/>
          <w:spacing w:val="-4"/>
          <w:sz w:val="22"/>
          <w:szCs w:val="22"/>
        </w:rPr>
        <w:t xml:space="preserve">2022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 xml:space="preserve">3 </w:t>
      </w:r>
      <w:r>
        <w:rPr>
          <w:rFonts w:ascii="微软雅黑" w:hAnsi="微软雅黑" w:eastAsia="微软雅黑" w:cs="微软雅黑"/>
          <w:color w:val="231F20"/>
          <w:spacing w:val="-4"/>
          <w:sz w:val="22"/>
          <w:szCs w:val="22"/>
        </w:rPr>
        <w:t>月，  中国美国商会针对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美国在华企业发</w:t>
      </w:r>
      <w:r>
        <w:rPr>
          <w:rFonts w:ascii="微软雅黑" w:hAnsi="微软雅黑" w:eastAsia="微软雅黑" w:cs="微软雅黑"/>
          <w:color w:val="231F20"/>
          <w:spacing w:val="1"/>
          <w:sz w:val="22"/>
          <w:szCs w:val="22"/>
        </w:rPr>
        <w:t>布的调查报告显示 ，</w:t>
      </w:r>
      <w:r>
        <w:rPr>
          <w:rFonts w:ascii="Times New Roman" w:hAnsi="Times New Roman" w:eastAsia="Times New Roman" w:cs="Times New Roman"/>
          <w:color w:val="231F20"/>
          <w:spacing w:val="1"/>
          <w:sz w:val="22"/>
          <w:szCs w:val="22"/>
        </w:rPr>
        <w:t xml:space="preserve">60% </w:t>
      </w:r>
      <w:r>
        <w:rPr>
          <w:rFonts w:ascii="微软雅黑" w:hAnsi="微软雅黑" w:eastAsia="微软雅黑" w:cs="微软雅黑"/>
          <w:color w:val="231F20"/>
          <w:spacing w:val="1"/>
          <w:sz w:val="22"/>
          <w:szCs w:val="22"/>
        </w:rPr>
        <w:t>的企业仍然认为中国是其近期全球投资计划</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的前三大</w:t>
      </w:r>
      <w:r>
        <w:rPr>
          <w:rFonts w:ascii="微软雅黑" w:hAnsi="微软雅黑" w:eastAsia="微软雅黑" w:cs="微软雅黑"/>
          <w:color w:val="231F20"/>
          <w:spacing w:val="-3"/>
          <w:sz w:val="22"/>
          <w:szCs w:val="22"/>
        </w:rPr>
        <w:t>投</w:t>
      </w:r>
      <w:r>
        <w:rPr>
          <w:rFonts w:ascii="微软雅黑" w:hAnsi="微软雅黑" w:eastAsia="微软雅黑" w:cs="微软雅黑"/>
          <w:color w:val="231F20"/>
          <w:spacing w:val="-2"/>
          <w:sz w:val="22"/>
          <w:szCs w:val="22"/>
        </w:rPr>
        <w:t>资目的地之一；</w:t>
      </w:r>
      <w:r>
        <w:rPr>
          <w:rFonts w:ascii="Times New Roman" w:hAnsi="Times New Roman" w:eastAsia="Times New Roman" w:cs="Times New Roman"/>
          <w:color w:val="231F20"/>
          <w:spacing w:val="-2"/>
          <w:sz w:val="22"/>
          <w:szCs w:val="22"/>
        </w:rPr>
        <w:t xml:space="preserve">66% </w:t>
      </w:r>
      <w:r>
        <w:rPr>
          <w:rFonts w:ascii="微软雅黑" w:hAnsi="微软雅黑" w:eastAsia="微软雅黑" w:cs="微软雅黑"/>
          <w:color w:val="231F20"/>
          <w:spacing w:val="-2"/>
          <w:sz w:val="22"/>
          <w:szCs w:val="22"/>
        </w:rPr>
        <w:t xml:space="preserve">的企业计划 </w:t>
      </w:r>
      <w:r>
        <w:rPr>
          <w:rFonts w:ascii="Times New Roman" w:hAnsi="Times New Roman" w:eastAsia="Times New Roman" w:cs="Times New Roman"/>
          <w:color w:val="231F20"/>
          <w:spacing w:val="-2"/>
          <w:sz w:val="22"/>
          <w:szCs w:val="22"/>
        </w:rPr>
        <w:t>2022</w:t>
      </w:r>
      <w:r>
        <w:rPr>
          <w:rFonts w:ascii="微软雅黑" w:hAnsi="微软雅黑" w:eastAsia="微软雅黑" w:cs="微软雅黑"/>
          <w:color w:val="231F20"/>
          <w:spacing w:val="-2"/>
          <w:sz w:val="22"/>
          <w:szCs w:val="22"/>
        </w:rPr>
        <w:t xml:space="preserve">年增加在华投资；  </w:t>
      </w:r>
      <w:r>
        <w:rPr>
          <w:rFonts w:ascii="Times New Roman" w:hAnsi="Times New Roman" w:eastAsia="Times New Roman" w:cs="Times New Roman"/>
          <w:color w:val="231F20"/>
          <w:spacing w:val="-2"/>
          <w:sz w:val="22"/>
          <w:szCs w:val="22"/>
        </w:rPr>
        <w:t xml:space="preserve">83% </w:t>
      </w:r>
      <w:r>
        <w:rPr>
          <w:rFonts w:ascii="微软雅黑" w:hAnsi="微软雅黑" w:eastAsia="微软雅黑" w:cs="微软雅黑"/>
          <w:color w:val="231F20"/>
          <w:spacing w:val="-2"/>
          <w:sz w:val="22"/>
          <w:szCs w:val="22"/>
        </w:rPr>
        <w:t>的企业没有将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制造或采购转移出</w:t>
      </w:r>
      <w:r>
        <w:rPr>
          <w:rFonts w:ascii="微软雅黑" w:hAnsi="微软雅黑" w:eastAsia="微软雅黑" w:cs="微软雅黑"/>
          <w:color w:val="231F20"/>
          <w:spacing w:val="2"/>
          <w:sz w:val="22"/>
          <w:szCs w:val="22"/>
        </w:rPr>
        <w:t xml:space="preserve">中国的打算。《中国经济与日本企业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年白皮书》显示，</w:t>
      </w:r>
      <w:r>
        <w:rPr>
          <w:rFonts w:ascii="Times New Roman" w:hAnsi="Times New Roman" w:eastAsia="Times New Roman" w:cs="Times New Roman"/>
          <w:color w:val="231F20"/>
          <w:spacing w:val="2"/>
          <w:sz w:val="22"/>
          <w:szCs w:val="22"/>
        </w:rPr>
        <w:t>92.8%</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1"/>
          <w:sz w:val="22"/>
          <w:szCs w:val="22"/>
        </w:rPr>
        <w:t>的在</w:t>
      </w:r>
      <w:r>
        <w:rPr>
          <w:rFonts w:ascii="微软雅黑" w:hAnsi="微软雅黑" w:eastAsia="微软雅黑" w:cs="微软雅黑"/>
          <w:color w:val="231F20"/>
          <w:sz w:val="22"/>
          <w:szCs w:val="22"/>
        </w:rPr>
        <w:t xml:space="preserve">华日资企业不会因为“疫情蔓延”和“贸易环境变化”等因素调整生产基地。  中 </w:t>
      </w:r>
      <w:r>
        <w:rPr>
          <w:rFonts w:ascii="微软雅黑" w:hAnsi="微软雅黑" w:eastAsia="微软雅黑" w:cs="微软雅黑"/>
          <w:color w:val="231F20"/>
          <w:spacing w:val="-4"/>
          <w:sz w:val="22"/>
          <w:szCs w:val="22"/>
        </w:rPr>
        <w:t>国德国商会联合毕马</w:t>
      </w:r>
      <w:r>
        <w:rPr>
          <w:rFonts w:ascii="微软雅黑" w:hAnsi="微软雅黑" w:eastAsia="微软雅黑" w:cs="微软雅黑"/>
          <w:color w:val="231F20"/>
          <w:spacing w:val="-3"/>
          <w:sz w:val="22"/>
          <w:szCs w:val="22"/>
        </w:rPr>
        <w:t>威</w:t>
      </w:r>
      <w:r>
        <w:rPr>
          <w:rFonts w:ascii="微软雅黑" w:hAnsi="微软雅黑" w:eastAsia="微软雅黑" w:cs="微软雅黑"/>
          <w:color w:val="231F20"/>
          <w:spacing w:val="-2"/>
          <w:sz w:val="22"/>
          <w:szCs w:val="22"/>
        </w:rPr>
        <w:t xml:space="preserve">会计师事务所发布的《商业信心调查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丨 </w:t>
      </w:r>
      <w:r>
        <w:rPr>
          <w:rFonts w:ascii="Times New Roman" w:hAnsi="Times New Roman" w:eastAsia="Times New Roman" w:cs="Times New Roman"/>
          <w:color w:val="231F20"/>
          <w:spacing w:val="-2"/>
          <w:sz w:val="22"/>
          <w:szCs w:val="22"/>
        </w:rPr>
        <w:t>2022</w:t>
      </w:r>
      <w:r>
        <w:rPr>
          <w:rFonts w:ascii="微软雅黑" w:hAnsi="微软雅黑" w:eastAsia="微软雅黑" w:cs="微软雅黑"/>
          <w:color w:val="231F20"/>
          <w:spacing w:val="-2"/>
          <w:sz w:val="22"/>
          <w:szCs w:val="22"/>
        </w:rPr>
        <w:t>》报告显示，</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1"/>
          <w:sz w:val="22"/>
          <w:szCs w:val="22"/>
        </w:rPr>
        <w:t xml:space="preserve">71% </w:t>
      </w:r>
      <w:r>
        <w:rPr>
          <w:rFonts w:ascii="微软雅黑" w:hAnsi="微软雅黑" w:eastAsia="微软雅黑" w:cs="微软雅黑"/>
          <w:color w:val="231F20"/>
          <w:spacing w:val="-1"/>
          <w:sz w:val="22"/>
          <w:szCs w:val="22"/>
        </w:rPr>
        <w:t>的德资企业</w:t>
      </w:r>
      <w:r>
        <w:rPr>
          <w:rFonts w:ascii="微软雅黑" w:hAnsi="微软雅黑" w:eastAsia="微软雅黑" w:cs="微软雅黑"/>
          <w:color w:val="231F20"/>
          <w:sz w:val="22"/>
          <w:szCs w:val="22"/>
        </w:rPr>
        <w:t xml:space="preserve">计划继续追加在华投资。华南美国商会发布的《 </w:t>
      </w:r>
      <w:r>
        <w:rPr>
          <w:rFonts w:ascii="Times New Roman" w:hAnsi="Times New Roman" w:eastAsia="Times New Roman" w:cs="Times New Roman"/>
          <w:color w:val="231F20"/>
          <w:sz w:val="22"/>
          <w:szCs w:val="22"/>
        </w:rPr>
        <w:t xml:space="preserve">2022 </w:t>
      </w:r>
      <w:r>
        <w:rPr>
          <w:rFonts w:ascii="微软雅黑" w:hAnsi="微软雅黑" w:eastAsia="微软雅黑" w:cs="微软雅黑"/>
          <w:color w:val="231F20"/>
          <w:sz w:val="22"/>
          <w:szCs w:val="22"/>
        </w:rPr>
        <w:t xml:space="preserve">年华南地区经济 </w:t>
      </w:r>
      <w:r>
        <w:rPr>
          <w:rFonts w:ascii="微软雅黑" w:hAnsi="微软雅黑" w:eastAsia="微软雅黑" w:cs="微软雅黑"/>
          <w:color w:val="231F20"/>
          <w:spacing w:val="-4"/>
          <w:sz w:val="22"/>
          <w:szCs w:val="22"/>
        </w:rPr>
        <w:t>情况特别报告》显示，</w:t>
      </w:r>
      <w:r>
        <w:rPr>
          <w:rFonts w:ascii="Times New Roman" w:hAnsi="Times New Roman" w:eastAsia="Times New Roman" w:cs="Times New Roman"/>
          <w:color w:val="231F20"/>
          <w:spacing w:val="-4"/>
          <w:sz w:val="22"/>
          <w:szCs w:val="22"/>
        </w:rPr>
        <w:t>72%</w:t>
      </w:r>
      <w:r>
        <w:rPr>
          <w:rFonts w:ascii="Times New Roman" w:hAnsi="Times New Roman" w:eastAsia="Times New Roman" w:cs="Times New Roman"/>
          <w:color w:val="231F20"/>
          <w:spacing w:val="-3"/>
          <w:sz w:val="22"/>
          <w:szCs w:val="22"/>
        </w:rPr>
        <w:t xml:space="preserve"> </w:t>
      </w:r>
      <w:r>
        <w:rPr>
          <w:rFonts w:ascii="微软雅黑" w:hAnsi="微软雅黑" w:eastAsia="微软雅黑" w:cs="微软雅黑"/>
          <w:color w:val="231F20"/>
          <w:spacing w:val="-2"/>
          <w:sz w:val="22"/>
          <w:szCs w:val="22"/>
        </w:rPr>
        <w:t>的受访企业未来三年计划在中国扩张业务，未来三到五年，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受访企业在华再投资总额预计将达到 </w:t>
      </w:r>
      <w:r>
        <w:rPr>
          <w:rFonts w:ascii="Times New Roman" w:hAnsi="Times New Roman" w:eastAsia="Times New Roman" w:cs="Times New Roman"/>
          <w:color w:val="231F20"/>
          <w:spacing w:val="2"/>
          <w:sz w:val="22"/>
          <w:szCs w:val="22"/>
        </w:rPr>
        <w:t>265</w:t>
      </w:r>
      <w:r>
        <w:rPr>
          <w:rFonts w:ascii="微软雅黑" w:hAnsi="微软雅黑" w:eastAsia="微软雅黑" w:cs="微软雅黑"/>
          <w:color w:val="231F20"/>
          <w:spacing w:val="2"/>
          <w:sz w:val="22"/>
          <w:szCs w:val="22"/>
        </w:rPr>
        <w:t xml:space="preserve">亿美元 ( 约合人民币 </w:t>
      </w:r>
      <w:r>
        <w:rPr>
          <w:rFonts w:ascii="Times New Roman" w:hAnsi="Times New Roman" w:eastAsia="Times New Roman" w:cs="Times New Roman"/>
          <w:color w:val="231F20"/>
          <w:spacing w:val="2"/>
          <w:sz w:val="22"/>
          <w:szCs w:val="22"/>
        </w:rPr>
        <w:t xml:space="preserve">1685 </w:t>
      </w:r>
      <w:r>
        <w:rPr>
          <w:rFonts w:ascii="微软雅黑" w:hAnsi="微软雅黑" w:eastAsia="微软雅黑" w:cs="微软雅黑"/>
          <w:color w:val="231F20"/>
          <w:spacing w:val="2"/>
          <w:sz w:val="22"/>
          <w:szCs w:val="22"/>
        </w:rPr>
        <w:t xml:space="preserve">亿元 </w:t>
      </w:r>
      <w:r>
        <w:rPr>
          <w:rFonts w:ascii="微软雅黑" w:hAnsi="微软雅黑" w:eastAsia="微软雅黑" w:cs="微软雅黑"/>
          <w:color w:val="231F20"/>
          <w:sz w:val="22"/>
          <w:szCs w:val="22"/>
        </w:rPr>
        <w:t>) 。</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81286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609"/>
        <w:rPr>
          <w:rFonts w:ascii="SimHei" w:hAnsi="SimHei" w:eastAsia="SimHei" w:cs="SimHei"/>
          <w:sz w:val="21"/>
          <w:szCs w:val="21"/>
        </w:rPr>
      </w:pPr>
      <w:bookmarkStart w:id="12" w:name="_bookmark14"/>
      <w:bookmarkEnd w:id="12"/>
      <w:bookmarkStart w:id="13" w:name="_bookmark15"/>
      <w:bookmarkEnd w:id="13"/>
      <w:r>
        <w:rPr>
          <w:rFonts w:ascii="Arial" w:hAnsi="Arial" w:eastAsia="Arial" w:cs="Arial"/>
          <w:color w:val="231F20"/>
          <w:spacing w:val="27"/>
          <w:sz w:val="20"/>
          <w:szCs w:val="20"/>
        </w:rPr>
        <w:t>1</w:t>
      </w:r>
      <w:r>
        <w:rPr>
          <w:rFonts w:ascii="Arial" w:hAnsi="Arial" w:eastAsia="Arial" w:cs="Arial"/>
          <w:color w:val="231F20"/>
          <w:spacing w:val="21"/>
          <w:sz w:val="20"/>
          <w:szCs w:val="20"/>
        </w:rPr>
        <w:t xml:space="preserve">6  </w:t>
      </w:r>
      <w:r>
        <w:rPr>
          <w:position w:val="-5"/>
          <w:sz w:val="20"/>
          <w:szCs w:val="20"/>
        </w:rPr>
        <w:drawing>
          <wp:inline distT="0" distB="0" distL="0" distR="0">
            <wp:extent cx="3175" cy="147320"/>
            <wp:effectExtent l="0" t="0" r="0" b="0"/>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综合篇</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91" w:line="222" w:lineRule="auto"/>
        <w:ind w:left="2567"/>
        <w:rPr>
          <w:rFonts w:ascii="SimHei" w:hAnsi="SimHei" w:eastAsia="SimHei" w:cs="SimHei"/>
          <w:sz w:val="28"/>
          <w:szCs w:val="28"/>
        </w:rPr>
      </w:pPr>
      <w:r>
        <w:rPr>
          <w:rFonts w:ascii="SimHei" w:hAnsi="SimHei" w:eastAsia="SimHei" w:cs="SimHei"/>
          <w:color w:val="015DAC"/>
          <w:spacing w:val="1"/>
          <w:sz w:val="28"/>
          <w:szCs w:val="28"/>
        </w:rPr>
        <w:t>三、</w:t>
      </w:r>
      <w:r>
        <w:rPr>
          <w:rFonts w:ascii="Times New Roman" w:hAnsi="Times New Roman" w:eastAsia="Times New Roman" w:cs="Times New Roman"/>
          <w:color w:val="015DAC"/>
          <w:spacing w:val="1"/>
          <w:sz w:val="28"/>
          <w:szCs w:val="28"/>
        </w:rPr>
        <w:t>202</w:t>
      </w:r>
      <w:r>
        <w:rPr>
          <w:rFonts w:ascii="Times New Roman" w:hAnsi="Times New Roman" w:eastAsia="Times New Roman" w:cs="Times New Roman"/>
          <w:color w:val="015DAC"/>
          <w:sz w:val="28"/>
          <w:szCs w:val="28"/>
        </w:rPr>
        <w:t xml:space="preserve">1 </w:t>
      </w:r>
      <w:r>
        <w:rPr>
          <w:rFonts w:ascii="SimHei" w:hAnsi="SimHei" w:eastAsia="SimHei" w:cs="SimHei"/>
          <w:color w:val="015DAC"/>
          <w:sz w:val="28"/>
          <w:szCs w:val="28"/>
        </w:rPr>
        <w:t>年中国外商投资重点政策</w:t>
      </w:r>
    </w:p>
    <w:p>
      <w:pPr>
        <w:spacing w:line="357" w:lineRule="auto"/>
        <w:rPr>
          <w:rFonts w:ascii="Arial"/>
          <w:sz w:val="21"/>
        </w:rPr>
      </w:pPr>
    </w:p>
    <w:p>
      <w:pPr>
        <w:spacing w:before="95" w:line="263" w:lineRule="auto"/>
        <w:ind w:left="1992" w:right="1897" w:firstLine="450"/>
        <w:rPr>
          <w:rFonts w:ascii="微软雅黑" w:hAnsi="微软雅黑" w:eastAsia="微软雅黑" w:cs="微软雅黑"/>
          <w:sz w:val="22"/>
          <w:szCs w:val="22"/>
        </w:rPr>
      </w:pPr>
      <w:r>
        <w:rPr>
          <w:rFonts w:ascii="Times New Roman" w:hAnsi="Times New Roman" w:eastAsia="Times New Roman" w:cs="Times New Roman"/>
          <w:color w:val="231F20"/>
          <w:spacing w:val="-6"/>
          <w:sz w:val="22"/>
          <w:szCs w:val="22"/>
        </w:rPr>
        <w:t>2020</w:t>
      </w:r>
      <w:r>
        <w:rPr>
          <w:rFonts w:ascii="Times New Roman" w:hAnsi="Times New Roman" w:eastAsia="Times New Roman" w:cs="Times New Roman"/>
          <w:color w:val="231F20"/>
          <w:spacing w:val="-3"/>
          <w:sz w:val="22"/>
          <w:szCs w:val="22"/>
        </w:rPr>
        <w:t xml:space="preserve"> </w:t>
      </w:r>
      <w:r>
        <w:rPr>
          <w:rFonts w:ascii="微软雅黑" w:hAnsi="微软雅黑" w:eastAsia="微软雅黑" w:cs="微软雅黑"/>
          <w:color w:val="231F20"/>
          <w:spacing w:val="-3"/>
          <w:sz w:val="22"/>
          <w:szCs w:val="22"/>
        </w:rPr>
        <w:t xml:space="preserve">年 </w:t>
      </w:r>
      <w:r>
        <w:rPr>
          <w:rFonts w:ascii="Times New Roman" w:hAnsi="Times New Roman" w:eastAsia="Times New Roman" w:cs="Times New Roman"/>
          <w:color w:val="231F20"/>
          <w:spacing w:val="-3"/>
          <w:sz w:val="22"/>
          <w:szCs w:val="22"/>
        </w:rPr>
        <w:t xml:space="preserve">1 </w:t>
      </w:r>
      <w:r>
        <w:rPr>
          <w:rFonts w:ascii="微软雅黑" w:hAnsi="微软雅黑" w:eastAsia="微软雅黑" w:cs="微软雅黑"/>
          <w:color w:val="231F20"/>
          <w:spacing w:val="-3"/>
          <w:sz w:val="22"/>
          <w:szCs w:val="22"/>
        </w:rPr>
        <w:t>月，  中国《外商投资法》及其实施细则正式生效实施 ，确立了外商投资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法律制度</w:t>
      </w:r>
      <w:r>
        <w:rPr>
          <w:rFonts w:ascii="微软雅黑" w:hAnsi="微软雅黑" w:eastAsia="微软雅黑" w:cs="微软雅黑"/>
          <w:color w:val="231F20"/>
          <w:spacing w:val="-5"/>
          <w:sz w:val="22"/>
          <w:szCs w:val="22"/>
        </w:rPr>
        <w:t>的</w:t>
      </w:r>
      <w:r>
        <w:rPr>
          <w:rFonts w:ascii="微软雅黑" w:hAnsi="微软雅黑" w:eastAsia="微软雅黑" w:cs="微软雅黑"/>
          <w:color w:val="231F20"/>
          <w:spacing w:val="-3"/>
          <w:sz w:val="22"/>
          <w:szCs w:val="22"/>
        </w:rPr>
        <w:t>总框架。依据《外商投资法》相关规定，  中国有关部门进一步从投资准入、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便利化措施、投资促进和投资保护等方面完善了促进外商投资</w:t>
      </w:r>
      <w:r>
        <w:rPr>
          <w:rFonts w:ascii="微软雅黑" w:hAnsi="微软雅黑" w:eastAsia="微软雅黑" w:cs="微软雅黑"/>
          <w:color w:val="231F20"/>
          <w:spacing w:val="1"/>
          <w:sz w:val="22"/>
          <w:szCs w:val="22"/>
        </w:rPr>
        <w:t>的政策和制度体系 ，为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外商投资创</w:t>
      </w:r>
      <w:r>
        <w:rPr>
          <w:rFonts w:ascii="微软雅黑" w:hAnsi="微软雅黑" w:eastAsia="微软雅黑" w:cs="微软雅黑"/>
          <w:color w:val="231F20"/>
          <w:sz w:val="22"/>
          <w:szCs w:val="22"/>
        </w:rPr>
        <w:t>造了良好的环境。</w:t>
      </w:r>
    </w:p>
    <w:p>
      <w:pPr>
        <w:spacing w:before="178" w:line="222" w:lineRule="auto"/>
        <w:ind w:left="2462"/>
        <w:rPr>
          <w:rFonts w:ascii="SimHei" w:hAnsi="SimHei" w:eastAsia="SimHei" w:cs="SimHei"/>
          <w:sz w:val="24"/>
          <w:szCs w:val="24"/>
        </w:rPr>
      </w:pPr>
      <w:r>
        <w:rPr>
          <w:rFonts w:ascii="SimHei" w:hAnsi="SimHei" w:eastAsia="SimHei" w:cs="SimHei"/>
          <w:color w:val="015DAC"/>
          <w:spacing w:val="9"/>
          <w:sz w:val="24"/>
          <w:szCs w:val="24"/>
        </w:rPr>
        <w:t>(一) 外商投资准入政</w:t>
      </w:r>
      <w:r>
        <w:rPr>
          <w:rFonts w:ascii="SimHei" w:hAnsi="SimHei" w:eastAsia="SimHei" w:cs="SimHei"/>
          <w:color w:val="015DAC"/>
          <w:spacing w:val="7"/>
          <w:sz w:val="24"/>
          <w:szCs w:val="24"/>
        </w:rPr>
        <w:t>策</w:t>
      </w:r>
    </w:p>
    <w:p>
      <w:pPr>
        <w:spacing w:line="267" w:lineRule="auto"/>
        <w:rPr>
          <w:rFonts w:ascii="Arial"/>
          <w:sz w:val="21"/>
        </w:rPr>
      </w:pPr>
    </w:p>
    <w:p>
      <w:pPr>
        <w:spacing w:before="71" w:line="214" w:lineRule="auto"/>
        <w:ind w:left="2463"/>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1. </w:t>
      </w:r>
      <w:r>
        <w:rPr>
          <w:rFonts w:ascii="KaiTi" w:hAnsi="KaiTi" w:eastAsia="KaiTi" w:cs="KaiTi"/>
          <w:color w:val="015DAC"/>
          <w:spacing w:val="-1"/>
          <w:sz w:val="22"/>
          <w:szCs w:val="22"/>
        </w:rPr>
        <w:t>缩</w:t>
      </w:r>
      <w:r>
        <w:rPr>
          <w:rFonts w:ascii="KaiTi" w:hAnsi="KaiTi" w:eastAsia="KaiTi" w:cs="KaiTi"/>
          <w:color w:val="015DAC"/>
          <w:sz w:val="22"/>
          <w:szCs w:val="22"/>
        </w:rPr>
        <w:t>减全国和自贸试验区外资准入负面清单</w:t>
      </w:r>
    </w:p>
    <w:p>
      <w:pPr>
        <w:spacing w:line="267" w:lineRule="auto"/>
        <w:rPr>
          <w:rFonts w:ascii="Arial"/>
          <w:sz w:val="21"/>
        </w:rPr>
      </w:pPr>
    </w:p>
    <w:p>
      <w:pPr>
        <w:spacing w:before="94" w:line="202" w:lineRule="auto"/>
        <w:ind w:left="2442"/>
        <w:rPr>
          <w:rFonts w:ascii="微软雅黑" w:hAnsi="微软雅黑" w:eastAsia="微软雅黑" w:cs="微软雅黑"/>
          <w:sz w:val="22"/>
          <w:szCs w:val="22"/>
        </w:rPr>
      </w:pPr>
      <w:r>
        <w:rPr>
          <w:rFonts w:ascii="Times New Roman" w:hAnsi="Times New Roman" w:eastAsia="Times New Roman" w:cs="Times New Roman"/>
          <w:color w:val="231F20"/>
          <w:spacing w:val="-8"/>
          <w:sz w:val="22"/>
          <w:szCs w:val="22"/>
        </w:rPr>
        <w:t>202</w:t>
      </w:r>
      <w:r>
        <w:rPr>
          <w:rFonts w:ascii="Times New Roman" w:hAnsi="Times New Roman" w:eastAsia="Times New Roman" w:cs="Times New Roman"/>
          <w:color w:val="231F20"/>
          <w:spacing w:val="-4"/>
          <w:sz w:val="22"/>
          <w:szCs w:val="22"/>
        </w:rPr>
        <w:t>1</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12</w:t>
      </w:r>
      <w:r>
        <w:rPr>
          <w:rFonts w:ascii="微软雅黑" w:hAnsi="微软雅黑" w:eastAsia="微软雅黑" w:cs="微软雅黑"/>
          <w:color w:val="231F20"/>
          <w:spacing w:val="-4"/>
          <w:sz w:val="22"/>
          <w:szCs w:val="22"/>
        </w:rPr>
        <w:t xml:space="preserve">月 </w:t>
      </w:r>
      <w:r>
        <w:rPr>
          <w:rFonts w:ascii="Times New Roman" w:hAnsi="Times New Roman" w:eastAsia="Times New Roman" w:cs="Times New Roman"/>
          <w:color w:val="231F20"/>
          <w:spacing w:val="-4"/>
          <w:sz w:val="22"/>
          <w:szCs w:val="22"/>
        </w:rPr>
        <w:t xml:space="preserve">27 </w:t>
      </w:r>
      <w:r>
        <w:rPr>
          <w:rFonts w:ascii="微软雅黑" w:hAnsi="微软雅黑" w:eastAsia="微软雅黑" w:cs="微软雅黑"/>
          <w:color w:val="231F20"/>
          <w:spacing w:val="-4"/>
          <w:sz w:val="22"/>
          <w:szCs w:val="22"/>
        </w:rPr>
        <w:t>日，国家发展改革委和商务部发布《外商投资准入特别管理措施( 负</w:t>
      </w:r>
    </w:p>
    <w:p>
      <w:pPr>
        <w:spacing w:before="80" w:line="264" w:lineRule="auto"/>
        <w:ind w:left="1994" w:right="1915" w:firstLine="6"/>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 xml:space="preserve">面清单 )   ( </w:t>
      </w:r>
      <w:r>
        <w:rPr>
          <w:rFonts w:ascii="Times New Roman" w:hAnsi="Times New Roman" w:eastAsia="Times New Roman" w:cs="Times New Roman"/>
          <w:color w:val="231F20"/>
          <w:spacing w:val="-4"/>
          <w:sz w:val="22"/>
          <w:szCs w:val="22"/>
        </w:rPr>
        <w:t>202</w:t>
      </w:r>
      <w:r>
        <w:rPr>
          <w:rFonts w:ascii="Times New Roman" w:hAnsi="Times New Roman" w:eastAsia="Times New Roman" w:cs="Times New Roman"/>
          <w:color w:val="231F20"/>
          <w:spacing w:val="-2"/>
          <w:sz w:val="22"/>
          <w:szCs w:val="22"/>
        </w:rPr>
        <w:t xml:space="preserve">1 </w:t>
      </w:r>
      <w:r>
        <w:rPr>
          <w:rFonts w:ascii="微软雅黑" w:hAnsi="微软雅黑" w:eastAsia="微软雅黑" w:cs="微软雅黑"/>
          <w:color w:val="231F20"/>
          <w:spacing w:val="-2"/>
          <w:sz w:val="22"/>
          <w:szCs w:val="22"/>
        </w:rPr>
        <w:t xml:space="preserve">年版 )  》   ( 发展改革委 商务部令第 </w:t>
      </w:r>
      <w:r>
        <w:rPr>
          <w:rFonts w:ascii="Times New Roman" w:hAnsi="Times New Roman" w:eastAsia="Times New Roman" w:cs="Times New Roman"/>
          <w:color w:val="231F20"/>
          <w:spacing w:val="-2"/>
          <w:sz w:val="22"/>
          <w:szCs w:val="22"/>
        </w:rPr>
        <w:t xml:space="preserve">47 </w:t>
      </w:r>
      <w:r>
        <w:rPr>
          <w:rFonts w:ascii="微软雅黑" w:hAnsi="微软雅黑" w:eastAsia="微软雅黑" w:cs="微软雅黑"/>
          <w:color w:val="231F20"/>
          <w:spacing w:val="-2"/>
          <w:sz w:val="22"/>
          <w:szCs w:val="22"/>
        </w:rPr>
        <w:t>号 ) 和《 自由贸易试验区外商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投资准入特别管理措施 ( 负面清单 )  ( </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 xml:space="preserve">年版 ) 》  ( 发展改革委 商务部令第 </w:t>
      </w:r>
      <w:r>
        <w:rPr>
          <w:rFonts w:ascii="Times New Roman" w:hAnsi="Times New Roman" w:eastAsia="Times New Roman" w:cs="Times New Roman"/>
          <w:color w:val="231F20"/>
          <w:spacing w:val="-4"/>
          <w:sz w:val="22"/>
          <w:szCs w:val="22"/>
        </w:rPr>
        <w:t xml:space="preserve">48 </w:t>
      </w:r>
      <w:r>
        <w:rPr>
          <w:rFonts w:ascii="微软雅黑" w:hAnsi="微软雅黑" w:eastAsia="微软雅黑" w:cs="微软雅黑"/>
          <w:color w:val="231F20"/>
          <w:spacing w:val="-4"/>
          <w:sz w:val="22"/>
          <w:szCs w:val="22"/>
        </w:rPr>
        <w:t>号 )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将全国和自贸试验区外资</w:t>
      </w:r>
      <w:r>
        <w:rPr>
          <w:rFonts w:ascii="微软雅黑" w:hAnsi="微软雅黑" w:eastAsia="微软雅黑" w:cs="微软雅黑"/>
          <w:color w:val="231F20"/>
          <w:spacing w:val="3"/>
          <w:sz w:val="22"/>
          <w:szCs w:val="22"/>
        </w:rPr>
        <w:t>准</w:t>
      </w:r>
      <w:r>
        <w:rPr>
          <w:rFonts w:ascii="微软雅黑" w:hAnsi="微软雅黑" w:eastAsia="微软雅黑" w:cs="微软雅黑"/>
          <w:color w:val="231F20"/>
          <w:spacing w:val="2"/>
          <w:sz w:val="22"/>
          <w:szCs w:val="22"/>
        </w:rPr>
        <w:t xml:space="preserve">入负面清单进一步缩减至 </w:t>
      </w:r>
      <w:r>
        <w:rPr>
          <w:rFonts w:ascii="Times New Roman" w:hAnsi="Times New Roman" w:eastAsia="Times New Roman" w:cs="Times New Roman"/>
          <w:color w:val="231F20"/>
          <w:spacing w:val="2"/>
          <w:sz w:val="22"/>
          <w:szCs w:val="22"/>
        </w:rPr>
        <w:t xml:space="preserve">31 </w:t>
      </w:r>
      <w:r>
        <w:rPr>
          <w:rFonts w:ascii="微软雅黑" w:hAnsi="微软雅黑" w:eastAsia="微软雅黑" w:cs="微软雅黑"/>
          <w:color w:val="231F20"/>
          <w:spacing w:val="2"/>
          <w:sz w:val="22"/>
          <w:szCs w:val="22"/>
        </w:rPr>
        <w:t>条、</w:t>
      </w:r>
      <w:r>
        <w:rPr>
          <w:rFonts w:ascii="Times New Roman" w:hAnsi="Times New Roman" w:eastAsia="Times New Roman" w:cs="Times New Roman"/>
          <w:color w:val="231F20"/>
          <w:spacing w:val="2"/>
          <w:sz w:val="22"/>
          <w:szCs w:val="22"/>
        </w:rPr>
        <w:t xml:space="preserve">27 </w:t>
      </w:r>
      <w:r>
        <w:rPr>
          <w:rFonts w:ascii="微软雅黑" w:hAnsi="微软雅黑" w:eastAsia="微软雅黑" w:cs="微软雅黑"/>
          <w:color w:val="231F20"/>
          <w:spacing w:val="2"/>
          <w:sz w:val="22"/>
          <w:szCs w:val="22"/>
        </w:rPr>
        <w:t>条 ，压减比例分别为</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8"/>
          <w:sz w:val="22"/>
          <w:szCs w:val="22"/>
        </w:rPr>
        <w:t>6. 1</w:t>
      </w:r>
      <w:r>
        <w:rPr>
          <w:rFonts w:ascii="Times New Roman" w:hAnsi="Times New Roman" w:eastAsia="Times New Roman" w:cs="Times New Roman"/>
          <w:color w:val="231F20"/>
          <w:spacing w:val="-5"/>
          <w:sz w:val="22"/>
          <w:szCs w:val="22"/>
        </w:rPr>
        <w:t>%</w:t>
      </w:r>
      <w:r>
        <w:rPr>
          <w:rFonts w:ascii="Times New Roman" w:hAnsi="Times New Roman" w:eastAsia="Times New Roman" w:cs="Times New Roman"/>
          <w:color w:val="231F20"/>
          <w:spacing w:val="-4"/>
          <w:sz w:val="22"/>
          <w:szCs w:val="22"/>
        </w:rPr>
        <w:t xml:space="preserve"> </w:t>
      </w:r>
      <w:r>
        <w:rPr>
          <w:rFonts w:ascii="微软雅黑" w:hAnsi="微软雅黑" w:eastAsia="微软雅黑" w:cs="微软雅黑"/>
          <w:color w:val="231F20"/>
          <w:spacing w:val="-4"/>
          <w:sz w:val="22"/>
          <w:szCs w:val="22"/>
        </w:rPr>
        <w:t>、</w:t>
      </w:r>
      <w:r>
        <w:rPr>
          <w:rFonts w:ascii="Times New Roman" w:hAnsi="Times New Roman" w:eastAsia="Times New Roman" w:cs="Times New Roman"/>
          <w:color w:val="231F20"/>
          <w:spacing w:val="-4"/>
          <w:sz w:val="22"/>
          <w:szCs w:val="22"/>
        </w:rPr>
        <w:t xml:space="preserve">10% </w:t>
      </w:r>
      <w:r>
        <w:rPr>
          <w:rFonts w:ascii="微软雅黑" w:hAnsi="微软雅黑" w:eastAsia="微软雅黑" w:cs="微软雅黑"/>
          <w:color w:val="231F20"/>
          <w:spacing w:val="-4"/>
          <w:sz w:val="22"/>
          <w:szCs w:val="22"/>
        </w:rPr>
        <w:t>，进一步从更大范围、更深层次扩大对外开放。</w:t>
      </w:r>
    </w:p>
    <w:p>
      <w:pPr>
        <w:spacing w:before="169" w:line="263" w:lineRule="auto"/>
        <w:ind w:left="1995" w:right="1982" w:firstLine="449"/>
        <w:rPr>
          <w:rFonts w:ascii="微软雅黑" w:hAnsi="微软雅黑" w:eastAsia="微软雅黑" w:cs="微软雅黑"/>
          <w:sz w:val="22"/>
          <w:szCs w:val="22"/>
        </w:rPr>
      </w:pPr>
      <w:r>
        <w:rPr>
          <w:rFonts w:ascii="SimHei" w:hAnsi="SimHei" w:eastAsia="SimHei" w:cs="SimHei"/>
          <w:color w:val="231F20"/>
          <w:spacing w:val="2"/>
          <w:sz w:val="22"/>
          <w:szCs w:val="22"/>
        </w:rPr>
        <w:t>进一步深化制造业开放。</w:t>
      </w:r>
      <w:r>
        <w:rPr>
          <w:rFonts w:ascii="微软雅黑" w:hAnsi="微软雅黑" w:eastAsia="微软雅黑" w:cs="微软雅黑"/>
          <w:color w:val="231F20"/>
          <w:spacing w:val="2"/>
          <w:sz w:val="22"/>
          <w:szCs w:val="22"/>
        </w:rPr>
        <w:t>汽车制</w:t>
      </w:r>
      <w:r>
        <w:rPr>
          <w:rFonts w:ascii="微软雅黑" w:hAnsi="微软雅黑" w:eastAsia="微软雅黑" w:cs="微软雅黑"/>
          <w:color w:val="231F20"/>
          <w:spacing w:val="1"/>
          <w:sz w:val="22"/>
          <w:szCs w:val="22"/>
        </w:rPr>
        <w:t>造领域 ，取消乘用车制造外资股比限制以及同一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家外商可在</w:t>
      </w:r>
      <w:r>
        <w:rPr>
          <w:rFonts w:ascii="微软雅黑" w:hAnsi="微软雅黑" w:eastAsia="微软雅黑" w:cs="微软雅黑"/>
          <w:color w:val="231F20"/>
          <w:spacing w:val="4"/>
          <w:sz w:val="22"/>
          <w:szCs w:val="22"/>
        </w:rPr>
        <w:t>国</w:t>
      </w:r>
      <w:r>
        <w:rPr>
          <w:rFonts w:ascii="微软雅黑" w:hAnsi="微软雅黑" w:eastAsia="微软雅黑" w:cs="微软雅黑"/>
          <w:color w:val="231F20"/>
          <w:spacing w:val="3"/>
          <w:sz w:val="22"/>
          <w:szCs w:val="22"/>
        </w:rPr>
        <w:t>内建立两家及两家以下生产同类整车产品的合资企业的限制。广播电视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设备制</w:t>
      </w:r>
      <w:r>
        <w:rPr>
          <w:rFonts w:ascii="微软雅黑" w:hAnsi="微软雅黑" w:eastAsia="微软雅黑" w:cs="微软雅黑"/>
          <w:color w:val="231F20"/>
          <w:sz w:val="22"/>
          <w:szCs w:val="22"/>
        </w:rPr>
        <w:t xml:space="preserve">造领域 ，取消外商投资卫星电视广播地面接收设施及关键件生产的限制 ，按照 </w:t>
      </w:r>
      <w:r>
        <w:rPr>
          <w:rFonts w:ascii="微软雅黑" w:hAnsi="微软雅黑" w:eastAsia="微软雅黑" w:cs="微软雅黑"/>
          <w:color w:val="231F20"/>
          <w:spacing w:val="-2"/>
          <w:sz w:val="22"/>
          <w:szCs w:val="22"/>
        </w:rPr>
        <w:t>内外资</w:t>
      </w:r>
      <w:r>
        <w:rPr>
          <w:rFonts w:ascii="微软雅黑" w:hAnsi="微软雅黑" w:eastAsia="微软雅黑" w:cs="微软雅黑"/>
          <w:color w:val="231F20"/>
          <w:spacing w:val="-1"/>
          <w:sz w:val="22"/>
          <w:szCs w:val="22"/>
        </w:rPr>
        <w:t>一致原则管理。此次修订 ，实现了自贸试验区负面清单制造业条目清零。</w:t>
      </w:r>
    </w:p>
    <w:p>
      <w:pPr>
        <w:spacing w:before="170" w:line="266" w:lineRule="auto"/>
        <w:ind w:left="2018" w:right="1980" w:firstLine="456"/>
        <w:rPr>
          <w:rFonts w:ascii="微软雅黑" w:hAnsi="微软雅黑" w:eastAsia="微软雅黑" w:cs="微软雅黑"/>
          <w:sz w:val="22"/>
          <w:szCs w:val="22"/>
        </w:rPr>
      </w:pPr>
      <w:r>
        <w:rPr>
          <w:rFonts w:ascii="SimHei" w:hAnsi="SimHei" w:eastAsia="SimHei" w:cs="SimHei"/>
          <w:color w:val="231F20"/>
          <w:spacing w:val="-2"/>
          <w:sz w:val="22"/>
          <w:szCs w:val="22"/>
        </w:rPr>
        <w:t>自贸试验区</w:t>
      </w:r>
      <w:r>
        <w:rPr>
          <w:rFonts w:ascii="SimHei" w:hAnsi="SimHei" w:eastAsia="SimHei" w:cs="SimHei"/>
          <w:color w:val="231F20"/>
          <w:spacing w:val="-1"/>
          <w:sz w:val="22"/>
          <w:szCs w:val="22"/>
        </w:rPr>
        <w:t>探索放宽服务业准入。</w:t>
      </w:r>
      <w:r>
        <w:rPr>
          <w:rFonts w:ascii="微软雅黑" w:hAnsi="微软雅黑" w:eastAsia="微软雅黑" w:cs="微软雅黑"/>
          <w:color w:val="231F20"/>
          <w:spacing w:val="-1"/>
          <w:sz w:val="22"/>
          <w:szCs w:val="22"/>
        </w:rPr>
        <w:t>市场调查领域，  除广播电视收听、收视调查须</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由中方控股外 ，取消外资准入限制。社会调查领域 </w:t>
      </w:r>
      <w:r>
        <w:rPr>
          <w:rFonts w:ascii="微软雅黑" w:hAnsi="微软雅黑" w:eastAsia="微软雅黑" w:cs="微软雅黑"/>
          <w:color w:val="231F20"/>
          <w:sz w:val="22"/>
          <w:szCs w:val="22"/>
        </w:rPr>
        <w:t xml:space="preserve">，允许外商投资社会调查，但要求 </w:t>
      </w:r>
      <w:r>
        <w:rPr>
          <w:rFonts w:ascii="微软雅黑" w:hAnsi="微软雅黑" w:eastAsia="微软雅黑" w:cs="微软雅黑"/>
          <w:color w:val="231F20"/>
          <w:spacing w:val="-4"/>
          <w:sz w:val="22"/>
          <w:szCs w:val="22"/>
        </w:rPr>
        <w:t xml:space="preserve">中方股比不低于 </w:t>
      </w:r>
      <w:r>
        <w:rPr>
          <w:rFonts w:ascii="Times New Roman" w:hAnsi="Times New Roman" w:eastAsia="Times New Roman" w:cs="Times New Roman"/>
          <w:color w:val="231F20"/>
          <w:spacing w:val="-4"/>
          <w:sz w:val="22"/>
          <w:szCs w:val="22"/>
        </w:rPr>
        <w:t>67</w:t>
      </w:r>
      <w:r>
        <w:rPr>
          <w:rFonts w:ascii="Times New Roman" w:hAnsi="Times New Roman" w:eastAsia="Times New Roman" w:cs="Times New Roman"/>
          <w:color w:val="231F20"/>
          <w:spacing w:val="-2"/>
          <w:sz w:val="22"/>
          <w:szCs w:val="22"/>
        </w:rPr>
        <w:t xml:space="preserve">% </w:t>
      </w:r>
      <w:r>
        <w:rPr>
          <w:rFonts w:ascii="微软雅黑" w:hAnsi="微软雅黑" w:eastAsia="微软雅黑" w:cs="微软雅黑"/>
          <w:color w:val="231F20"/>
          <w:spacing w:val="-2"/>
          <w:sz w:val="22"/>
          <w:szCs w:val="22"/>
        </w:rPr>
        <w:t>，法人代表应当具有中国国籍。</w:t>
      </w:r>
    </w:p>
    <w:p>
      <w:pPr>
        <w:spacing w:before="175" w:line="261" w:lineRule="auto"/>
        <w:ind w:left="1996" w:right="1977" w:firstLine="452"/>
        <w:rPr>
          <w:rFonts w:ascii="微软雅黑" w:hAnsi="微软雅黑" w:eastAsia="微软雅黑" w:cs="微软雅黑"/>
          <w:sz w:val="22"/>
          <w:szCs w:val="22"/>
        </w:rPr>
      </w:pPr>
      <w:r>
        <w:rPr>
          <w:rFonts w:ascii="SimHei" w:hAnsi="SimHei" w:eastAsia="SimHei" w:cs="SimHei"/>
          <w:color w:val="231F20"/>
          <w:spacing w:val="6"/>
          <w:sz w:val="22"/>
          <w:szCs w:val="22"/>
        </w:rPr>
        <w:t>提高外</w:t>
      </w:r>
      <w:r>
        <w:rPr>
          <w:rFonts w:ascii="SimHei" w:hAnsi="SimHei" w:eastAsia="SimHei" w:cs="SimHei"/>
          <w:color w:val="231F20"/>
          <w:spacing w:val="4"/>
          <w:sz w:val="22"/>
          <w:szCs w:val="22"/>
        </w:rPr>
        <w:t>资</w:t>
      </w:r>
      <w:r>
        <w:rPr>
          <w:rFonts w:ascii="SimHei" w:hAnsi="SimHei" w:eastAsia="SimHei" w:cs="SimHei"/>
          <w:color w:val="231F20"/>
          <w:spacing w:val="3"/>
          <w:sz w:val="22"/>
          <w:szCs w:val="22"/>
        </w:rPr>
        <w:t>准入负面清单精准度。</w:t>
      </w:r>
      <w:r>
        <w:rPr>
          <w:rFonts w:ascii="微软雅黑" w:hAnsi="微软雅黑" w:eastAsia="微软雅黑" w:cs="微软雅黑"/>
          <w:color w:val="231F20"/>
          <w:spacing w:val="3"/>
          <w:sz w:val="22"/>
          <w:szCs w:val="22"/>
        </w:rPr>
        <w:t>在负面清单说明部分增加“从事外资准入负面清</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单禁止投资领域业务的境内企业到境外发行股份并上市交易的 </w:t>
      </w:r>
      <w:r>
        <w:rPr>
          <w:rFonts w:ascii="微软雅黑" w:hAnsi="微软雅黑" w:eastAsia="微软雅黑" w:cs="微软雅黑"/>
          <w:color w:val="231F20"/>
          <w:spacing w:val="1"/>
          <w:sz w:val="22"/>
          <w:szCs w:val="22"/>
        </w:rPr>
        <w:t>，应当经国家有关主管</w:t>
      </w:r>
      <w:r>
        <w:rPr>
          <w:rFonts w:ascii="微软雅黑" w:hAnsi="微软雅黑" w:eastAsia="微软雅黑" w:cs="微软雅黑"/>
          <w:color w:val="231F20"/>
          <w:sz w:val="22"/>
          <w:szCs w:val="22"/>
        </w:rPr>
        <w:t xml:space="preserve"> 部门审核同意 ，境外投资者不得参与企业经营管理 ，其持股比例参照境外投资者境内 </w:t>
      </w:r>
      <w:r>
        <w:rPr>
          <w:rFonts w:ascii="微软雅黑" w:hAnsi="微软雅黑" w:eastAsia="微软雅黑" w:cs="微软雅黑"/>
          <w:color w:val="231F20"/>
          <w:spacing w:val="1"/>
          <w:sz w:val="22"/>
          <w:szCs w:val="22"/>
        </w:rPr>
        <w:t>证</w:t>
      </w:r>
      <w:r>
        <w:rPr>
          <w:rFonts w:ascii="微软雅黑" w:hAnsi="微软雅黑" w:eastAsia="微软雅黑" w:cs="微软雅黑"/>
          <w:color w:val="231F20"/>
          <w:sz w:val="22"/>
          <w:szCs w:val="22"/>
        </w:rPr>
        <w:t xml:space="preserve">券投资管理有关规定执行”，  由证监会和有关主管部门按规定对从事负面清单禁止 </w:t>
      </w:r>
      <w:r>
        <w:rPr>
          <w:rFonts w:ascii="微软雅黑" w:hAnsi="微软雅黑" w:eastAsia="微软雅黑" w:cs="微软雅黑"/>
          <w:color w:val="231F20"/>
          <w:spacing w:val="1"/>
          <w:sz w:val="22"/>
          <w:szCs w:val="22"/>
        </w:rPr>
        <w:t>领域业务的境内企业到境外上市融资实行精</w:t>
      </w:r>
      <w:r>
        <w:rPr>
          <w:rFonts w:ascii="微软雅黑" w:hAnsi="微软雅黑" w:eastAsia="微软雅黑" w:cs="微软雅黑"/>
          <w:color w:val="231F20"/>
          <w:sz w:val="22"/>
          <w:szCs w:val="22"/>
        </w:rPr>
        <w:t>准化管理。</w:t>
      </w:r>
    </w:p>
    <w:p>
      <w:pPr>
        <w:spacing w:before="172" w:line="272" w:lineRule="auto"/>
        <w:ind w:left="1996" w:right="1885" w:firstLine="454"/>
        <w:rPr>
          <w:rFonts w:ascii="微软雅黑" w:hAnsi="微软雅黑" w:eastAsia="微软雅黑" w:cs="微软雅黑"/>
          <w:sz w:val="22"/>
          <w:szCs w:val="22"/>
        </w:rPr>
      </w:pPr>
      <w:r>
        <w:rPr>
          <w:rFonts w:ascii="SimHei" w:hAnsi="SimHei" w:eastAsia="SimHei" w:cs="SimHei"/>
          <w:color w:val="231F20"/>
          <w:spacing w:val="-1"/>
          <w:sz w:val="22"/>
          <w:szCs w:val="22"/>
        </w:rPr>
        <w:t>优化外资准入负面清单管理。</w:t>
      </w:r>
      <w:r>
        <w:rPr>
          <w:rFonts w:ascii="微软雅黑" w:hAnsi="微软雅黑" w:eastAsia="微软雅黑" w:cs="微软雅黑"/>
          <w:color w:val="231F20"/>
          <w:sz w:val="22"/>
          <w:szCs w:val="22"/>
        </w:rPr>
        <w:t xml:space="preserve">根据《外商投资法实施条例》  ，在负面清单说明部 </w:t>
      </w:r>
      <w:r>
        <w:rPr>
          <w:rFonts w:ascii="微软雅黑" w:hAnsi="微软雅黑" w:eastAsia="微软雅黑" w:cs="微软雅黑"/>
          <w:color w:val="231F20"/>
          <w:spacing w:val="1"/>
          <w:sz w:val="22"/>
          <w:szCs w:val="22"/>
        </w:rPr>
        <w:t>分增</w:t>
      </w:r>
      <w:r>
        <w:rPr>
          <w:rFonts w:ascii="微软雅黑" w:hAnsi="微软雅黑" w:eastAsia="微软雅黑" w:cs="微软雅黑"/>
          <w:color w:val="231F20"/>
          <w:sz w:val="22"/>
          <w:szCs w:val="22"/>
        </w:rPr>
        <w:t>加“外商投资企业在中国境内投资，应符合外商投资准入负面清单的有关规定”。</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81388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5"/>
        <w:rPr>
          <w:rFonts w:ascii="Arial" w:hAnsi="Arial" w:eastAsia="Arial" w:cs="Arial"/>
          <w:sz w:val="20"/>
          <w:szCs w:val="20"/>
        </w:rPr>
      </w:pPr>
      <w:r>
        <w:rPr>
          <w:rFonts w:ascii="SimHei" w:hAnsi="SimHei" w:eastAsia="SimHei" w:cs="SimHei"/>
          <w:color w:val="1A67B3"/>
          <w:spacing w:val="41"/>
          <w:position w:val="1"/>
          <w:sz w:val="21"/>
          <w:szCs w:val="21"/>
          <w14:textOutline w14:w="3175" w14:cap="flat" w14:cmpd="sng">
            <w14:solidFill>
              <w14:srgbClr w14:val="1A67B3"/>
            </w14:solidFill>
            <w14:prstDash w14:val="solid"/>
            <w14:miter w14:val="0"/>
          </w14:textOutline>
        </w:rPr>
        <w:t>综</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合篇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17</w:t>
      </w: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94" w:line="272" w:lineRule="auto"/>
        <w:ind w:left="1994" w:right="1984" w:hanging="5"/>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做好外资准入负面清单与市场准入负面清单衔接 ，在负面清单</w:t>
      </w:r>
      <w:r>
        <w:rPr>
          <w:rFonts w:ascii="微软雅黑" w:hAnsi="微软雅黑" w:eastAsia="微软雅黑" w:cs="微软雅黑"/>
          <w:color w:val="231F20"/>
          <w:spacing w:val="1"/>
          <w:sz w:val="22"/>
          <w:szCs w:val="22"/>
        </w:rPr>
        <w:t>说明部分增加“境内外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投</w:t>
      </w:r>
      <w:r>
        <w:rPr>
          <w:rFonts w:ascii="微软雅黑" w:hAnsi="微软雅黑" w:eastAsia="微软雅黑" w:cs="微软雅黑"/>
          <w:color w:val="231F20"/>
          <w:spacing w:val="-2"/>
          <w:sz w:val="22"/>
          <w:szCs w:val="22"/>
        </w:rPr>
        <w:t>资者统一适用《市场准入负面清单》 的有关规定”。</w:t>
      </w:r>
    </w:p>
    <w:p>
      <w:pPr>
        <w:spacing w:before="178" w:line="217"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给予海南自由贸易港专属准入</w:t>
      </w:r>
      <w:r>
        <w:rPr>
          <w:rFonts w:ascii="KaiTi" w:hAnsi="KaiTi" w:eastAsia="KaiTi" w:cs="KaiTi"/>
          <w:color w:val="015DAC"/>
          <w:sz w:val="22"/>
          <w:szCs w:val="22"/>
        </w:rPr>
        <w:t>管理措施</w:t>
      </w:r>
    </w:p>
    <w:p>
      <w:pPr>
        <w:spacing w:line="268" w:lineRule="auto"/>
        <w:rPr>
          <w:rFonts w:ascii="Arial"/>
          <w:sz w:val="21"/>
        </w:rPr>
      </w:pPr>
    </w:p>
    <w:p>
      <w:pPr>
        <w:spacing w:before="95" w:line="259" w:lineRule="auto"/>
        <w:ind w:left="1991" w:right="1981" w:firstLine="457"/>
        <w:rPr>
          <w:rFonts w:ascii="微软雅黑" w:hAnsi="微软雅黑" w:eastAsia="微软雅黑" w:cs="微软雅黑"/>
          <w:sz w:val="22"/>
          <w:szCs w:val="22"/>
        </w:rPr>
      </w:pPr>
      <w:r>
        <w:rPr>
          <w:rFonts w:ascii="微软雅黑" w:hAnsi="微软雅黑" w:eastAsia="微软雅黑" w:cs="微软雅黑"/>
          <w:color w:val="231F20"/>
          <w:spacing w:val="-8"/>
          <w:sz w:val="22"/>
          <w:szCs w:val="22"/>
        </w:rPr>
        <w:t>为支持</w:t>
      </w:r>
      <w:r>
        <w:rPr>
          <w:rFonts w:ascii="微软雅黑" w:hAnsi="微软雅黑" w:eastAsia="微软雅黑" w:cs="微软雅黑"/>
          <w:color w:val="231F20"/>
          <w:spacing w:val="-4"/>
          <w:sz w:val="22"/>
          <w:szCs w:val="22"/>
        </w:rPr>
        <w:t>海南自由贸易港建设，</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 xml:space="preserve">2 </w:t>
      </w:r>
      <w:r>
        <w:rPr>
          <w:rFonts w:ascii="微软雅黑" w:hAnsi="微软雅黑" w:eastAsia="微软雅黑" w:cs="微软雅黑"/>
          <w:color w:val="231F20"/>
          <w:spacing w:val="-4"/>
          <w:sz w:val="22"/>
          <w:szCs w:val="22"/>
        </w:rPr>
        <w:t xml:space="preserve">月 </w:t>
      </w:r>
      <w:r>
        <w:rPr>
          <w:rFonts w:ascii="Times New Roman" w:hAnsi="Times New Roman" w:eastAsia="Times New Roman" w:cs="Times New Roman"/>
          <w:color w:val="231F20"/>
          <w:spacing w:val="-4"/>
          <w:sz w:val="22"/>
          <w:szCs w:val="22"/>
        </w:rPr>
        <w:t xml:space="preserve">1 </w:t>
      </w:r>
      <w:r>
        <w:rPr>
          <w:rFonts w:ascii="微软雅黑" w:hAnsi="微软雅黑" w:eastAsia="微软雅黑" w:cs="微软雅黑"/>
          <w:color w:val="231F20"/>
          <w:spacing w:val="-4"/>
          <w:sz w:val="22"/>
          <w:szCs w:val="22"/>
        </w:rPr>
        <w:t>日商务部和国家发展改革委发布的《海</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南自由贸易港外商投资准入特别管理措施 ( 负面清单 )   ( </w:t>
      </w:r>
      <w:r>
        <w:rPr>
          <w:rFonts w:ascii="Times New Roman" w:hAnsi="Times New Roman" w:eastAsia="Times New Roman" w:cs="Times New Roman"/>
          <w:color w:val="231F20"/>
          <w:spacing w:val="-2"/>
          <w:sz w:val="22"/>
          <w:szCs w:val="22"/>
        </w:rPr>
        <w:t xml:space="preserve">2020 </w:t>
      </w:r>
      <w:r>
        <w:rPr>
          <w:rFonts w:ascii="微软雅黑" w:hAnsi="微软雅黑" w:eastAsia="微软雅黑" w:cs="微软雅黑"/>
          <w:color w:val="231F20"/>
          <w:spacing w:val="-2"/>
          <w:sz w:val="22"/>
          <w:szCs w:val="22"/>
        </w:rPr>
        <w:t>年版 )  》   ( 发展改</w:t>
      </w:r>
      <w:r>
        <w:rPr>
          <w:rFonts w:ascii="微软雅黑" w:hAnsi="微软雅黑" w:eastAsia="微软雅黑" w:cs="微软雅黑"/>
          <w:color w:val="231F20"/>
          <w:spacing w:val="-1"/>
          <w:sz w:val="22"/>
          <w:szCs w:val="22"/>
        </w:rPr>
        <w:t>革</w:t>
      </w:r>
      <w:r>
        <w:rPr>
          <w:rFonts w:ascii="微软雅黑" w:hAnsi="微软雅黑" w:eastAsia="微软雅黑" w:cs="微软雅黑"/>
          <w:color w:val="231F20"/>
          <w:sz w:val="22"/>
          <w:szCs w:val="22"/>
        </w:rPr>
        <w:t xml:space="preserve">委 </w:t>
      </w:r>
      <w:r>
        <w:rPr>
          <w:rFonts w:ascii="微软雅黑" w:hAnsi="微软雅黑" w:eastAsia="微软雅黑" w:cs="微软雅黑"/>
          <w:color w:val="231F20"/>
          <w:spacing w:val="4"/>
          <w:sz w:val="22"/>
          <w:szCs w:val="22"/>
        </w:rPr>
        <w:t xml:space="preserve">商务部令第 </w:t>
      </w:r>
      <w:r>
        <w:rPr>
          <w:rFonts w:ascii="Times New Roman" w:hAnsi="Times New Roman" w:eastAsia="Times New Roman" w:cs="Times New Roman"/>
          <w:color w:val="231F20"/>
          <w:spacing w:val="4"/>
          <w:sz w:val="22"/>
          <w:szCs w:val="22"/>
        </w:rPr>
        <w:t xml:space="preserve">39 </w:t>
      </w:r>
      <w:r>
        <w:rPr>
          <w:rFonts w:ascii="微软雅黑" w:hAnsi="微软雅黑" w:eastAsia="微软雅黑" w:cs="微软雅黑"/>
          <w:color w:val="231F20"/>
          <w:spacing w:val="4"/>
          <w:sz w:val="22"/>
          <w:szCs w:val="22"/>
        </w:rPr>
        <w:t>号 ) 开始实施，</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 xml:space="preserve">7 </w:t>
      </w:r>
      <w:r>
        <w:rPr>
          <w:rFonts w:ascii="微软雅黑" w:hAnsi="微软雅黑" w:eastAsia="微软雅黑" w:cs="微软雅黑"/>
          <w:color w:val="231F20"/>
          <w:spacing w:val="4"/>
          <w:sz w:val="22"/>
          <w:szCs w:val="22"/>
        </w:rPr>
        <w:t>月商务部又公布了《海南自由贸易港跨境</w:t>
      </w:r>
      <w:r>
        <w:rPr>
          <w:rFonts w:ascii="微软雅黑" w:hAnsi="微软雅黑" w:eastAsia="微软雅黑" w:cs="微软雅黑"/>
          <w:color w:val="231F20"/>
          <w:spacing w:val="2"/>
          <w:sz w:val="22"/>
          <w:szCs w:val="22"/>
        </w:rPr>
        <w:t>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务</w:t>
      </w:r>
      <w:r>
        <w:rPr>
          <w:rFonts w:ascii="微软雅黑" w:hAnsi="微软雅黑" w:eastAsia="微软雅黑" w:cs="微软雅黑"/>
          <w:color w:val="231F20"/>
          <w:spacing w:val="-1"/>
          <w:sz w:val="22"/>
          <w:szCs w:val="22"/>
        </w:rPr>
        <w:t xml:space="preserve">贸易特别管理措施 ( 负面清单 )   (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年版 )  》   ( 商务部令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年第 </w:t>
      </w:r>
      <w:r>
        <w:rPr>
          <w:rFonts w:ascii="Times New Roman" w:hAnsi="Times New Roman" w:eastAsia="Times New Roman" w:cs="Times New Roman"/>
          <w:color w:val="231F20"/>
          <w:spacing w:val="-1"/>
          <w:sz w:val="22"/>
          <w:szCs w:val="22"/>
        </w:rPr>
        <w:t xml:space="preserve">3 </w:t>
      </w:r>
      <w:r>
        <w:rPr>
          <w:rFonts w:ascii="微软雅黑" w:hAnsi="微软雅黑" w:eastAsia="微软雅黑" w:cs="微软雅黑"/>
          <w:color w:val="231F20"/>
          <w:spacing w:val="-1"/>
          <w:sz w:val="22"/>
          <w:szCs w:val="22"/>
        </w:rPr>
        <w:t>号 )  ，并</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于 </w:t>
      </w:r>
      <w:r>
        <w:rPr>
          <w:rFonts w:ascii="Times New Roman" w:hAnsi="Times New Roman" w:eastAsia="Times New Roman" w:cs="Times New Roman"/>
          <w:color w:val="231F20"/>
          <w:spacing w:val="1"/>
          <w:sz w:val="22"/>
          <w:szCs w:val="22"/>
        </w:rPr>
        <w:t xml:space="preserve">8 </w:t>
      </w:r>
      <w:r>
        <w:rPr>
          <w:rFonts w:ascii="微软雅黑" w:hAnsi="微软雅黑" w:eastAsia="微软雅黑" w:cs="微软雅黑"/>
          <w:color w:val="231F20"/>
          <w:spacing w:val="1"/>
          <w:sz w:val="22"/>
          <w:szCs w:val="22"/>
        </w:rPr>
        <w:t xml:space="preserve">月 </w:t>
      </w:r>
      <w:r>
        <w:rPr>
          <w:rFonts w:ascii="Times New Roman" w:hAnsi="Times New Roman" w:eastAsia="Times New Roman" w:cs="Times New Roman"/>
          <w:color w:val="231F20"/>
          <w:spacing w:val="1"/>
          <w:sz w:val="22"/>
          <w:szCs w:val="22"/>
        </w:rPr>
        <w:t xml:space="preserve">26 </w:t>
      </w:r>
      <w:r>
        <w:rPr>
          <w:rFonts w:ascii="微软雅黑" w:hAnsi="微软雅黑" w:eastAsia="微软雅黑" w:cs="微软雅黑"/>
          <w:color w:val="231F20"/>
          <w:spacing w:val="1"/>
          <w:sz w:val="22"/>
          <w:szCs w:val="22"/>
        </w:rPr>
        <w:t>日开始施行 ，这是中国在跨</w:t>
      </w:r>
      <w:r>
        <w:rPr>
          <w:rFonts w:ascii="微软雅黑" w:hAnsi="微软雅黑" w:eastAsia="微软雅黑" w:cs="微软雅黑"/>
          <w:color w:val="231F20"/>
          <w:sz w:val="22"/>
          <w:szCs w:val="22"/>
        </w:rPr>
        <w:t xml:space="preserve">境服务贸易领域公布的第一张负面清单，  明确 </w:t>
      </w:r>
      <w:r>
        <w:rPr>
          <w:rFonts w:ascii="微软雅黑" w:hAnsi="微软雅黑" w:eastAsia="微软雅黑" w:cs="微软雅黑"/>
          <w:color w:val="231F20"/>
          <w:spacing w:val="1"/>
          <w:sz w:val="22"/>
          <w:szCs w:val="22"/>
        </w:rPr>
        <w:t xml:space="preserve">列出针对境外服务提供者的 </w:t>
      </w:r>
      <w:r>
        <w:rPr>
          <w:rFonts w:ascii="Times New Roman" w:hAnsi="Times New Roman" w:eastAsia="Times New Roman" w:cs="Times New Roman"/>
          <w:color w:val="231F20"/>
          <w:spacing w:val="1"/>
          <w:sz w:val="22"/>
          <w:szCs w:val="22"/>
        </w:rPr>
        <w:t xml:space="preserve">11 </w:t>
      </w:r>
      <w:r>
        <w:rPr>
          <w:rFonts w:ascii="微软雅黑" w:hAnsi="微软雅黑" w:eastAsia="微软雅黑" w:cs="微软雅黑"/>
          <w:color w:val="231F20"/>
          <w:spacing w:val="1"/>
          <w:sz w:val="22"/>
          <w:szCs w:val="22"/>
        </w:rPr>
        <w:t xml:space="preserve">个门类 </w:t>
      </w:r>
      <w:r>
        <w:rPr>
          <w:rFonts w:ascii="Times New Roman" w:hAnsi="Times New Roman" w:eastAsia="Times New Roman" w:cs="Times New Roman"/>
          <w:color w:val="231F20"/>
          <w:spacing w:val="1"/>
          <w:sz w:val="22"/>
          <w:szCs w:val="22"/>
        </w:rPr>
        <w:t xml:space="preserve">70 </w:t>
      </w:r>
      <w:r>
        <w:rPr>
          <w:rFonts w:ascii="微软雅黑" w:hAnsi="微软雅黑" w:eastAsia="微软雅黑" w:cs="微软雅黑"/>
          <w:color w:val="231F20"/>
          <w:spacing w:val="1"/>
          <w:sz w:val="22"/>
          <w:szCs w:val="22"/>
        </w:rPr>
        <w:t>项特别管理措施 ，标志着中国对外开</w:t>
      </w:r>
      <w:r>
        <w:rPr>
          <w:rFonts w:ascii="微软雅黑" w:hAnsi="微软雅黑" w:eastAsia="微软雅黑" w:cs="微软雅黑"/>
          <w:color w:val="231F20"/>
          <w:sz w:val="22"/>
          <w:szCs w:val="22"/>
        </w:rPr>
        <w:t xml:space="preserve">放上升 </w:t>
      </w:r>
      <w:r>
        <w:rPr>
          <w:rFonts w:ascii="微软雅黑" w:hAnsi="微软雅黑" w:eastAsia="微软雅黑" w:cs="微软雅黑"/>
          <w:color w:val="231F20"/>
          <w:spacing w:val="-1"/>
          <w:sz w:val="22"/>
          <w:szCs w:val="22"/>
        </w:rPr>
        <w:t>到了新的高度</w:t>
      </w:r>
      <w:r>
        <w:rPr>
          <w:rFonts w:ascii="微软雅黑" w:hAnsi="微软雅黑" w:eastAsia="微软雅黑" w:cs="微软雅黑"/>
          <w:color w:val="231F20"/>
          <w:sz w:val="22"/>
          <w:szCs w:val="22"/>
        </w:rPr>
        <w:t>。</w:t>
      </w:r>
    </w:p>
    <w:p>
      <w:pPr>
        <w:spacing w:before="174" w:line="261" w:lineRule="auto"/>
        <w:ind w:left="1984" w:right="1919" w:firstLine="456"/>
        <w:rPr>
          <w:rFonts w:ascii="微软雅黑" w:hAnsi="微软雅黑" w:eastAsia="微软雅黑" w:cs="微软雅黑"/>
          <w:sz w:val="22"/>
          <w:szCs w:val="22"/>
        </w:rPr>
      </w:pPr>
      <w:r>
        <w:rPr>
          <w:rFonts w:ascii="SimHei" w:hAnsi="SimHei" w:eastAsia="SimHei" w:cs="SimHei"/>
          <w:color w:val="231F20"/>
          <w:spacing w:val="6"/>
          <w:sz w:val="22"/>
          <w:szCs w:val="22"/>
        </w:rPr>
        <w:t>在海南自</w:t>
      </w:r>
      <w:r>
        <w:rPr>
          <w:rFonts w:ascii="SimHei" w:hAnsi="SimHei" w:eastAsia="SimHei" w:cs="SimHei"/>
          <w:color w:val="231F20"/>
          <w:spacing w:val="3"/>
          <w:sz w:val="22"/>
          <w:szCs w:val="22"/>
        </w:rPr>
        <w:t>由贸易港外商投资准入方面，</w:t>
      </w:r>
      <w:r>
        <w:rPr>
          <w:rFonts w:ascii="微软雅黑" w:hAnsi="微软雅黑" w:eastAsia="微软雅黑" w:cs="微软雅黑"/>
          <w:color w:val="231F20"/>
          <w:spacing w:val="3"/>
          <w:sz w:val="22"/>
          <w:szCs w:val="22"/>
        </w:rPr>
        <w:t>与全国版和自贸试验区外商投资准入负面</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1"/>
          <w:sz w:val="22"/>
          <w:szCs w:val="22"/>
        </w:rPr>
        <w:t>清</w:t>
      </w:r>
      <w:r>
        <w:rPr>
          <w:rFonts w:ascii="微软雅黑" w:hAnsi="微软雅黑" w:eastAsia="微软雅黑" w:cs="微软雅黑"/>
          <w:color w:val="231F20"/>
          <w:spacing w:val="-6"/>
          <w:sz w:val="22"/>
          <w:szCs w:val="22"/>
        </w:rPr>
        <w:t>单相比，海南自由贸易港在服务业、采矿业领域实现了进一步开放。如在服务业领域，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放宽了增值电信业务、商务服务等领域的外资准入限制 ，允许外资企业深入参</w:t>
      </w:r>
      <w:r>
        <w:rPr>
          <w:rFonts w:ascii="微软雅黑" w:hAnsi="微软雅黑" w:eastAsia="微软雅黑" w:cs="微软雅黑"/>
          <w:color w:val="231F20"/>
          <w:spacing w:val="1"/>
          <w:sz w:val="22"/>
          <w:szCs w:val="22"/>
        </w:rPr>
        <w:t>与</w:t>
      </w:r>
      <w:r>
        <w:rPr>
          <w:rFonts w:ascii="微软雅黑" w:hAnsi="微软雅黑" w:eastAsia="微软雅黑" w:cs="微软雅黑"/>
          <w:color w:val="231F20"/>
          <w:sz w:val="22"/>
          <w:szCs w:val="22"/>
        </w:rPr>
        <w:t xml:space="preserve">相关 </w:t>
      </w:r>
      <w:r>
        <w:rPr>
          <w:rFonts w:ascii="微软雅黑" w:hAnsi="微软雅黑" w:eastAsia="微软雅黑" w:cs="微软雅黑"/>
          <w:color w:val="231F20"/>
          <w:spacing w:val="2"/>
          <w:sz w:val="22"/>
          <w:szCs w:val="22"/>
        </w:rPr>
        <w:t>服务领域经营。在采矿业领域 ，取消禁止外商投资稀土、放射性矿产、钨勘</w:t>
      </w:r>
      <w:r>
        <w:rPr>
          <w:rFonts w:ascii="微软雅黑" w:hAnsi="微软雅黑" w:eastAsia="微软雅黑" w:cs="微软雅黑"/>
          <w:color w:val="231F20"/>
          <w:spacing w:val="1"/>
          <w:sz w:val="22"/>
          <w:szCs w:val="22"/>
        </w:rPr>
        <w:t>查</w:t>
      </w:r>
      <w:r>
        <w:rPr>
          <w:rFonts w:ascii="微软雅黑" w:hAnsi="微软雅黑" w:eastAsia="微软雅黑" w:cs="微软雅黑"/>
          <w:color w:val="231F20"/>
          <w:sz w:val="22"/>
          <w:szCs w:val="22"/>
        </w:rPr>
        <w:t xml:space="preserve">、开采 </w:t>
      </w:r>
      <w:r>
        <w:rPr>
          <w:rFonts w:ascii="微软雅黑" w:hAnsi="微软雅黑" w:eastAsia="微软雅黑" w:cs="微软雅黑"/>
          <w:color w:val="231F20"/>
          <w:spacing w:val="-2"/>
          <w:sz w:val="22"/>
          <w:szCs w:val="22"/>
        </w:rPr>
        <w:t>及选</w:t>
      </w:r>
      <w:r>
        <w:rPr>
          <w:rFonts w:ascii="微软雅黑" w:hAnsi="微软雅黑" w:eastAsia="微软雅黑" w:cs="微软雅黑"/>
          <w:color w:val="231F20"/>
          <w:spacing w:val="-1"/>
          <w:sz w:val="22"/>
          <w:szCs w:val="22"/>
        </w:rPr>
        <w:t>矿的规定 ，按照国家和海南省矿业领域内外资一致的措施实施管理。</w:t>
      </w:r>
    </w:p>
    <w:p>
      <w:pPr>
        <w:spacing w:before="173" w:line="258" w:lineRule="auto"/>
        <w:ind w:left="1984" w:right="1977" w:firstLine="458"/>
        <w:rPr>
          <w:rFonts w:ascii="微软雅黑" w:hAnsi="微软雅黑" w:eastAsia="微软雅黑" w:cs="微软雅黑"/>
          <w:sz w:val="22"/>
          <w:szCs w:val="22"/>
        </w:rPr>
      </w:pPr>
      <w:r>
        <w:rPr>
          <w:rFonts w:ascii="SimHei" w:hAnsi="SimHei" w:eastAsia="SimHei" w:cs="SimHei"/>
          <w:color w:val="231F20"/>
          <w:spacing w:val="6"/>
          <w:sz w:val="22"/>
          <w:szCs w:val="22"/>
        </w:rPr>
        <w:t>在海南自</w:t>
      </w:r>
      <w:r>
        <w:rPr>
          <w:rFonts w:ascii="SimHei" w:hAnsi="SimHei" w:eastAsia="SimHei" w:cs="SimHei"/>
          <w:color w:val="231F20"/>
          <w:spacing w:val="3"/>
          <w:sz w:val="22"/>
          <w:szCs w:val="22"/>
        </w:rPr>
        <w:t>由贸易港跨境服务贸易方面，</w:t>
      </w:r>
      <w:r>
        <w:rPr>
          <w:rFonts w:ascii="微软雅黑" w:hAnsi="微软雅黑" w:eastAsia="微软雅黑" w:cs="微软雅黑"/>
          <w:color w:val="231F20"/>
          <w:spacing w:val="3"/>
          <w:sz w:val="22"/>
          <w:szCs w:val="22"/>
        </w:rPr>
        <w:t>开放程度超过中国加入世界贸易组织和签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署自贸协定时所作的承诺 ，有利于外资企业、境</w:t>
      </w:r>
      <w:r>
        <w:rPr>
          <w:rFonts w:ascii="微软雅黑" w:hAnsi="微软雅黑" w:eastAsia="微软雅黑" w:cs="微软雅黑"/>
          <w:color w:val="231F20"/>
          <w:spacing w:val="-1"/>
          <w:sz w:val="22"/>
          <w:szCs w:val="22"/>
        </w:rPr>
        <w:t>外个人参与海南服务业。  中国政府加</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入世界贸易组织时 ，对服务贸易</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160 </w:t>
      </w:r>
      <w:r>
        <w:rPr>
          <w:rFonts w:ascii="微软雅黑" w:hAnsi="微软雅黑" w:eastAsia="微软雅黑" w:cs="微软雅黑"/>
          <w:color w:val="231F20"/>
          <w:sz w:val="22"/>
          <w:szCs w:val="22"/>
        </w:rPr>
        <w:t xml:space="preserve">个分部门中的 </w:t>
      </w:r>
      <w:r>
        <w:rPr>
          <w:rFonts w:ascii="Times New Roman" w:hAnsi="Times New Roman" w:eastAsia="Times New Roman" w:cs="Times New Roman"/>
          <w:color w:val="231F20"/>
          <w:sz w:val="22"/>
          <w:szCs w:val="22"/>
        </w:rPr>
        <w:t xml:space="preserve">100 </w:t>
      </w:r>
      <w:r>
        <w:rPr>
          <w:rFonts w:ascii="微软雅黑" w:hAnsi="微软雅黑" w:eastAsia="微软雅黑" w:cs="微软雅黑"/>
          <w:color w:val="231F20"/>
          <w:sz w:val="22"/>
          <w:szCs w:val="22"/>
        </w:rPr>
        <w:t xml:space="preserve">个部门做出开放承诺 ，海南跨 </w:t>
      </w:r>
      <w:r>
        <w:rPr>
          <w:rFonts w:ascii="微软雅黑" w:hAnsi="微软雅黑" w:eastAsia="微软雅黑" w:cs="微软雅黑"/>
          <w:color w:val="231F20"/>
          <w:spacing w:val="2"/>
          <w:sz w:val="22"/>
          <w:szCs w:val="22"/>
        </w:rPr>
        <w:t xml:space="preserve">境服务贸易负面清单则在 </w:t>
      </w:r>
      <w:r>
        <w:rPr>
          <w:rFonts w:ascii="Times New Roman" w:hAnsi="Times New Roman" w:eastAsia="Times New Roman" w:cs="Times New Roman"/>
          <w:color w:val="231F20"/>
          <w:spacing w:val="2"/>
          <w:sz w:val="22"/>
          <w:szCs w:val="22"/>
        </w:rPr>
        <w:t xml:space="preserve">120 </w:t>
      </w:r>
      <w:r>
        <w:rPr>
          <w:rFonts w:ascii="微软雅黑" w:hAnsi="微软雅黑" w:eastAsia="微软雅黑" w:cs="微软雅黑"/>
          <w:color w:val="231F20"/>
          <w:spacing w:val="2"/>
          <w:sz w:val="22"/>
          <w:szCs w:val="22"/>
        </w:rPr>
        <w:t>个部门做出了开放承诺。其中，</w:t>
      </w:r>
      <w:r>
        <w:rPr>
          <w:rFonts w:ascii="Times New Roman" w:hAnsi="Times New Roman" w:eastAsia="Times New Roman" w:cs="Times New Roman"/>
          <w:color w:val="231F20"/>
          <w:spacing w:val="2"/>
          <w:sz w:val="22"/>
          <w:szCs w:val="22"/>
        </w:rPr>
        <w:t>7</w:t>
      </w:r>
      <w:r>
        <w:rPr>
          <w:rFonts w:ascii="Times New Roman" w:hAnsi="Times New Roman" w:eastAsia="Times New Roman" w:cs="Times New Roman"/>
          <w:color w:val="231F20"/>
          <w:spacing w:val="1"/>
          <w:sz w:val="22"/>
          <w:szCs w:val="22"/>
        </w:rPr>
        <w:t xml:space="preserve">0 </w:t>
      </w:r>
      <w:r>
        <w:rPr>
          <w:rFonts w:ascii="微软雅黑" w:hAnsi="微软雅黑" w:eastAsia="微软雅黑" w:cs="微软雅黑"/>
          <w:color w:val="231F20"/>
          <w:spacing w:val="1"/>
          <w:sz w:val="22"/>
          <w:szCs w:val="22"/>
        </w:rPr>
        <w:t>个部门的开放承诺高</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于中国加入世贸组织的水平，</w:t>
      </w:r>
      <w:r>
        <w:rPr>
          <w:rFonts w:ascii="Times New Roman" w:hAnsi="Times New Roman" w:eastAsia="Times New Roman" w:cs="Times New Roman"/>
          <w:color w:val="231F20"/>
          <w:spacing w:val="1"/>
          <w:sz w:val="22"/>
          <w:szCs w:val="22"/>
        </w:rPr>
        <w:t xml:space="preserve">40 </w:t>
      </w:r>
      <w:r>
        <w:rPr>
          <w:rFonts w:ascii="微软雅黑" w:hAnsi="微软雅黑" w:eastAsia="微软雅黑" w:cs="微软雅黑"/>
          <w:color w:val="231F20"/>
          <w:spacing w:val="1"/>
          <w:sz w:val="22"/>
          <w:szCs w:val="22"/>
        </w:rPr>
        <w:t>多个部门首</w:t>
      </w:r>
      <w:r>
        <w:rPr>
          <w:rFonts w:ascii="微软雅黑" w:hAnsi="微软雅黑" w:eastAsia="微软雅黑" w:cs="微软雅黑"/>
          <w:color w:val="231F20"/>
          <w:sz w:val="22"/>
          <w:szCs w:val="22"/>
        </w:rPr>
        <w:t xml:space="preserve">次做出了开放承诺 ，如允许境外服务提供 </w:t>
      </w:r>
      <w:r>
        <w:rPr>
          <w:rFonts w:ascii="微软雅黑" w:hAnsi="微软雅黑" w:eastAsia="微软雅黑" w:cs="微软雅黑"/>
          <w:color w:val="231F20"/>
          <w:spacing w:val="4"/>
          <w:sz w:val="22"/>
          <w:szCs w:val="22"/>
        </w:rPr>
        <w:t>者</w:t>
      </w:r>
      <w:r>
        <w:rPr>
          <w:rFonts w:ascii="微软雅黑" w:hAnsi="微软雅黑" w:eastAsia="微软雅黑" w:cs="微软雅黑"/>
          <w:color w:val="231F20"/>
          <w:spacing w:val="2"/>
          <w:sz w:val="22"/>
          <w:szCs w:val="22"/>
        </w:rPr>
        <w:t>经过资格认定取得涉外调查许可证之后开展市场调查 ，取消境外个人教育服务提供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者到中国境内提供服务具备两年专</w:t>
      </w:r>
      <w:r>
        <w:rPr>
          <w:rFonts w:ascii="微软雅黑" w:hAnsi="微软雅黑" w:eastAsia="微软雅黑" w:cs="微软雅黑"/>
          <w:color w:val="231F20"/>
          <w:spacing w:val="-1"/>
          <w:sz w:val="22"/>
          <w:szCs w:val="22"/>
        </w:rPr>
        <w:t>业工作经验的限制等。  同时 ，开放水平也超过了中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国</w:t>
      </w:r>
      <w:r>
        <w:rPr>
          <w:rFonts w:ascii="微软雅黑" w:hAnsi="微软雅黑" w:eastAsia="微软雅黑" w:cs="微软雅黑"/>
          <w:color w:val="231F20"/>
          <w:spacing w:val="-5"/>
          <w:sz w:val="22"/>
          <w:szCs w:val="22"/>
        </w:rPr>
        <w:t>在</w:t>
      </w:r>
      <w:r>
        <w:rPr>
          <w:rFonts w:ascii="微软雅黑" w:hAnsi="微软雅黑" w:eastAsia="微软雅黑" w:cs="微软雅黑"/>
          <w:color w:val="231F20"/>
          <w:spacing w:val="-4"/>
          <w:sz w:val="22"/>
          <w:szCs w:val="22"/>
        </w:rPr>
        <w:t xml:space="preserve">《区域全面经济伙伴关系协定》   ( </w:t>
      </w:r>
      <w:r>
        <w:rPr>
          <w:rFonts w:ascii="Times New Roman" w:hAnsi="Times New Roman" w:eastAsia="Times New Roman" w:cs="Times New Roman"/>
          <w:color w:val="231F20"/>
          <w:spacing w:val="-4"/>
          <w:sz w:val="22"/>
          <w:szCs w:val="22"/>
        </w:rPr>
        <w:t xml:space="preserve">RCEP </w:t>
      </w:r>
      <w:r>
        <w:rPr>
          <w:rFonts w:ascii="微软雅黑" w:hAnsi="微软雅黑" w:eastAsia="微软雅黑" w:cs="微软雅黑"/>
          <w:color w:val="231F20"/>
          <w:spacing w:val="-4"/>
          <w:sz w:val="22"/>
          <w:szCs w:val="22"/>
        </w:rPr>
        <w:t>)  中做出的承诺。</w:t>
      </w:r>
    </w:p>
    <w:p>
      <w:pPr>
        <w:spacing w:before="181" w:line="261" w:lineRule="auto"/>
        <w:ind w:left="1994" w:right="1979" w:firstLine="459"/>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此外 ，海南跨境服务贸</w:t>
      </w:r>
      <w:r>
        <w:rPr>
          <w:rFonts w:ascii="微软雅黑" w:hAnsi="微软雅黑" w:eastAsia="微软雅黑" w:cs="微软雅黑"/>
          <w:color w:val="231F20"/>
          <w:spacing w:val="1"/>
          <w:sz w:val="22"/>
          <w:szCs w:val="22"/>
        </w:rPr>
        <w:t>易负面清单与外商投资准入负面清单虽然都是对境外市场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主体或者</w:t>
      </w:r>
      <w:r>
        <w:rPr>
          <w:rFonts w:ascii="微软雅黑" w:hAnsi="微软雅黑" w:eastAsia="微软雅黑" w:cs="微软雅黑"/>
          <w:color w:val="231F20"/>
          <w:spacing w:val="4"/>
          <w:sz w:val="22"/>
          <w:szCs w:val="22"/>
        </w:rPr>
        <w:t>个</w:t>
      </w:r>
      <w:r>
        <w:rPr>
          <w:rFonts w:ascii="微软雅黑" w:hAnsi="微软雅黑" w:eastAsia="微软雅黑" w:cs="微软雅黑"/>
          <w:color w:val="231F20"/>
          <w:spacing w:val="3"/>
          <w:sz w:val="22"/>
          <w:szCs w:val="22"/>
        </w:rPr>
        <w:t>人的特别管理措施，但二者在定位和功能上存在一定差异。世贸组织《服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务贸易总协定》规定的 </w:t>
      </w:r>
      <w:r>
        <w:rPr>
          <w:rFonts w:ascii="Times New Roman" w:hAnsi="Times New Roman" w:eastAsia="Times New Roman" w:cs="Times New Roman"/>
          <w:color w:val="231F20"/>
          <w:spacing w:val="-1"/>
          <w:sz w:val="22"/>
          <w:szCs w:val="22"/>
        </w:rPr>
        <w:t xml:space="preserve">4 </w:t>
      </w:r>
      <w:r>
        <w:rPr>
          <w:rFonts w:ascii="微软雅黑" w:hAnsi="微软雅黑" w:eastAsia="微软雅黑" w:cs="微软雅黑"/>
          <w:color w:val="231F20"/>
          <w:spacing w:val="-1"/>
          <w:sz w:val="22"/>
          <w:szCs w:val="22"/>
        </w:rPr>
        <w:t>种提供模式</w:t>
      </w:r>
      <w:r>
        <w:rPr>
          <w:rFonts w:ascii="微软雅黑" w:hAnsi="微软雅黑" w:eastAsia="微软雅黑" w:cs="微软雅黑"/>
          <w:color w:val="231F20"/>
          <w:sz w:val="22"/>
          <w:szCs w:val="22"/>
        </w:rPr>
        <w:t xml:space="preserve">中 ，商业存在属于投资 ，跨境交付、境外消费和 </w:t>
      </w:r>
      <w:r>
        <w:rPr>
          <w:rFonts w:ascii="微软雅黑" w:hAnsi="微软雅黑" w:eastAsia="微软雅黑" w:cs="微软雅黑"/>
          <w:color w:val="231F20"/>
          <w:spacing w:val="3"/>
          <w:sz w:val="22"/>
          <w:szCs w:val="22"/>
        </w:rPr>
        <w:t xml:space="preserve">自然人移动等 </w:t>
      </w:r>
      <w:r>
        <w:rPr>
          <w:rFonts w:ascii="Times New Roman" w:hAnsi="Times New Roman" w:eastAsia="Times New Roman" w:cs="Times New Roman"/>
          <w:color w:val="231F20"/>
          <w:spacing w:val="3"/>
          <w:sz w:val="22"/>
          <w:szCs w:val="22"/>
        </w:rPr>
        <w:t xml:space="preserve">3 </w:t>
      </w:r>
      <w:r>
        <w:rPr>
          <w:rFonts w:ascii="微软雅黑" w:hAnsi="微软雅黑" w:eastAsia="微软雅黑" w:cs="微软雅黑"/>
          <w:color w:val="231F20"/>
          <w:spacing w:val="3"/>
          <w:sz w:val="22"/>
          <w:szCs w:val="22"/>
        </w:rPr>
        <w:t>种模式统称为跨境服务贸易。商业存在模式的服务提供纳入了</w:t>
      </w:r>
      <w:r>
        <w:rPr>
          <w:rFonts w:ascii="微软雅黑" w:hAnsi="微软雅黑" w:eastAsia="微软雅黑" w:cs="微软雅黑"/>
          <w:color w:val="231F20"/>
          <w:spacing w:val="2"/>
          <w:sz w:val="22"/>
          <w:szCs w:val="22"/>
        </w:rPr>
        <w:t>外</w:t>
      </w:r>
      <w:r>
        <w:rPr>
          <w:rFonts w:ascii="微软雅黑" w:hAnsi="微软雅黑" w:eastAsia="微软雅黑" w:cs="微软雅黑"/>
          <w:color w:val="231F20"/>
          <w:sz w:val="22"/>
          <w:szCs w:val="22"/>
        </w:rPr>
        <w:t xml:space="preserve">商投 </w:t>
      </w:r>
      <w:r>
        <w:rPr>
          <w:rFonts w:ascii="微软雅黑" w:hAnsi="微软雅黑" w:eastAsia="微软雅黑" w:cs="微软雅黑"/>
          <w:color w:val="231F20"/>
          <w:spacing w:val="2"/>
          <w:sz w:val="22"/>
          <w:szCs w:val="22"/>
        </w:rPr>
        <w:t>资准入负面清单 ，海南跨境服务贸易负面清</w:t>
      </w:r>
      <w:r>
        <w:rPr>
          <w:rFonts w:ascii="微软雅黑" w:hAnsi="微软雅黑" w:eastAsia="微软雅黑" w:cs="微软雅黑"/>
          <w:color w:val="231F20"/>
          <w:spacing w:val="1"/>
          <w:sz w:val="22"/>
          <w:szCs w:val="22"/>
        </w:rPr>
        <w:t>单则列出了境外服务提供者通过跨境交付</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81491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609"/>
        <w:rPr>
          <w:rFonts w:ascii="SimHei" w:hAnsi="SimHei" w:eastAsia="SimHei" w:cs="SimHei"/>
          <w:sz w:val="21"/>
          <w:szCs w:val="21"/>
        </w:rPr>
      </w:pPr>
      <w:r>
        <w:rPr>
          <w:rFonts w:ascii="Arial" w:hAnsi="Arial" w:eastAsia="Arial" w:cs="Arial"/>
          <w:color w:val="231F20"/>
          <w:spacing w:val="27"/>
          <w:sz w:val="20"/>
          <w:szCs w:val="20"/>
        </w:rPr>
        <w:t>1</w:t>
      </w:r>
      <w:r>
        <w:rPr>
          <w:rFonts w:ascii="Arial" w:hAnsi="Arial" w:eastAsia="Arial" w:cs="Arial"/>
          <w:color w:val="231F20"/>
          <w:spacing w:val="21"/>
          <w:sz w:val="20"/>
          <w:szCs w:val="20"/>
        </w:rPr>
        <w:t xml:space="preserve">8  </w:t>
      </w:r>
      <w:r>
        <w:rPr>
          <w:position w:val="-5"/>
          <w:sz w:val="20"/>
          <w:szCs w:val="20"/>
        </w:rPr>
        <w:drawing>
          <wp:inline distT="0" distB="0" distL="0" distR="0">
            <wp:extent cx="3175" cy="147320"/>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综合篇</w:t>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95" w:line="273" w:lineRule="auto"/>
        <w:ind w:left="1995" w:right="1891" w:hanging="7"/>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模式、境外消</w:t>
      </w:r>
      <w:r>
        <w:rPr>
          <w:rFonts w:ascii="微软雅黑" w:hAnsi="微软雅黑" w:eastAsia="微软雅黑" w:cs="微软雅黑"/>
          <w:color w:val="231F20"/>
          <w:sz w:val="22"/>
          <w:szCs w:val="22"/>
        </w:rPr>
        <w:t xml:space="preserve">费模式、  自然人移动模式等 </w:t>
      </w:r>
      <w:r>
        <w:rPr>
          <w:rFonts w:ascii="Times New Roman" w:hAnsi="Times New Roman" w:eastAsia="Times New Roman" w:cs="Times New Roman"/>
          <w:color w:val="231F20"/>
          <w:sz w:val="22"/>
          <w:szCs w:val="22"/>
        </w:rPr>
        <w:t xml:space="preserve">3 </w:t>
      </w:r>
      <w:r>
        <w:rPr>
          <w:rFonts w:ascii="微软雅黑" w:hAnsi="微软雅黑" w:eastAsia="微软雅黑" w:cs="微软雅黑"/>
          <w:color w:val="231F20"/>
          <w:sz w:val="22"/>
          <w:szCs w:val="22"/>
        </w:rPr>
        <w:t xml:space="preserve">种模式向海南自贸港提供服务的特别管理 </w:t>
      </w:r>
      <w:r>
        <w:rPr>
          <w:rFonts w:ascii="微软雅黑" w:hAnsi="微软雅黑" w:eastAsia="微软雅黑" w:cs="微软雅黑"/>
          <w:color w:val="231F20"/>
          <w:spacing w:val="-10"/>
          <w:sz w:val="22"/>
          <w:szCs w:val="22"/>
        </w:rPr>
        <w:t>措施，清单</w:t>
      </w:r>
      <w:r>
        <w:rPr>
          <w:rFonts w:ascii="微软雅黑" w:hAnsi="微软雅黑" w:eastAsia="微软雅黑" w:cs="微软雅黑"/>
          <w:color w:val="231F20"/>
          <w:spacing w:val="-7"/>
          <w:sz w:val="22"/>
          <w:szCs w:val="22"/>
        </w:rPr>
        <w:t>之</w:t>
      </w:r>
      <w:r>
        <w:rPr>
          <w:rFonts w:ascii="微软雅黑" w:hAnsi="微软雅黑" w:eastAsia="微软雅黑" w:cs="微软雅黑"/>
          <w:color w:val="231F20"/>
          <w:spacing w:val="-5"/>
          <w:sz w:val="22"/>
          <w:szCs w:val="22"/>
        </w:rPr>
        <w:t>外的领域，在海南自由贸易港内，对境内外的服务及服务提供者一视同仁。</w:t>
      </w:r>
    </w:p>
    <w:p>
      <w:pPr>
        <w:spacing w:before="176" w:line="216" w:lineRule="auto"/>
        <w:ind w:left="2448"/>
        <w:rPr>
          <w:rFonts w:ascii="KaiTi" w:hAnsi="KaiTi" w:eastAsia="KaiTi" w:cs="KaiTi"/>
          <w:sz w:val="22"/>
          <w:szCs w:val="22"/>
        </w:rPr>
      </w:pPr>
      <w:r>
        <w:rPr>
          <w:rFonts w:ascii="Times New Roman" w:hAnsi="Times New Roman" w:eastAsia="Times New Roman" w:cs="Times New Roman"/>
          <w:color w:val="015DAC"/>
          <w:spacing w:val="-2"/>
          <w:sz w:val="22"/>
          <w:szCs w:val="22"/>
        </w:rPr>
        <w:t xml:space="preserve">3. </w:t>
      </w:r>
      <w:r>
        <w:rPr>
          <w:rFonts w:ascii="KaiTi" w:hAnsi="KaiTi" w:eastAsia="KaiTi" w:cs="KaiTi"/>
          <w:color w:val="015DAC"/>
          <w:spacing w:val="-2"/>
          <w:sz w:val="22"/>
          <w:szCs w:val="22"/>
        </w:rPr>
        <w:t xml:space="preserve">推进增设 </w:t>
      </w:r>
      <w:r>
        <w:rPr>
          <w:rFonts w:ascii="Times New Roman" w:hAnsi="Times New Roman" w:eastAsia="Times New Roman" w:cs="Times New Roman"/>
          <w:color w:val="015DAC"/>
          <w:spacing w:val="-2"/>
          <w:sz w:val="22"/>
          <w:szCs w:val="22"/>
        </w:rPr>
        <w:t xml:space="preserve">4 </w:t>
      </w:r>
      <w:r>
        <w:rPr>
          <w:rFonts w:ascii="KaiTi" w:hAnsi="KaiTi" w:eastAsia="KaiTi" w:cs="KaiTi"/>
          <w:color w:val="015DAC"/>
          <w:spacing w:val="-2"/>
          <w:sz w:val="22"/>
          <w:szCs w:val="22"/>
        </w:rPr>
        <w:t>个服务业扩大开放综合试点</w:t>
      </w:r>
    </w:p>
    <w:p>
      <w:pPr>
        <w:spacing w:line="262" w:lineRule="auto"/>
        <w:rPr>
          <w:rFonts w:ascii="Arial"/>
          <w:sz w:val="21"/>
        </w:rPr>
      </w:pPr>
    </w:p>
    <w:p>
      <w:pPr>
        <w:spacing w:before="94" w:line="257" w:lineRule="auto"/>
        <w:ind w:left="1987" w:right="1913" w:firstLine="456"/>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4 </w:t>
      </w:r>
      <w:r>
        <w:rPr>
          <w:rFonts w:ascii="微软雅黑" w:hAnsi="微软雅黑" w:eastAsia="微软雅黑" w:cs="微软雅黑"/>
          <w:color w:val="231F20"/>
          <w:spacing w:val="-2"/>
          <w:sz w:val="22"/>
          <w:szCs w:val="22"/>
        </w:rPr>
        <w:t>月，  国务院批复同意在天津市、上海市、海南省、重庆市等四</w:t>
      </w:r>
      <w:r>
        <w:rPr>
          <w:rFonts w:ascii="微软雅黑" w:hAnsi="微软雅黑" w:eastAsia="微软雅黑" w:cs="微软雅黑"/>
          <w:color w:val="231F20"/>
          <w:spacing w:val="-1"/>
          <w:sz w:val="22"/>
          <w:szCs w:val="22"/>
        </w:rPr>
        <w:t>省</w:t>
      </w:r>
      <w:r>
        <w:rPr>
          <w:rFonts w:ascii="微软雅黑" w:hAnsi="微软雅黑" w:eastAsia="微软雅黑" w:cs="微软雅黑"/>
          <w:color w:val="231F20"/>
          <w:sz w:val="22"/>
          <w:szCs w:val="22"/>
        </w:rPr>
        <w:t xml:space="preserve">市开展 </w:t>
      </w:r>
      <w:r>
        <w:rPr>
          <w:rFonts w:ascii="微软雅黑" w:hAnsi="微软雅黑" w:eastAsia="微软雅黑" w:cs="微软雅黑"/>
          <w:color w:val="231F20"/>
          <w:spacing w:val="2"/>
          <w:sz w:val="22"/>
          <w:szCs w:val="22"/>
        </w:rPr>
        <w:t>服务业扩大开放</w:t>
      </w:r>
      <w:r>
        <w:rPr>
          <w:rFonts w:ascii="微软雅黑" w:hAnsi="微软雅黑" w:eastAsia="微软雅黑" w:cs="微软雅黑"/>
          <w:color w:val="231F20"/>
          <w:spacing w:val="1"/>
          <w:sz w:val="22"/>
          <w:szCs w:val="22"/>
        </w:rPr>
        <w:t xml:space="preserve">综合试点 ，期限为 </w:t>
      </w:r>
      <w:r>
        <w:rPr>
          <w:rFonts w:ascii="Times New Roman" w:hAnsi="Times New Roman" w:eastAsia="Times New Roman" w:cs="Times New Roman"/>
          <w:color w:val="231F20"/>
          <w:spacing w:val="1"/>
          <w:sz w:val="22"/>
          <w:szCs w:val="22"/>
        </w:rPr>
        <w:t xml:space="preserve">3 </w:t>
      </w:r>
      <w:r>
        <w:rPr>
          <w:rFonts w:ascii="微软雅黑" w:hAnsi="微软雅黑" w:eastAsia="微软雅黑" w:cs="微软雅黑"/>
          <w:color w:val="231F20"/>
          <w:spacing w:val="1"/>
          <w:sz w:val="22"/>
          <w:szCs w:val="22"/>
        </w:rPr>
        <w:t>年 ，在北京已经实施了</w:t>
      </w:r>
      <w:r>
        <w:rPr>
          <w:rFonts w:ascii="Times New Roman" w:hAnsi="Times New Roman" w:eastAsia="Times New Roman" w:cs="Times New Roman"/>
          <w:color w:val="231F20"/>
          <w:spacing w:val="1"/>
          <w:sz w:val="22"/>
          <w:szCs w:val="22"/>
        </w:rPr>
        <w:t xml:space="preserve">4 </w:t>
      </w:r>
      <w:r>
        <w:rPr>
          <w:rFonts w:ascii="微软雅黑" w:hAnsi="微软雅黑" w:eastAsia="微软雅黑" w:cs="微软雅黑"/>
          <w:color w:val="231F20"/>
          <w:spacing w:val="1"/>
          <w:sz w:val="22"/>
          <w:szCs w:val="22"/>
        </w:rPr>
        <w:t>版服务业扩大开放综合</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试点方案的基础上 ，形成了“</w:t>
      </w:r>
      <w:r>
        <w:rPr>
          <w:rFonts w:ascii="Times New Roman" w:hAnsi="Times New Roman" w:eastAsia="Times New Roman" w:cs="Times New Roman"/>
          <w:color w:val="231F20"/>
          <w:spacing w:val="1"/>
          <w:sz w:val="22"/>
          <w:szCs w:val="22"/>
        </w:rPr>
        <w:t>1+4</w:t>
      </w:r>
      <w:r>
        <w:rPr>
          <w:rFonts w:ascii="微软雅黑" w:hAnsi="微软雅黑" w:eastAsia="微软雅黑" w:cs="微软雅黑"/>
          <w:color w:val="231F20"/>
          <w:spacing w:val="1"/>
          <w:sz w:val="22"/>
          <w:szCs w:val="22"/>
        </w:rPr>
        <w:t>”的试点示范区格局。“</w:t>
      </w:r>
      <w:r>
        <w:rPr>
          <w:rFonts w:ascii="Times New Roman" w:hAnsi="Times New Roman" w:eastAsia="Times New Roman" w:cs="Times New Roman"/>
          <w:color w:val="231F20"/>
          <w:spacing w:val="1"/>
          <w:sz w:val="22"/>
          <w:szCs w:val="22"/>
        </w:rPr>
        <w:t>1+4</w:t>
      </w:r>
      <w:r>
        <w:rPr>
          <w:rFonts w:ascii="微软雅黑" w:hAnsi="微软雅黑" w:eastAsia="微软雅黑" w:cs="微软雅黑"/>
          <w:color w:val="231F20"/>
          <w:spacing w:val="1"/>
          <w:sz w:val="22"/>
          <w:szCs w:val="22"/>
        </w:rPr>
        <w:t>”服务业扩大开放综</w:t>
      </w:r>
      <w:r>
        <w:rPr>
          <w:rFonts w:ascii="微软雅黑" w:hAnsi="微软雅黑" w:eastAsia="微软雅黑" w:cs="微软雅黑"/>
          <w:color w:val="231F20"/>
          <w:sz w:val="22"/>
          <w:szCs w:val="22"/>
        </w:rPr>
        <w:t xml:space="preserve">合 </w:t>
      </w:r>
      <w:r>
        <w:rPr>
          <w:rFonts w:ascii="微软雅黑" w:hAnsi="微软雅黑" w:eastAsia="微软雅黑" w:cs="微软雅黑"/>
          <w:color w:val="231F20"/>
          <w:spacing w:val="1"/>
          <w:sz w:val="22"/>
          <w:szCs w:val="22"/>
        </w:rPr>
        <w:t>试点示</w:t>
      </w:r>
      <w:r>
        <w:rPr>
          <w:rFonts w:ascii="微软雅黑" w:hAnsi="微软雅黑" w:eastAsia="微软雅黑" w:cs="微软雅黑"/>
          <w:color w:val="231F20"/>
          <w:sz w:val="22"/>
          <w:szCs w:val="22"/>
        </w:rPr>
        <w:t xml:space="preserve">范区扩大高水平对外开放 ，统筹对内对外开放 ，结合市场准入负面清单推动制 </w:t>
      </w:r>
      <w:r>
        <w:rPr>
          <w:rFonts w:ascii="微软雅黑" w:hAnsi="微软雅黑" w:eastAsia="微软雅黑" w:cs="微软雅黑"/>
          <w:color w:val="231F20"/>
          <w:spacing w:val="1"/>
          <w:sz w:val="22"/>
          <w:szCs w:val="22"/>
        </w:rPr>
        <w:t>度型开放</w:t>
      </w:r>
      <w:r>
        <w:rPr>
          <w:rFonts w:ascii="微软雅黑" w:hAnsi="微软雅黑" w:eastAsia="微软雅黑" w:cs="微软雅黑"/>
          <w:color w:val="231F20"/>
          <w:sz w:val="22"/>
          <w:szCs w:val="22"/>
        </w:rPr>
        <w:t xml:space="preserve"> ，促进市场化改革 ，对内外资企业同等放宽业务许可、促进公平竞争。</w:t>
      </w:r>
      <w:r>
        <w:rPr>
          <w:rFonts w:ascii="SimHei" w:hAnsi="SimHei" w:eastAsia="SimHei" w:cs="SimHei"/>
          <w:color w:val="231F20"/>
          <w:sz w:val="22"/>
          <w:szCs w:val="22"/>
        </w:rPr>
        <w:t xml:space="preserve">一是 </w:t>
      </w:r>
      <w:r>
        <w:rPr>
          <w:rFonts w:ascii="SimHei" w:hAnsi="SimHei" w:eastAsia="SimHei" w:cs="SimHei"/>
          <w:color w:val="231F20"/>
          <w:spacing w:val="4"/>
          <w:sz w:val="22"/>
          <w:szCs w:val="22"/>
        </w:rPr>
        <w:t>在产业开放方面，</w:t>
      </w:r>
      <w:r>
        <w:rPr>
          <w:rFonts w:ascii="微软雅黑" w:hAnsi="微软雅黑" w:eastAsia="微软雅黑" w:cs="微软雅黑"/>
          <w:color w:val="231F20"/>
          <w:spacing w:val="4"/>
          <w:sz w:val="22"/>
          <w:szCs w:val="22"/>
        </w:rPr>
        <w:t>按</w:t>
      </w:r>
      <w:r>
        <w:rPr>
          <w:rFonts w:ascii="微软雅黑" w:hAnsi="微软雅黑" w:eastAsia="微软雅黑" w:cs="微软雅黑"/>
          <w:color w:val="231F20"/>
          <w:spacing w:val="2"/>
          <w:sz w:val="22"/>
          <w:szCs w:val="22"/>
        </w:rPr>
        <w:t>照服务业领域市场竞争的不同特点 ，设置充分竞争、有限竞争、</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自然</w:t>
      </w:r>
      <w:r>
        <w:rPr>
          <w:rFonts w:ascii="微软雅黑" w:hAnsi="微软雅黑" w:eastAsia="微软雅黑" w:cs="微软雅黑"/>
          <w:color w:val="231F20"/>
          <w:spacing w:val="6"/>
          <w:sz w:val="22"/>
          <w:szCs w:val="22"/>
        </w:rPr>
        <w:t>垄</w:t>
      </w:r>
      <w:r>
        <w:rPr>
          <w:rFonts w:ascii="微软雅黑" w:hAnsi="微软雅黑" w:eastAsia="微软雅黑" w:cs="微软雅黑"/>
          <w:color w:val="231F20"/>
          <w:spacing w:val="5"/>
          <w:sz w:val="22"/>
          <w:szCs w:val="22"/>
        </w:rPr>
        <w:t xml:space="preserve">断领域竞争性业务、特定领域服务业 </w:t>
      </w:r>
      <w:r>
        <w:rPr>
          <w:rFonts w:ascii="Times New Roman" w:hAnsi="Times New Roman" w:eastAsia="Times New Roman" w:cs="Times New Roman"/>
          <w:color w:val="231F20"/>
          <w:spacing w:val="5"/>
          <w:sz w:val="22"/>
          <w:szCs w:val="22"/>
        </w:rPr>
        <w:t>4</w:t>
      </w:r>
      <w:r>
        <w:rPr>
          <w:rFonts w:ascii="微软雅黑" w:hAnsi="微软雅黑" w:eastAsia="微软雅黑" w:cs="微软雅黑"/>
          <w:color w:val="231F20"/>
          <w:spacing w:val="5"/>
          <w:sz w:val="22"/>
          <w:szCs w:val="22"/>
        </w:rPr>
        <w:t xml:space="preserve">个类别 ，将科技、金融、教育等 </w:t>
      </w:r>
      <w:r>
        <w:rPr>
          <w:rFonts w:ascii="Times New Roman" w:hAnsi="Times New Roman" w:eastAsia="Times New Roman" w:cs="Times New Roman"/>
          <w:color w:val="231F20"/>
          <w:spacing w:val="5"/>
          <w:sz w:val="22"/>
          <w:szCs w:val="22"/>
        </w:rPr>
        <w:t xml:space="preserve">12 </w:t>
      </w:r>
      <w:r>
        <w:rPr>
          <w:rFonts w:ascii="微软雅黑" w:hAnsi="微软雅黑" w:eastAsia="微软雅黑" w:cs="微软雅黑"/>
          <w:color w:val="231F20"/>
          <w:spacing w:val="5"/>
          <w:sz w:val="22"/>
          <w:szCs w:val="22"/>
        </w:rPr>
        <w:t>类</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6"/>
          <w:sz w:val="22"/>
          <w:szCs w:val="22"/>
        </w:rPr>
        <w:t>重点服</w:t>
      </w:r>
      <w:r>
        <w:rPr>
          <w:rFonts w:ascii="微软雅黑" w:hAnsi="微软雅黑" w:eastAsia="微软雅黑" w:cs="微软雅黑"/>
          <w:color w:val="231F20"/>
          <w:spacing w:val="-10"/>
          <w:sz w:val="22"/>
          <w:szCs w:val="22"/>
        </w:rPr>
        <w:t>务</w:t>
      </w:r>
      <w:r>
        <w:rPr>
          <w:rFonts w:ascii="微软雅黑" w:hAnsi="微软雅黑" w:eastAsia="微软雅黑" w:cs="微软雅黑"/>
          <w:color w:val="231F20"/>
          <w:spacing w:val="-8"/>
          <w:sz w:val="22"/>
          <w:szCs w:val="22"/>
        </w:rPr>
        <w:t>行业分别纳入，分类施策。</w:t>
      </w:r>
      <w:r>
        <w:rPr>
          <w:rFonts w:ascii="SimHei" w:hAnsi="SimHei" w:eastAsia="SimHei" w:cs="SimHei"/>
          <w:color w:val="231F20"/>
          <w:spacing w:val="-8"/>
          <w:sz w:val="22"/>
          <w:szCs w:val="22"/>
        </w:rPr>
        <w:t xml:space="preserve">二是在区域发展方面， </w:t>
      </w:r>
      <w:r>
        <w:rPr>
          <w:rFonts w:ascii="微软雅黑" w:hAnsi="微软雅黑" w:eastAsia="微软雅黑" w:cs="微软雅黑"/>
          <w:color w:val="231F20"/>
          <w:spacing w:val="-8"/>
          <w:sz w:val="22"/>
          <w:szCs w:val="22"/>
        </w:rPr>
        <w:t>强调推动重点示范园区建设，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促进区域协同开放。</w:t>
      </w:r>
      <w:r>
        <w:rPr>
          <w:rFonts w:ascii="SimHei" w:hAnsi="SimHei" w:eastAsia="SimHei" w:cs="SimHei"/>
          <w:color w:val="231F20"/>
          <w:spacing w:val="2"/>
          <w:sz w:val="22"/>
          <w:szCs w:val="22"/>
        </w:rPr>
        <w:t>三是在体制机制建设方面，</w:t>
      </w:r>
      <w:r>
        <w:rPr>
          <w:rFonts w:ascii="微软雅黑" w:hAnsi="微软雅黑" w:eastAsia="微软雅黑" w:cs="微软雅黑"/>
          <w:color w:val="231F20"/>
          <w:spacing w:val="2"/>
          <w:sz w:val="22"/>
          <w:szCs w:val="22"/>
        </w:rPr>
        <w:t>对标国际标准和规则</w:t>
      </w:r>
      <w:r>
        <w:rPr>
          <w:rFonts w:ascii="微软雅黑" w:hAnsi="微软雅黑" w:eastAsia="微软雅黑" w:cs="微软雅黑"/>
          <w:color w:val="231F20"/>
          <w:spacing w:val="1"/>
          <w:sz w:val="22"/>
          <w:szCs w:val="22"/>
        </w:rPr>
        <w:t xml:space="preserve"> ，促进贸易投资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便利化。</w:t>
      </w:r>
      <w:r>
        <w:rPr>
          <w:rFonts w:ascii="SimHei" w:hAnsi="SimHei" w:eastAsia="SimHei" w:cs="SimHei"/>
          <w:color w:val="231F20"/>
          <w:spacing w:val="6"/>
          <w:sz w:val="22"/>
          <w:szCs w:val="22"/>
        </w:rPr>
        <w:t>四是在</w:t>
      </w:r>
      <w:r>
        <w:rPr>
          <w:rFonts w:ascii="SimHei" w:hAnsi="SimHei" w:eastAsia="SimHei" w:cs="SimHei"/>
          <w:color w:val="231F20"/>
          <w:spacing w:val="4"/>
          <w:sz w:val="22"/>
          <w:szCs w:val="22"/>
        </w:rPr>
        <w:t>政</w:t>
      </w:r>
      <w:r>
        <w:rPr>
          <w:rFonts w:ascii="SimHei" w:hAnsi="SimHei" w:eastAsia="SimHei" w:cs="SimHei"/>
          <w:color w:val="231F20"/>
          <w:spacing w:val="3"/>
          <w:sz w:val="22"/>
          <w:szCs w:val="22"/>
        </w:rPr>
        <w:t>策和要素保障方面，</w:t>
      </w:r>
      <w:r>
        <w:rPr>
          <w:rFonts w:ascii="微软雅黑" w:hAnsi="微软雅黑" w:eastAsia="微软雅黑" w:cs="微软雅黑"/>
          <w:color w:val="231F20"/>
          <w:spacing w:val="3"/>
          <w:sz w:val="22"/>
          <w:szCs w:val="22"/>
        </w:rPr>
        <w:t>强化资金和数据流动、人才服务、知识产权保</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护等方面支持。同时 ，服务业扩大开放综合试点示范区工作强调在统筹好共</w:t>
      </w:r>
      <w:r>
        <w:rPr>
          <w:rFonts w:ascii="微软雅黑" w:hAnsi="微软雅黑" w:eastAsia="微软雅黑" w:cs="微软雅黑"/>
          <w:color w:val="231F20"/>
          <w:sz w:val="22"/>
          <w:szCs w:val="22"/>
        </w:rPr>
        <w:t xml:space="preserve">性领域开 </w:t>
      </w:r>
      <w:r>
        <w:rPr>
          <w:rFonts w:ascii="微软雅黑" w:hAnsi="微软雅黑" w:eastAsia="微软雅黑" w:cs="微软雅黑"/>
          <w:color w:val="231F20"/>
          <w:spacing w:val="-2"/>
          <w:sz w:val="22"/>
          <w:szCs w:val="22"/>
        </w:rPr>
        <w:t xml:space="preserve">放探索的前提下 ，充分体现地区特色、特点 </w:t>
      </w:r>
      <w:r>
        <w:rPr>
          <w:rFonts w:ascii="微软雅黑" w:hAnsi="微软雅黑" w:eastAsia="微软雅黑" w:cs="微软雅黑"/>
          <w:color w:val="231F20"/>
          <w:spacing w:val="-1"/>
          <w:sz w:val="22"/>
          <w:szCs w:val="22"/>
        </w:rPr>
        <w:t>，鼓励差异化探索 ，促进各地服务业开放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创新发展 ，为全国服务业开放发展形成示</w:t>
      </w:r>
      <w:r>
        <w:rPr>
          <w:rFonts w:ascii="微软雅黑" w:hAnsi="微软雅黑" w:eastAsia="微软雅黑" w:cs="微软雅黑"/>
          <w:color w:val="231F20"/>
          <w:spacing w:val="-1"/>
          <w:sz w:val="22"/>
          <w:szCs w:val="22"/>
        </w:rPr>
        <w:t>范引领作用。</w:t>
      </w:r>
    </w:p>
    <w:p>
      <w:pPr>
        <w:spacing w:before="176" w:line="260" w:lineRule="auto"/>
        <w:ind w:left="1992" w:right="1856" w:firstLine="458"/>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为支持北京市服务业扩大开放综合示范区建设，</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z w:val="22"/>
          <w:szCs w:val="22"/>
        </w:rPr>
        <w:t xml:space="preserve">10 </w:t>
      </w:r>
      <w:r>
        <w:rPr>
          <w:rFonts w:ascii="微软雅黑" w:hAnsi="微软雅黑" w:eastAsia="微软雅黑" w:cs="微软雅黑"/>
          <w:color w:val="231F20"/>
          <w:sz w:val="22"/>
          <w:szCs w:val="22"/>
        </w:rPr>
        <w:t xml:space="preserve">月，  国务院关于同意  </w:t>
      </w:r>
      <w:r>
        <w:rPr>
          <w:rFonts w:ascii="微软雅黑" w:hAnsi="微软雅黑" w:eastAsia="微软雅黑" w:cs="微软雅黑"/>
          <w:color w:val="231F20"/>
          <w:spacing w:val="3"/>
          <w:sz w:val="22"/>
          <w:szCs w:val="22"/>
        </w:rPr>
        <w:t>在北京市暂时调整实施有关行政法规和经国务院批准的部门规章规定的批复 ( 国</w:t>
      </w:r>
      <w:r>
        <w:rPr>
          <w:rFonts w:ascii="微软雅黑" w:hAnsi="微软雅黑" w:eastAsia="微软雅黑" w:cs="微软雅黑"/>
          <w:color w:val="231F20"/>
          <w:sz w:val="22"/>
          <w:szCs w:val="22"/>
        </w:rPr>
        <w:t xml:space="preserve">函〔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w:t>
      </w:r>
      <w:r>
        <w:rPr>
          <w:rFonts w:ascii="Times New Roman" w:hAnsi="Times New Roman" w:eastAsia="Times New Roman" w:cs="Times New Roman"/>
          <w:color w:val="231F20"/>
          <w:spacing w:val="2"/>
          <w:sz w:val="22"/>
          <w:szCs w:val="22"/>
        </w:rPr>
        <w:t xml:space="preserve">106 </w:t>
      </w:r>
      <w:r>
        <w:rPr>
          <w:rFonts w:ascii="微软雅黑" w:hAnsi="微软雅黑" w:eastAsia="微软雅黑" w:cs="微软雅黑"/>
          <w:color w:val="231F20"/>
          <w:spacing w:val="2"/>
          <w:sz w:val="22"/>
          <w:szCs w:val="22"/>
        </w:rPr>
        <w:t>号 )  ，调整了《中华人民共和国中外合作办学条例》《外商投资电</w:t>
      </w:r>
      <w:r>
        <w:rPr>
          <w:rFonts w:ascii="微软雅黑" w:hAnsi="微软雅黑" w:eastAsia="微软雅黑" w:cs="微软雅黑"/>
          <w:color w:val="231F20"/>
          <w:sz w:val="22"/>
          <w:szCs w:val="22"/>
        </w:rPr>
        <w:t xml:space="preserve">信企业  </w:t>
      </w:r>
      <w:r>
        <w:rPr>
          <w:rFonts w:ascii="微软雅黑" w:hAnsi="微软雅黑" w:eastAsia="微软雅黑" w:cs="微软雅黑"/>
          <w:color w:val="231F20"/>
          <w:spacing w:val="1"/>
          <w:sz w:val="22"/>
          <w:szCs w:val="22"/>
        </w:rPr>
        <w:t>管理规定》《营业性演出管理条例》《旅行社条例》《民办非企业单位登记管理</w:t>
      </w:r>
      <w:r>
        <w:rPr>
          <w:rFonts w:hint="eastAsia" w:ascii="微软雅黑" w:hAnsi="微软雅黑" w:eastAsia="微软雅黑" w:cs="微软雅黑"/>
          <w:color w:val="231F20"/>
          <w:spacing w:val="1"/>
          <w:sz w:val="22"/>
          <w:szCs w:val="22"/>
          <w:lang w:eastAsia="zh-CN"/>
        </w:rPr>
        <w:t>暂行</w:t>
      </w:r>
      <w:r>
        <w:rPr>
          <w:rFonts w:ascii="微软雅黑" w:hAnsi="微软雅黑" w:eastAsia="微软雅黑" w:cs="微软雅黑"/>
          <w:color w:val="231F20"/>
          <w:spacing w:val="1"/>
          <w:sz w:val="22"/>
          <w:szCs w:val="22"/>
        </w:rPr>
        <w:t>条</w:t>
      </w:r>
      <w:r>
        <w:rPr>
          <w:rFonts w:ascii="微软雅黑" w:hAnsi="微软雅黑" w:eastAsia="微软雅黑" w:cs="微软雅黑"/>
          <w:color w:val="231F20"/>
          <w:sz w:val="22"/>
          <w:szCs w:val="22"/>
        </w:rPr>
        <w:t xml:space="preserve">例》 </w:t>
      </w:r>
      <w:r>
        <w:rPr>
          <w:rFonts w:ascii="微软雅黑" w:hAnsi="微软雅黑" w:eastAsia="微软雅黑" w:cs="微软雅黑"/>
          <w:color w:val="231F20"/>
          <w:spacing w:val="2"/>
          <w:sz w:val="22"/>
          <w:szCs w:val="22"/>
        </w:rPr>
        <w:t>以及外资准入负面清单中相关内容 ，促进了电信、教育、文化旅游、养老等</w:t>
      </w:r>
      <w:r>
        <w:rPr>
          <w:rFonts w:ascii="微软雅黑" w:hAnsi="微软雅黑" w:eastAsia="微软雅黑" w:cs="微软雅黑"/>
          <w:color w:val="231F20"/>
          <w:sz w:val="22"/>
          <w:szCs w:val="22"/>
        </w:rPr>
        <w:t xml:space="preserve">领域扩大  </w:t>
      </w:r>
      <w:r>
        <w:rPr>
          <w:rFonts w:ascii="微软雅黑" w:hAnsi="微软雅黑" w:eastAsia="微软雅黑" w:cs="微软雅黑"/>
          <w:color w:val="231F20"/>
          <w:spacing w:val="1"/>
          <w:sz w:val="22"/>
          <w:szCs w:val="22"/>
        </w:rPr>
        <w:t>开放相关</w:t>
      </w:r>
      <w:r>
        <w:rPr>
          <w:rFonts w:ascii="微软雅黑" w:hAnsi="微软雅黑" w:eastAsia="微软雅黑" w:cs="微软雅黑"/>
          <w:color w:val="231F20"/>
          <w:sz w:val="22"/>
          <w:szCs w:val="22"/>
        </w:rPr>
        <w:t>措施落地。</w:t>
      </w:r>
    </w:p>
    <w:p>
      <w:pPr>
        <w:spacing w:before="179" w:line="217"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4. </w:t>
      </w:r>
      <w:r>
        <w:rPr>
          <w:rFonts w:ascii="KaiTi" w:hAnsi="KaiTi" w:eastAsia="KaiTi" w:cs="KaiTi"/>
          <w:color w:val="015DAC"/>
          <w:spacing w:val="1"/>
          <w:sz w:val="22"/>
          <w:szCs w:val="22"/>
        </w:rPr>
        <w:t>修改相关领域与外资法不相匹配</w:t>
      </w:r>
      <w:r>
        <w:rPr>
          <w:rFonts w:ascii="KaiTi" w:hAnsi="KaiTi" w:eastAsia="KaiTi" w:cs="KaiTi"/>
          <w:color w:val="015DAC"/>
          <w:sz w:val="22"/>
          <w:szCs w:val="22"/>
        </w:rPr>
        <w:t>的规定</w:t>
      </w:r>
    </w:p>
    <w:p>
      <w:pPr>
        <w:spacing w:line="264" w:lineRule="auto"/>
        <w:rPr>
          <w:rFonts w:ascii="Arial"/>
          <w:sz w:val="21"/>
        </w:rPr>
      </w:pPr>
    </w:p>
    <w:p>
      <w:pPr>
        <w:spacing w:before="95" w:line="260" w:lineRule="auto"/>
        <w:ind w:left="1990" w:right="1976" w:firstLine="464"/>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为贯</w:t>
      </w:r>
      <w:r>
        <w:rPr>
          <w:rFonts w:ascii="微软雅黑" w:hAnsi="微软雅黑" w:eastAsia="微软雅黑" w:cs="微软雅黑"/>
          <w:color w:val="231F20"/>
          <w:spacing w:val="-3"/>
          <w:sz w:val="22"/>
          <w:szCs w:val="22"/>
        </w:rPr>
        <w:t>彻</w:t>
      </w:r>
      <w:r>
        <w:rPr>
          <w:rFonts w:ascii="微软雅黑" w:hAnsi="微软雅黑" w:eastAsia="微软雅黑" w:cs="微软雅黑"/>
          <w:color w:val="231F20"/>
          <w:spacing w:val="-2"/>
          <w:sz w:val="22"/>
          <w:szCs w:val="22"/>
        </w:rPr>
        <w:t>落实《外商投资法》，  国家相关部门积极推进“立改废”工作 ，清理和修</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订了一些法律法规 ，取消了相关领域的准入和准营限制。如 </w:t>
      </w:r>
      <w:r>
        <w:rPr>
          <w:rFonts w:ascii="Times New Roman" w:hAnsi="Times New Roman" w:eastAsia="Times New Roman" w:cs="Times New Roman"/>
          <w:color w:val="231F20"/>
          <w:spacing w:val="-1"/>
          <w:sz w:val="22"/>
          <w:szCs w:val="22"/>
        </w:rPr>
        <w:t>202</w:t>
      </w:r>
      <w:r>
        <w:rPr>
          <w:rFonts w:ascii="Times New Roman" w:hAnsi="Times New Roman" w:eastAsia="Times New Roman" w:cs="Times New Roman"/>
          <w:color w:val="231F20"/>
          <w:sz w:val="22"/>
          <w:szCs w:val="22"/>
        </w:rPr>
        <w:t xml:space="preserve">1 </w:t>
      </w:r>
      <w:r>
        <w:rPr>
          <w:rFonts w:ascii="微软雅黑" w:hAnsi="微软雅黑" w:eastAsia="微软雅黑" w:cs="微软雅黑"/>
          <w:color w:val="231F20"/>
          <w:sz w:val="22"/>
          <w:szCs w:val="22"/>
        </w:rPr>
        <w:t xml:space="preserve">年 </w:t>
      </w:r>
      <w:r>
        <w:rPr>
          <w:rFonts w:ascii="Times New Roman" w:hAnsi="Times New Roman" w:eastAsia="Times New Roman" w:cs="Times New Roman"/>
          <w:color w:val="231F20"/>
          <w:sz w:val="22"/>
          <w:szCs w:val="22"/>
        </w:rPr>
        <w:t xml:space="preserve">3 </w:t>
      </w:r>
      <w:r>
        <w:rPr>
          <w:rFonts w:ascii="微软雅黑" w:hAnsi="微软雅黑" w:eastAsia="微软雅黑" w:cs="微软雅黑"/>
          <w:color w:val="231F20"/>
          <w:sz w:val="22"/>
          <w:szCs w:val="22"/>
        </w:rPr>
        <w:t xml:space="preserve">月 </w:t>
      </w:r>
      <w:r>
        <w:rPr>
          <w:rFonts w:ascii="Times New Roman" w:hAnsi="Times New Roman" w:eastAsia="Times New Roman" w:cs="Times New Roman"/>
          <w:color w:val="231F20"/>
          <w:sz w:val="22"/>
          <w:szCs w:val="22"/>
        </w:rPr>
        <w:t xml:space="preserve">10 </w:t>
      </w:r>
      <w:r>
        <w:rPr>
          <w:rFonts w:ascii="微软雅黑" w:hAnsi="微软雅黑" w:eastAsia="微软雅黑" w:cs="微软雅黑"/>
          <w:color w:val="231F20"/>
          <w:sz w:val="22"/>
          <w:szCs w:val="22"/>
        </w:rPr>
        <w:t xml:space="preserve">日 ，银保 </w:t>
      </w:r>
      <w:r>
        <w:rPr>
          <w:rFonts w:ascii="微软雅黑" w:hAnsi="微软雅黑" w:eastAsia="微软雅黑" w:cs="微软雅黑"/>
          <w:color w:val="231F20"/>
          <w:spacing w:val="-4"/>
          <w:sz w:val="22"/>
          <w:szCs w:val="22"/>
        </w:rPr>
        <w:t xml:space="preserve">监会公布《关于修改 </w:t>
      </w:r>
      <w:r>
        <w:rPr>
          <w:rFonts w:ascii="Times New Roman" w:hAnsi="Times New Roman" w:eastAsia="Times New Roman" w:cs="Times New Roman"/>
          <w:color w:val="231F20"/>
          <w:spacing w:val="-4"/>
          <w:sz w:val="22"/>
          <w:szCs w:val="22"/>
        </w:rPr>
        <w:t xml:space="preserve">&lt; </w:t>
      </w:r>
      <w:r>
        <w:rPr>
          <w:rFonts w:ascii="微软雅黑" w:hAnsi="微软雅黑" w:eastAsia="微软雅黑" w:cs="微软雅黑"/>
          <w:color w:val="231F20"/>
          <w:spacing w:val="-4"/>
          <w:sz w:val="22"/>
          <w:szCs w:val="22"/>
        </w:rPr>
        <w:t>中华人民共</w:t>
      </w:r>
      <w:r>
        <w:rPr>
          <w:rFonts w:ascii="微软雅黑" w:hAnsi="微软雅黑" w:eastAsia="微软雅黑" w:cs="微软雅黑"/>
          <w:color w:val="231F20"/>
          <w:spacing w:val="-2"/>
          <w:sz w:val="22"/>
          <w:szCs w:val="22"/>
        </w:rPr>
        <w:t xml:space="preserve">和国外资保险公司管理条例实施细则 </w:t>
      </w:r>
      <w:r>
        <w:rPr>
          <w:rFonts w:ascii="Times New Roman" w:hAnsi="Times New Roman" w:eastAsia="Times New Roman" w:cs="Times New Roman"/>
          <w:color w:val="231F20"/>
          <w:spacing w:val="-2"/>
          <w:sz w:val="22"/>
          <w:szCs w:val="22"/>
        </w:rPr>
        <w:t xml:space="preserve">&gt; </w:t>
      </w:r>
      <w:r>
        <w:rPr>
          <w:rFonts w:ascii="微软雅黑" w:hAnsi="微软雅黑" w:eastAsia="微软雅黑" w:cs="微软雅黑"/>
          <w:color w:val="231F20"/>
          <w:spacing w:val="-2"/>
          <w:sz w:val="22"/>
          <w:szCs w:val="22"/>
        </w:rPr>
        <w:t>的决定》 ( 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国银行保险监督管理委员会令 </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 xml:space="preserve">年第 </w:t>
      </w:r>
      <w:r>
        <w:rPr>
          <w:rFonts w:ascii="Times New Roman" w:hAnsi="Times New Roman" w:eastAsia="Times New Roman" w:cs="Times New Roman"/>
          <w:color w:val="231F20"/>
          <w:spacing w:val="4"/>
          <w:sz w:val="22"/>
          <w:szCs w:val="22"/>
        </w:rPr>
        <w:t xml:space="preserve">2 </w:t>
      </w:r>
      <w:r>
        <w:rPr>
          <w:rFonts w:ascii="微软雅黑" w:hAnsi="微软雅黑" w:eastAsia="微软雅黑" w:cs="微软雅黑"/>
          <w:color w:val="231F20"/>
          <w:spacing w:val="4"/>
          <w:sz w:val="22"/>
          <w:szCs w:val="22"/>
        </w:rPr>
        <w:t>号 )  ，将外资保险公司入股的外方</w:t>
      </w:r>
      <w:r>
        <w:rPr>
          <w:rFonts w:ascii="微软雅黑" w:hAnsi="微软雅黑" w:eastAsia="微软雅黑" w:cs="微软雅黑"/>
          <w:color w:val="231F20"/>
          <w:spacing w:val="3"/>
          <w:sz w:val="22"/>
          <w:szCs w:val="22"/>
        </w:rPr>
        <w:t>股</w:t>
      </w:r>
      <w:r>
        <w:rPr>
          <w:rFonts w:ascii="微软雅黑" w:hAnsi="微软雅黑" w:eastAsia="微软雅黑" w:cs="微软雅黑"/>
          <w:color w:val="231F20"/>
          <w:sz w:val="22"/>
          <w:szCs w:val="22"/>
        </w:rPr>
        <w:t xml:space="preserve">东从 </w:t>
      </w:r>
      <w:r>
        <w:rPr>
          <w:rFonts w:ascii="微软雅黑" w:hAnsi="微软雅黑" w:eastAsia="微软雅黑" w:cs="微软雅黑"/>
          <w:color w:val="231F20"/>
          <w:spacing w:val="2"/>
          <w:sz w:val="22"/>
          <w:szCs w:val="22"/>
        </w:rPr>
        <w:t>仅限于外国保险公司 ，扩大为外国保险公司、外国保险集</w:t>
      </w:r>
      <w:r>
        <w:rPr>
          <w:rFonts w:ascii="微软雅黑" w:hAnsi="微软雅黑" w:eastAsia="微软雅黑" w:cs="微软雅黑"/>
          <w:color w:val="231F20"/>
          <w:spacing w:val="1"/>
          <w:sz w:val="22"/>
          <w:szCs w:val="22"/>
        </w:rPr>
        <w:t>团公司以及其他境外金融机</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81593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5"/>
        <w:rPr>
          <w:rFonts w:ascii="Arial" w:hAnsi="Arial" w:eastAsia="Arial" w:cs="Arial"/>
          <w:sz w:val="20"/>
          <w:szCs w:val="20"/>
        </w:rPr>
      </w:pPr>
      <w:r>
        <w:rPr>
          <w:rFonts w:ascii="SimHei" w:hAnsi="SimHei" w:eastAsia="SimHei" w:cs="SimHei"/>
          <w:color w:val="1A67B3"/>
          <w:spacing w:val="41"/>
          <w:position w:val="1"/>
          <w:sz w:val="21"/>
          <w:szCs w:val="21"/>
          <w14:textOutline w14:w="3175" w14:cap="flat" w14:cmpd="sng">
            <w14:solidFill>
              <w14:srgbClr w14:val="1A67B3"/>
            </w14:solidFill>
            <w14:prstDash w14:val="solid"/>
            <w14:miter w14:val="0"/>
          </w14:textOutline>
        </w:rPr>
        <w:t>综</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合篇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19</w:t>
      </w: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94" w:line="259" w:lineRule="auto"/>
        <w:ind w:left="1990" w:right="1982"/>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 xml:space="preserve">构等 </w:t>
      </w:r>
      <w:r>
        <w:rPr>
          <w:rFonts w:ascii="Times New Roman" w:hAnsi="Times New Roman" w:eastAsia="Times New Roman" w:cs="Times New Roman"/>
          <w:color w:val="231F20"/>
          <w:spacing w:val="-1"/>
          <w:sz w:val="22"/>
          <w:szCs w:val="22"/>
        </w:rPr>
        <w:t xml:space="preserve">3 </w:t>
      </w:r>
      <w:r>
        <w:rPr>
          <w:rFonts w:ascii="微软雅黑" w:hAnsi="微软雅黑" w:eastAsia="微软雅黑" w:cs="微软雅黑"/>
          <w:color w:val="231F20"/>
          <w:spacing w:val="-1"/>
          <w:sz w:val="22"/>
          <w:szCs w:val="22"/>
        </w:rPr>
        <w:t>类 ，删除了《实施细则》  中有关外资股比的限制性规定。</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5 </w:t>
      </w:r>
      <w:r>
        <w:rPr>
          <w:rFonts w:ascii="微软雅黑" w:hAnsi="微软雅黑" w:eastAsia="微软雅黑" w:cs="微软雅黑"/>
          <w:color w:val="231F20"/>
          <w:sz w:val="22"/>
          <w:szCs w:val="22"/>
        </w:rPr>
        <w:t xml:space="preserve">月 </w:t>
      </w:r>
      <w:r>
        <w:rPr>
          <w:rFonts w:ascii="Times New Roman" w:hAnsi="Times New Roman" w:eastAsia="Times New Roman" w:cs="Times New Roman"/>
          <w:color w:val="231F20"/>
          <w:sz w:val="22"/>
          <w:szCs w:val="22"/>
        </w:rPr>
        <w:t xml:space="preserve">27 </w:t>
      </w:r>
      <w:r>
        <w:rPr>
          <w:rFonts w:ascii="微软雅黑" w:hAnsi="微软雅黑" w:eastAsia="微软雅黑" w:cs="微软雅黑"/>
          <w:color w:val="231F20"/>
          <w:sz w:val="22"/>
          <w:szCs w:val="22"/>
        </w:rPr>
        <w:t xml:space="preserve">日， </w:t>
      </w:r>
      <w:r>
        <w:rPr>
          <w:rFonts w:ascii="微软雅黑" w:hAnsi="微软雅黑" w:eastAsia="微软雅黑" w:cs="微软雅黑"/>
          <w:color w:val="231F20"/>
          <w:spacing w:val="6"/>
          <w:sz w:val="22"/>
          <w:szCs w:val="22"/>
        </w:rPr>
        <w:t>文化和旅游部</w:t>
      </w:r>
      <w:r>
        <w:rPr>
          <w:rFonts w:ascii="微软雅黑" w:hAnsi="微软雅黑" w:eastAsia="微软雅黑" w:cs="微软雅黑"/>
          <w:color w:val="231F20"/>
          <w:spacing w:val="5"/>
          <w:sz w:val="22"/>
          <w:szCs w:val="22"/>
        </w:rPr>
        <w:t>印</w:t>
      </w:r>
      <w:r>
        <w:rPr>
          <w:rFonts w:ascii="微软雅黑" w:hAnsi="微软雅黑" w:eastAsia="微软雅黑" w:cs="微软雅黑"/>
          <w:color w:val="231F20"/>
          <w:spacing w:val="3"/>
          <w:sz w:val="22"/>
          <w:szCs w:val="22"/>
        </w:rPr>
        <w:t>发《关于调整娱乐场所和互联网上网服务营业场所审批有关事项的通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知</w:t>
      </w:r>
      <w:r>
        <w:rPr>
          <w:rFonts w:ascii="微软雅黑" w:hAnsi="微软雅黑" w:eastAsia="微软雅黑" w:cs="微软雅黑"/>
          <w:color w:val="231F20"/>
          <w:spacing w:val="-6"/>
          <w:sz w:val="22"/>
          <w:szCs w:val="22"/>
        </w:rPr>
        <w:t>》</w:t>
      </w:r>
      <w:r>
        <w:rPr>
          <w:rFonts w:ascii="微软雅黑" w:hAnsi="微软雅黑" w:eastAsia="微软雅黑" w:cs="微软雅黑"/>
          <w:color w:val="231F20"/>
          <w:spacing w:val="-4"/>
          <w:sz w:val="22"/>
          <w:szCs w:val="22"/>
        </w:rPr>
        <w:t xml:space="preserve">   ( 文旅市场发〔 </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w:t>
      </w:r>
      <w:r>
        <w:rPr>
          <w:rFonts w:ascii="Times New Roman" w:hAnsi="Times New Roman" w:eastAsia="Times New Roman" w:cs="Times New Roman"/>
          <w:color w:val="231F20"/>
          <w:spacing w:val="-4"/>
          <w:sz w:val="22"/>
          <w:szCs w:val="22"/>
        </w:rPr>
        <w:t xml:space="preserve">57 </w:t>
      </w:r>
      <w:r>
        <w:rPr>
          <w:rFonts w:ascii="微软雅黑" w:hAnsi="微软雅黑" w:eastAsia="微软雅黑" w:cs="微软雅黑"/>
          <w:color w:val="231F20"/>
          <w:spacing w:val="-4"/>
          <w:sz w:val="22"/>
          <w:szCs w:val="22"/>
        </w:rPr>
        <w:t>号 )  ，允许外国投资者依法在中国境内设立娱乐场所。</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6 </w:t>
      </w:r>
      <w:r>
        <w:rPr>
          <w:rFonts w:ascii="微软雅黑" w:hAnsi="微软雅黑" w:eastAsia="微软雅黑" w:cs="微软雅黑"/>
          <w:color w:val="231F20"/>
          <w:spacing w:val="-2"/>
          <w:sz w:val="22"/>
          <w:szCs w:val="22"/>
        </w:rPr>
        <w:t xml:space="preserve">月 </w:t>
      </w:r>
      <w:r>
        <w:rPr>
          <w:rFonts w:ascii="Times New Roman" w:hAnsi="Times New Roman" w:eastAsia="Times New Roman" w:cs="Times New Roman"/>
          <w:color w:val="231F20"/>
          <w:spacing w:val="-2"/>
          <w:sz w:val="22"/>
          <w:szCs w:val="22"/>
        </w:rPr>
        <w:t xml:space="preserve">29 </w:t>
      </w:r>
      <w:r>
        <w:rPr>
          <w:rFonts w:ascii="微软雅黑" w:hAnsi="微软雅黑" w:eastAsia="微软雅黑" w:cs="微软雅黑"/>
          <w:color w:val="231F20"/>
          <w:spacing w:val="-2"/>
          <w:sz w:val="22"/>
          <w:szCs w:val="22"/>
        </w:rPr>
        <w:t>日，  工业和信息化部印发</w:t>
      </w:r>
      <w:r>
        <w:rPr>
          <w:rFonts w:ascii="微软雅黑" w:hAnsi="微软雅黑" w:eastAsia="微软雅黑" w:cs="微软雅黑"/>
          <w:color w:val="231F20"/>
          <w:spacing w:val="-1"/>
          <w:sz w:val="22"/>
          <w:szCs w:val="22"/>
        </w:rPr>
        <w:t>《关于深化“证照分离”改革的通告》   ( 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信部政法函〔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w:t>
      </w:r>
      <w:r>
        <w:rPr>
          <w:rFonts w:ascii="Times New Roman" w:hAnsi="Times New Roman" w:eastAsia="Times New Roman" w:cs="Times New Roman"/>
          <w:color w:val="231F20"/>
          <w:spacing w:val="-1"/>
          <w:sz w:val="22"/>
          <w:szCs w:val="22"/>
        </w:rPr>
        <w:t xml:space="preserve">159 </w:t>
      </w:r>
      <w:r>
        <w:rPr>
          <w:rFonts w:ascii="微软雅黑" w:hAnsi="微软雅黑" w:eastAsia="微软雅黑" w:cs="微软雅黑"/>
          <w:color w:val="231F20"/>
          <w:spacing w:val="-1"/>
          <w:sz w:val="22"/>
          <w:szCs w:val="22"/>
        </w:rPr>
        <w:t>号 )  ，在全国范围内 ，取</w:t>
      </w:r>
      <w:r>
        <w:rPr>
          <w:rFonts w:ascii="微软雅黑" w:hAnsi="微软雅黑" w:eastAsia="微软雅黑" w:cs="微软雅黑"/>
          <w:color w:val="231F20"/>
          <w:sz w:val="22"/>
          <w:szCs w:val="22"/>
        </w:rPr>
        <w:t xml:space="preserve">消“外商投资经营电信业务 ( 基础 </w:t>
      </w:r>
      <w:r>
        <w:rPr>
          <w:rFonts w:ascii="微软雅黑" w:hAnsi="微软雅黑" w:eastAsia="微软雅黑" w:cs="微软雅黑"/>
          <w:color w:val="231F20"/>
          <w:spacing w:val="2"/>
          <w:sz w:val="22"/>
          <w:szCs w:val="22"/>
        </w:rPr>
        <w:t>电信</w:t>
      </w:r>
      <w:r>
        <w:rPr>
          <w:rFonts w:ascii="微软雅黑" w:hAnsi="微软雅黑" w:eastAsia="微软雅黑" w:cs="微软雅黑"/>
          <w:color w:val="231F20"/>
          <w:spacing w:val="1"/>
          <w:sz w:val="22"/>
          <w:szCs w:val="22"/>
        </w:rPr>
        <w:t>业务 )  审批”“外商投资经营电信业务 ( 第一类增值电信业务 )  审批”“外商投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资经营电信业务 ( 第二类增值电信业务 )  审批” ，不再核发</w:t>
      </w:r>
      <w:r>
        <w:rPr>
          <w:rFonts w:ascii="微软雅黑" w:hAnsi="微软雅黑" w:eastAsia="微软雅黑" w:cs="微软雅黑"/>
          <w:color w:val="231F20"/>
          <w:sz w:val="22"/>
          <w:szCs w:val="22"/>
        </w:rPr>
        <w:t xml:space="preserve">《外商投资经营电信业务 </w:t>
      </w:r>
      <w:r>
        <w:rPr>
          <w:rFonts w:ascii="微软雅黑" w:hAnsi="微软雅黑" w:eastAsia="微软雅黑" w:cs="微软雅黑"/>
          <w:color w:val="231F20"/>
          <w:spacing w:val="1"/>
          <w:sz w:val="22"/>
          <w:szCs w:val="22"/>
        </w:rPr>
        <w:t>审定意见书》，相应外资审查工作纳入电信业务经营</w:t>
      </w:r>
      <w:r>
        <w:rPr>
          <w:rFonts w:ascii="微软雅黑" w:hAnsi="微软雅黑" w:eastAsia="微软雅黑" w:cs="微软雅黑"/>
          <w:color w:val="231F20"/>
          <w:sz w:val="22"/>
          <w:szCs w:val="22"/>
        </w:rPr>
        <w:t>许可审批环节。</w:t>
      </w:r>
    </w:p>
    <w:p>
      <w:pPr>
        <w:spacing w:before="179" w:line="214" w:lineRule="auto"/>
        <w:ind w:left="2447"/>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5. </w:t>
      </w:r>
      <w:r>
        <w:rPr>
          <w:rFonts w:ascii="KaiTi" w:hAnsi="KaiTi" w:eastAsia="KaiTi" w:cs="KaiTi"/>
          <w:color w:val="015DAC"/>
          <w:spacing w:val="1"/>
          <w:sz w:val="22"/>
          <w:szCs w:val="22"/>
        </w:rPr>
        <w:t>外商投资安全审</w:t>
      </w:r>
      <w:r>
        <w:rPr>
          <w:rFonts w:ascii="KaiTi" w:hAnsi="KaiTi" w:eastAsia="KaiTi" w:cs="KaiTi"/>
          <w:color w:val="015DAC"/>
          <w:sz w:val="22"/>
          <w:szCs w:val="22"/>
        </w:rPr>
        <w:t>查制度和机制不断完善</w:t>
      </w:r>
    </w:p>
    <w:p>
      <w:pPr>
        <w:spacing w:line="270" w:lineRule="auto"/>
        <w:rPr>
          <w:rFonts w:ascii="Arial"/>
          <w:sz w:val="21"/>
        </w:rPr>
      </w:pPr>
    </w:p>
    <w:p>
      <w:pPr>
        <w:spacing w:before="95" w:line="258" w:lineRule="auto"/>
        <w:ind w:left="1990" w:right="1914" w:firstLine="456"/>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对影响或</w:t>
      </w:r>
      <w:r>
        <w:rPr>
          <w:rFonts w:ascii="微软雅黑" w:hAnsi="微软雅黑" w:eastAsia="微软雅黑" w:cs="微软雅黑"/>
          <w:color w:val="231F20"/>
          <w:spacing w:val="-2"/>
          <w:sz w:val="22"/>
          <w:szCs w:val="22"/>
        </w:rPr>
        <w:t>者可能影响国家安全的外商投资进行安全审查 ，是国际通行做法，  中国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自 </w:t>
      </w:r>
      <w:r>
        <w:rPr>
          <w:rFonts w:ascii="Times New Roman" w:hAnsi="Times New Roman" w:eastAsia="Times New Roman" w:cs="Times New Roman"/>
          <w:color w:val="231F20"/>
          <w:spacing w:val="1"/>
          <w:sz w:val="22"/>
          <w:szCs w:val="22"/>
        </w:rPr>
        <w:t>201</w:t>
      </w:r>
      <w:r>
        <w:rPr>
          <w:rFonts w:ascii="Times New Roman" w:hAnsi="Times New Roman" w:eastAsia="Times New Roman" w:cs="Times New Roman"/>
          <w:color w:val="231F20"/>
          <w:sz w:val="22"/>
          <w:szCs w:val="22"/>
        </w:rPr>
        <w:t xml:space="preserve">1 </w:t>
      </w:r>
      <w:r>
        <w:rPr>
          <w:rFonts w:ascii="微软雅黑" w:hAnsi="微软雅黑" w:eastAsia="微软雅黑" w:cs="微软雅黑"/>
          <w:color w:val="231F20"/>
          <w:sz w:val="22"/>
          <w:szCs w:val="22"/>
        </w:rPr>
        <w:t xml:space="preserve">年开始建立外商投资安全审查制度。随着《外商投资法》等相关配套法律法规 </w:t>
      </w:r>
      <w:r>
        <w:rPr>
          <w:rFonts w:ascii="微软雅黑" w:hAnsi="微软雅黑" w:eastAsia="微软雅黑" w:cs="微软雅黑"/>
          <w:color w:val="231F20"/>
          <w:spacing w:val="1"/>
          <w:sz w:val="22"/>
          <w:szCs w:val="22"/>
        </w:rPr>
        <w:t>的不断完善，  中国外资安全审查工作也逐步与国际接轨。</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月</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18 </w:t>
      </w:r>
      <w:r>
        <w:rPr>
          <w:rFonts w:ascii="微软雅黑" w:hAnsi="微软雅黑" w:eastAsia="微软雅黑" w:cs="微软雅黑"/>
          <w:color w:val="231F20"/>
          <w:sz w:val="22"/>
          <w:szCs w:val="22"/>
        </w:rPr>
        <w:t xml:space="preserve">日，《外商 </w:t>
      </w:r>
      <w:r>
        <w:rPr>
          <w:rFonts w:ascii="微软雅黑" w:hAnsi="微软雅黑" w:eastAsia="微软雅黑" w:cs="微软雅黑"/>
          <w:color w:val="231F20"/>
          <w:spacing w:val="1"/>
          <w:sz w:val="22"/>
          <w:szCs w:val="22"/>
        </w:rPr>
        <w:t>投资安全审</w:t>
      </w:r>
      <w:r>
        <w:rPr>
          <w:rFonts w:ascii="微软雅黑" w:hAnsi="微软雅黑" w:eastAsia="微软雅黑" w:cs="微软雅黑"/>
          <w:color w:val="231F20"/>
          <w:sz w:val="22"/>
          <w:szCs w:val="22"/>
        </w:rPr>
        <w:t xml:space="preserve">查办法》   ( 发展改革委 商务部令第 </w:t>
      </w:r>
      <w:r>
        <w:rPr>
          <w:rFonts w:ascii="Times New Roman" w:hAnsi="Times New Roman" w:eastAsia="Times New Roman" w:cs="Times New Roman"/>
          <w:color w:val="231F20"/>
          <w:sz w:val="22"/>
          <w:szCs w:val="22"/>
        </w:rPr>
        <w:t xml:space="preserve">37 </w:t>
      </w:r>
      <w:r>
        <w:rPr>
          <w:rFonts w:ascii="微软雅黑" w:hAnsi="微软雅黑" w:eastAsia="微软雅黑" w:cs="微软雅黑"/>
          <w:color w:val="231F20"/>
          <w:sz w:val="22"/>
          <w:szCs w:val="22"/>
        </w:rPr>
        <w:t xml:space="preserve">号 ) 开始施行 ，规定了适用审查的 </w:t>
      </w:r>
      <w:r>
        <w:rPr>
          <w:rFonts w:ascii="微软雅黑" w:hAnsi="微软雅黑" w:eastAsia="微软雅黑" w:cs="微软雅黑"/>
          <w:color w:val="231F20"/>
          <w:spacing w:val="3"/>
          <w:sz w:val="22"/>
          <w:szCs w:val="22"/>
        </w:rPr>
        <w:t>外商投资类型、审查机构、审查范围、审查程序、审查决定监督执行和违规处理等</w:t>
      </w:r>
      <w:r>
        <w:rPr>
          <w:rFonts w:ascii="微软雅黑" w:hAnsi="微软雅黑" w:eastAsia="微软雅黑" w:cs="微软雅黑"/>
          <w:color w:val="231F20"/>
          <w:spacing w:val="1"/>
          <w:sz w:val="22"/>
          <w:szCs w:val="22"/>
        </w:rPr>
        <w:t xml:space="preserve">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2"/>
          <w:sz w:val="22"/>
          <w:szCs w:val="22"/>
        </w:rPr>
        <w:t>进</w:t>
      </w:r>
      <w:r>
        <w:rPr>
          <w:rFonts w:ascii="微软雅黑" w:hAnsi="微软雅黑" w:eastAsia="微软雅黑" w:cs="微软雅黑"/>
          <w:color w:val="231F20"/>
          <w:spacing w:val="-6"/>
          <w:sz w:val="22"/>
          <w:szCs w:val="22"/>
        </w:rPr>
        <w:t>一步提高了审查工作的规范性、精准性和透明度，尽可能减少对外商投资活动的影响，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保</w:t>
      </w:r>
      <w:r>
        <w:rPr>
          <w:rFonts w:ascii="微软雅黑" w:hAnsi="微软雅黑" w:eastAsia="微软雅黑" w:cs="微软雅黑"/>
          <w:color w:val="231F20"/>
          <w:spacing w:val="-4"/>
          <w:sz w:val="22"/>
          <w:szCs w:val="22"/>
        </w:rPr>
        <w:t>护</w:t>
      </w:r>
      <w:r>
        <w:rPr>
          <w:rFonts w:ascii="微软雅黑" w:hAnsi="微软雅黑" w:eastAsia="微软雅黑" w:cs="微软雅黑"/>
          <w:color w:val="231F20"/>
          <w:spacing w:val="-3"/>
          <w:sz w:val="22"/>
          <w:szCs w:val="22"/>
        </w:rPr>
        <w:t>外商投资积极性和合法权益。  同时，依据法律规定，  中国建立了外商投资安全审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查工作机制，工作机制办公室设在国家发展改革委，由国家发展改革委、商务部牵</w:t>
      </w:r>
      <w:r>
        <w:rPr>
          <w:rFonts w:ascii="微软雅黑" w:hAnsi="微软雅黑" w:eastAsia="微软雅黑" w:cs="微软雅黑"/>
          <w:color w:val="231F20"/>
          <w:spacing w:val="-2"/>
          <w:sz w:val="22"/>
          <w:szCs w:val="22"/>
        </w:rPr>
        <w:t>头</w:t>
      </w:r>
      <w:r>
        <w:rPr>
          <w:rFonts w:ascii="微软雅黑" w:hAnsi="微软雅黑" w:eastAsia="微软雅黑" w:cs="微软雅黑"/>
          <w:color w:val="231F20"/>
          <w:sz w:val="22"/>
          <w:szCs w:val="22"/>
        </w:rPr>
        <w:t xml:space="preserve"> ， </w:t>
      </w:r>
      <w:r>
        <w:rPr>
          <w:rFonts w:ascii="微软雅黑" w:hAnsi="微软雅黑" w:eastAsia="微软雅黑" w:cs="微软雅黑"/>
          <w:color w:val="231F20"/>
          <w:spacing w:val="-1"/>
          <w:sz w:val="22"/>
          <w:szCs w:val="22"/>
        </w:rPr>
        <w:t>承担外商</w:t>
      </w:r>
      <w:r>
        <w:rPr>
          <w:rFonts w:ascii="微软雅黑" w:hAnsi="微软雅黑" w:eastAsia="微软雅黑" w:cs="微软雅黑"/>
          <w:color w:val="231F20"/>
          <w:sz w:val="22"/>
          <w:szCs w:val="22"/>
        </w:rPr>
        <w:t>投资安全审查的日常工作，推动外商投资安全审查机制不断完善。</w:t>
      </w:r>
    </w:p>
    <w:p>
      <w:pPr>
        <w:spacing w:before="178" w:line="221" w:lineRule="auto"/>
        <w:ind w:left="2462"/>
        <w:rPr>
          <w:rFonts w:ascii="SimHei" w:hAnsi="SimHei" w:eastAsia="SimHei" w:cs="SimHei"/>
          <w:sz w:val="24"/>
          <w:szCs w:val="24"/>
        </w:rPr>
      </w:pPr>
      <w:r>
        <w:rPr>
          <w:rFonts w:ascii="SimHei" w:hAnsi="SimHei" w:eastAsia="SimHei" w:cs="SimHei"/>
          <w:color w:val="015DAC"/>
          <w:spacing w:val="11"/>
          <w:sz w:val="24"/>
          <w:szCs w:val="24"/>
        </w:rPr>
        <w:t>(</w:t>
      </w:r>
      <w:r>
        <w:rPr>
          <w:rFonts w:ascii="SimHei" w:hAnsi="SimHei" w:eastAsia="SimHei" w:cs="SimHei"/>
          <w:color w:val="015DAC"/>
          <w:spacing w:val="8"/>
          <w:sz w:val="24"/>
          <w:szCs w:val="24"/>
        </w:rPr>
        <w:t>二) 外商投资便利化政策</w:t>
      </w:r>
    </w:p>
    <w:p>
      <w:pPr>
        <w:spacing w:before="332" w:line="202" w:lineRule="auto"/>
        <w:ind w:left="2442"/>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  国务院及相关部门出台了涉及简政</w:t>
      </w:r>
      <w:r>
        <w:rPr>
          <w:rFonts w:ascii="微软雅黑" w:hAnsi="微软雅黑" w:eastAsia="微软雅黑" w:cs="微软雅黑"/>
          <w:color w:val="231F20"/>
          <w:spacing w:val="-1"/>
          <w:sz w:val="22"/>
          <w:szCs w:val="22"/>
        </w:rPr>
        <w:t>放权、贸易投资便利化、营商环境等</w:t>
      </w:r>
    </w:p>
    <w:p>
      <w:pPr>
        <w:spacing w:before="82" w:line="272" w:lineRule="auto"/>
        <w:ind w:left="2011" w:right="1978" w:hanging="12"/>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一系列</w:t>
      </w:r>
      <w:r>
        <w:rPr>
          <w:rFonts w:ascii="微软雅黑" w:hAnsi="微软雅黑" w:eastAsia="微软雅黑" w:cs="微软雅黑"/>
          <w:color w:val="231F20"/>
          <w:sz w:val="22"/>
          <w:szCs w:val="22"/>
        </w:rPr>
        <w:t xml:space="preserve">文件 ，持续推进投资领域“放管服”改革 ，优化自贸试验区和海南自由贸易港 </w:t>
      </w:r>
      <w:r>
        <w:rPr>
          <w:rFonts w:ascii="微软雅黑" w:hAnsi="微软雅黑" w:eastAsia="微软雅黑" w:cs="微软雅黑"/>
          <w:color w:val="231F20"/>
          <w:spacing w:val="1"/>
          <w:sz w:val="22"/>
          <w:szCs w:val="22"/>
        </w:rPr>
        <w:t>贸易投资便利化措施，提</w:t>
      </w:r>
      <w:r>
        <w:rPr>
          <w:rFonts w:ascii="微软雅黑" w:hAnsi="微软雅黑" w:eastAsia="微软雅黑" w:cs="微软雅黑"/>
          <w:color w:val="231F20"/>
          <w:sz w:val="22"/>
          <w:szCs w:val="22"/>
        </w:rPr>
        <w:t>高投资便利化水平，促进外商投资企业投资发展。</w:t>
      </w:r>
    </w:p>
    <w:p>
      <w:pPr>
        <w:spacing w:before="179" w:line="214" w:lineRule="auto"/>
        <w:ind w:left="2469"/>
        <w:rPr>
          <w:rFonts w:ascii="KaiTi" w:hAnsi="KaiTi" w:eastAsia="KaiTi" w:cs="KaiTi"/>
          <w:sz w:val="22"/>
          <w:szCs w:val="22"/>
        </w:rPr>
      </w:pPr>
      <w:r>
        <w:rPr>
          <w:rFonts w:ascii="Times New Roman" w:hAnsi="Times New Roman" w:eastAsia="Times New Roman" w:cs="Times New Roman"/>
          <w:color w:val="015DAC"/>
          <w:spacing w:val="-5"/>
          <w:sz w:val="22"/>
          <w:szCs w:val="22"/>
        </w:rPr>
        <w:t>1</w:t>
      </w:r>
      <w:r>
        <w:rPr>
          <w:rFonts w:ascii="Times New Roman" w:hAnsi="Times New Roman" w:eastAsia="Times New Roman" w:cs="Times New Roman"/>
          <w:color w:val="015DAC"/>
          <w:spacing w:val="-4"/>
          <w:sz w:val="22"/>
          <w:szCs w:val="22"/>
        </w:rPr>
        <w:t xml:space="preserve">. </w:t>
      </w:r>
      <w:r>
        <w:rPr>
          <w:rFonts w:ascii="KaiTi" w:hAnsi="KaiTi" w:eastAsia="KaiTi" w:cs="KaiTi"/>
          <w:color w:val="015DAC"/>
          <w:spacing w:val="-4"/>
          <w:sz w:val="22"/>
          <w:szCs w:val="22"/>
        </w:rPr>
        <w:t>持续深化 “放管服”改革，激发市场主体发展新活力</w:t>
      </w:r>
    </w:p>
    <w:p>
      <w:pPr>
        <w:spacing w:line="268" w:lineRule="auto"/>
        <w:rPr>
          <w:rFonts w:ascii="Arial"/>
          <w:sz w:val="21"/>
        </w:rPr>
      </w:pPr>
    </w:p>
    <w:p>
      <w:pPr>
        <w:spacing w:before="95" w:line="266" w:lineRule="auto"/>
        <w:ind w:left="1990" w:right="1984" w:firstLine="464"/>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为优</w:t>
      </w:r>
      <w:r>
        <w:rPr>
          <w:rFonts w:ascii="微软雅黑" w:hAnsi="微软雅黑" w:eastAsia="微软雅黑" w:cs="微软雅黑"/>
          <w:color w:val="231F20"/>
          <w:spacing w:val="-4"/>
          <w:sz w:val="22"/>
          <w:szCs w:val="22"/>
        </w:rPr>
        <w:t>化</w:t>
      </w:r>
      <w:r>
        <w:rPr>
          <w:rFonts w:ascii="微软雅黑" w:hAnsi="微软雅黑" w:eastAsia="微软雅黑" w:cs="微软雅黑"/>
          <w:color w:val="231F20"/>
          <w:spacing w:val="-3"/>
          <w:sz w:val="22"/>
          <w:szCs w:val="22"/>
        </w:rPr>
        <w:t>营商环境，激发包括外资企业在内的市场主体发展活力，中国持续深化“放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管服</w:t>
      </w:r>
      <w:r>
        <w:rPr>
          <w:rFonts w:ascii="微软雅黑" w:hAnsi="微软雅黑" w:eastAsia="微软雅黑" w:cs="微软雅黑"/>
          <w:color w:val="231F20"/>
          <w:spacing w:val="-5"/>
          <w:sz w:val="22"/>
          <w:szCs w:val="22"/>
        </w:rPr>
        <w:t>”</w:t>
      </w:r>
      <w:r>
        <w:rPr>
          <w:rFonts w:ascii="微软雅黑" w:hAnsi="微软雅黑" w:eastAsia="微软雅黑" w:cs="微软雅黑"/>
          <w:color w:val="231F20"/>
          <w:spacing w:val="-3"/>
          <w:sz w:val="22"/>
          <w:szCs w:val="22"/>
        </w:rPr>
        <w:t>改革 ，不断简政放权 ，取消审批制度 ，简化涉税业务办理程序 ，服务稳住外贸</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外资基</w:t>
      </w:r>
      <w:r>
        <w:rPr>
          <w:rFonts w:ascii="微软雅黑" w:hAnsi="微软雅黑" w:eastAsia="微软雅黑" w:cs="微软雅黑"/>
          <w:color w:val="231F20"/>
          <w:sz w:val="22"/>
          <w:szCs w:val="22"/>
        </w:rPr>
        <w:t>本盘。</w:t>
      </w:r>
    </w:p>
    <w:p>
      <w:pPr>
        <w:spacing w:before="172" w:line="202" w:lineRule="auto"/>
        <w:ind w:left="2444"/>
        <w:rPr>
          <w:rFonts w:ascii="微软雅黑" w:hAnsi="微软雅黑" w:eastAsia="微软雅黑" w:cs="微软雅黑"/>
          <w:sz w:val="22"/>
          <w:szCs w:val="22"/>
        </w:rPr>
      </w:pPr>
      <w:r>
        <w:rPr>
          <w:rFonts w:ascii="SimHei" w:hAnsi="SimHei" w:eastAsia="SimHei" w:cs="SimHei"/>
          <w:color w:val="231F20"/>
          <w:spacing w:val="-10"/>
          <w:sz w:val="22"/>
          <w:szCs w:val="22"/>
        </w:rPr>
        <w:t>优</w:t>
      </w:r>
      <w:r>
        <w:rPr>
          <w:rFonts w:ascii="SimHei" w:hAnsi="SimHei" w:eastAsia="SimHei" w:cs="SimHei"/>
          <w:color w:val="231F20"/>
          <w:spacing w:val="-9"/>
          <w:sz w:val="22"/>
          <w:szCs w:val="22"/>
        </w:rPr>
        <w:t xml:space="preserve">化涉企事项便捷化措施。 </w:t>
      </w:r>
      <w:r>
        <w:rPr>
          <w:rFonts w:ascii="微软雅黑" w:hAnsi="微软雅黑" w:eastAsia="微软雅黑" w:cs="微软雅黑"/>
          <w:color w:val="231F20"/>
          <w:spacing w:val="-9"/>
          <w:sz w:val="22"/>
          <w:szCs w:val="22"/>
        </w:rPr>
        <w:t xml:space="preserve">如 </w:t>
      </w:r>
      <w:r>
        <w:rPr>
          <w:rFonts w:ascii="Times New Roman" w:hAnsi="Times New Roman" w:eastAsia="Times New Roman" w:cs="Times New Roman"/>
          <w:color w:val="231F20"/>
          <w:spacing w:val="-9"/>
          <w:sz w:val="22"/>
          <w:szCs w:val="22"/>
        </w:rPr>
        <w:t>2021</w:t>
      </w:r>
      <w:r>
        <w:rPr>
          <w:rFonts w:ascii="微软雅黑" w:hAnsi="微软雅黑" w:eastAsia="微软雅黑" w:cs="微软雅黑"/>
          <w:color w:val="231F20"/>
          <w:spacing w:val="-9"/>
          <w:sz w:val="22"/>
          <w:szCs w:val="22"/>
        </w:rPr>
        <w:t xml:space="preserve">年 </w:t>
      </w:r>
      <w:r>
        <w:rPr>
          <w:rFonts w:ascii="Times New Roman" w:hAnsi="Times New Roman" w:eastAsia="Times New Roman" w:cs="Times New Roman"/>
          <w:color w:val="231F20"/>
          <w:spacing w:val="-9"/>
          <w:sz w:val="22"/>
          <w:szCs w:val="22"/>
        </w:rPr>
        <w:t xml:space="preserve">4 </w:t>
      </w:r>
      <w:r>
        <w:rPr>
          <w:rFonts w:ascii="微软雅黑" w:hAnsi="微软雅黑" w:eastAsia="微软雅黑" w:cs="微软雅黑"/>
          <w:color w:val="231F20"/>
          <w:spacing w:val="-9"/>
          <w:sz w:val="22"/>
          <w:szCs w:val="22"/>
        </w:rPr>
        <w:t xml:space="preserve">月 </w:t>
      </w:r>
      <w:r>
        <w:rPr>
          <w:rFonts w:ascii="Times New Roman" w:hAnsi="Times New Roman" w:eastAsia="Times New Roman" w:cs="Times New Roman"/>
          <w:color w:val="231F20"/>
          <w:spacing w:val="-9"/>
          <w:sz w:val="22"/>
          <w:szCs w:val="22"/>
        </w:rPr>
        <w:t xml:space="preserve">15 </w:t>
      </w:r>
      <w:r>
        <w:rPr>
          <w:rFonts w:ascii="微软雅黑" w:hAnsi="微软雅黑" w:eastAsia="微软雅黑" w:cs="微软雅黑"/>
          <w:color w:val="231F20"/>
          <w:spacing w:val="-9"/>
          <w:sz w:val="22"/>
          <w:szCs w:val="22"/>
        </w:rPr>
        <w:t>日，国务院办公厅印发《关于服务“六</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81696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3"/>
        <w:rPr>
          <w:rFonts w:ascii="SimHei" w:hAnsi="SimHei" w:eastAsia="SimHei" w:cs="SimHei"/>
          <w:sz w:val="21"/>
          <w:szCs w:val="21"/>
        </w:rPr>
      </w:pPr>
      <w:bookmarkStart w:id="14" w:name="_bookmark16"/>
      <w:bookmarkEnd w:id="14"/>
      <w:r>
        <w:rPr>
          <w:rFonts w:ascii="Arial" w:hAnsi="Arial" w:eastAsia="Arial" w:cs="Arial"/>
          <w:color w:val="231F20"/>
          <w:spacing w:val="22"/>
          <w:sz w:val="20"/>
          <w:szCs w:val="20"/>
        </w:rPr>
        <w:t xml:space="preserve">20  </w:t>
      </w:r>
      <w:r>
        <w:rPr>
          <w:position w:val="-5"/>
          <w:sz w:val="20"/>
          <w:szCs w:val="20"/>
        </w:rPr>
        <w:drawing>
          <wp:inline distT="0" distB="0" distL="0" distR="0">
            <wp:extent cx="3175" cy="147320"/>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2"/>
          <w:sz w:val="20"/>
          <w:szCs w:val="20"/>
        </w:rPr>
        <w:t xml:space="preserve">   </w:t>
      </w:r>
      <w:r>
        <w:rPr>
          <w:rFonts w:ascii="宋体" w:hAnsi="宋体" w:eastAsia="宋体" w:cs="宋体"/>
          <w:color w:val="537DBF"/>
          <w:spacing w:val="22"/>
          <w:sz w:val="21"/>
          <w:szCs w:val="21"/>
        </w:rPr>
        <w:t xml:space="preserve">中国外商投资报告 2022 </w:t>
      </w:r>
      <w:r>
        <w:rPr>
          <w:position w:val="-5"/>
          <w:sz w:val="21"/>
          <w:szCs w:val="21"/>
        </w:rPr>
        <w:drawing>
          <wp:inline distT="0" distB="0" distL="0" distR="0">
            <wp:extent cx="3175" cy="14732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2"/>
          <w:sz w:val="21"/>
          <w:szCs w:val="21"/>
        </w:rPr>
        <w:t xml:space="preserve">  </w:t>
      </w:r>
      <w:r>
        <w:rPr>
          <w:rFonts w:ascii="SimHei" w:hAnsi="SimHei" w:eastAsia="SimHei" w:cs="SimHei"/>
          <w:color w:val="1A67B3"/>
          <w:spacing w:val="22"/>
          <w:sz w:val="21"/>
          <w:szCs w:val="21"/>
          <w14:textOutline w14:w="3175" w14:cap="flat" w14:cmpd="sng">
            <w14:solidFill>
              <w14:srgbClr w14:val="1A67B3"/>
            </w14:solidFill>
            <w14:prstDash w14:val="solid"/>
            <w14:miter w14:val="0"/>
          </w14:textOutline>
        </w:rPr>
        <w:t>综合</w:t>
      </w:r>
      <w:r>
        <w:rPr>
          <w:rFonts w:ascii="SimHei" w:hAnsi="SimHei" w:eastAsia="SimHei" w:cs="SimHei"/>
          <w:color w:val="1A67B3"/>
          <w:spacing w:val="18"/>
          <w:sz w:val="21"/>
          <w:szCs w:val="21"/>
          <w14:textOutline w14:w="3175" w14:cap="flat" w14:cmpd="sng">
            <w14:solidFill>
              <w14:srgbClr w14:val="1A67B3"/>
            </w14:solidFill>
            <w14:prstDash w14:val="solid"/>
            <w14:miter w14:val="0"/>
          </w14:textOutline>
        </w:rPr>
        <w:t>篇</w:t>
      </w: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94" w:line="259" w:lineRule="auto"/>
        <w:ind w:left="1988" w:right="1873" w:firstLine="2"/>
        <w:rPr>
          <w:rFonts w:ascii="微软雅黑" w:hAnsi="微软雅黑" w:eastAsia="微软雅黑" w:cs="微软雅黑"/>
          <w:sz w:val="22"/>
          <w:szCs w:val="22"/>
        </w:rPr>
      </w:pPr>
      <w:r>
        <w:rPr>
          <w:rFonts w:ascii="微软雅黑" w:hAnsi="微软雅黑" w:eastAsia="微软雅黑" w:cs="微软雅黑"/>
          <w:color w:val="231F20"/>
          <w:spacing w:val="-12"/>
          <w:sz w:val="22"/>
          <w:szCs w:val="22"/>
        </w:rPr>
        <w:t>稳”“</w:t>
      </w:r>
      <w:r>
        <w:rPr>
          <w:rFonts w:ascii="微软雅黑" w:hAnsi="微软雅黑" w:eastAsia="微软雅黑" w:cs="微软雅黑"/>
          <w:color w:val="231F20"/>
          <w:spacing w:val="-9"/>
          <w:sz w:val="22"/>
          <w:szCs w:val="22"/>
        </w:rPr>
        <w:t>六</w:t>
      </w:r>
      <w:r>
        <w:rPr>
          <w:rFonts w:ascii="微软雅黑" w:hAnsi="微软雅黑" w:eastAsia="微软雅黑" w:cs="微软雅黑"/>
          <w:color w:val="231F20"/>
          <w:spacing w:val="-6"/>
          <w:sz w:val="22"/>
          <w:szCs w:val="22"/>
        </w:rPr>
        <w:t xml:space="preserve">保”进一步做好“放管服”改革有关工作的意见》  ( 国办发〔 </w:t>
      </w:r>
      <w:r>
        <w:rPr>
          <w:rFonts w:ascii="Times New Roman" w:hAnsi="Times New Roman" w:eastAsia="Times New Roman" w:cs="Times New Roman"/>
          <w:color w:val="231F20"/>
          <w:spacing w:val="-6"/>
          <w:sz w:val="22"/>
          <w:szCs w:val="22"/>
        </w:rPr>
        <w:t xml:space="preserve">2021 </w:t>
      </w:r>
      <w:r>
        <w:rPr>
          <w:rFonts w:ascii="微软雅黑" w:hAnsi="微软雅黑" w:eastAsia="微软雅黑" w:cs="微软雅黑"/>
          <w:color w:val="231F20"/>
          <w:spacing w:val="-6"/>
          <w:sz w:val="22"/>
          <w:szCs w:val="22"/>
        </w:rPr>
        <w:t>〕</w:t>
      </w:r>
      <w:r>
        <w:rPr>
          <w:rFonts w:ascii="Times New Roman" w:hAnsi="Times New Roman" w:eastAsia="Times New Roman" w:cs="Times New Roman"/>
          <w:color w:val="231F20"/>
          <w:spacing w:val="-6"/>
          <w:sz w:val="22"/>
          <w:szCs w:val="22"/>
        </w:rPr>
        <w:t xml:space="preserve">10 </w:t>
      </w:r>
      <w:r>
        <w:rPr>
          <w:rFonts w:ascii="微软雅黑" w:hAnsi="微软雅黑" w:eastAsia="微软雅黑" w:cs="微软雅黑"/>
          <w:color w:val="231F20"/>
          <w:spacing w:val="-6"/>
          <w:sz w:val="22"/>
          <w:szCs w:val="22"/>
        </w:rPr>
        <w:t>号 )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从就业环境、</w:t>
      </w:r>
      <w:r>
        <w:rPr>
          <w:rFonts w:ascii="微软雅黑" w:hAnsi="微软雅黑" w:eastAsia="微软雅黑" w:cs="微软雅黑"/>
          <w:color w:val="231F20"/>
          <w:spacing w:val="-2"/>
          <w:sz w:val="22"/>
          <w:szCs w:val="22"/>
        </w:rPr>
        <w:t>涉企审批、扩大内需、民生服务供给、公正监管五个方面提出简化涉企业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事项手续、优化投资项目审批流程、完善外商投资信息报告制度等措施 ，着力减轻企</w:t>
      </w:r>
      <w:r>
        <w:rPr>
          <w:rFonts w:ascii="微软雅黑" w:hAnsi="微软雅黑" w:eastAsia="微软雅黑" w:cs="微软雅黑"/>
          <w:color w:val="231F20"/>
          <w:spacing w:val="-1"/>
          <w:sz w:val="22"/>
          <w:szCs w:val="22"/>
        </w:rPr>
        <w:t>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经营负担，激发市场主体活力</w:t>
      </w:r>
      <w:r>
        <w:rPr>
          <w:rFonts w:ascii="微软雅黑" w:hAnsi="微软雅黑" w:eastAsia="微软雅黑" w:cs="微软雅黑"/>
          <w:color w:val="231F20"/>
          <w:spacing w:val="-2"/>
          <w:sz w:val="22"/>
          <w:szCs w:val="22"/>
        </w:rPr>
        <w:t>。</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6 </w:t>
      </w:r>
      <w:r>
        <w:rPr>
          <w:rFonts w:ascii="微软雅黑" w:hAnsi="微软雅黑" w:eastAsia="微软雅黑" w:cs="微软雅黑"/>
          <w:color w:val="231F20"/>
          <w:spacing w:val="-2"/>
          <w:sz w:val="22"/>
          <w:szCs w:val="22"/>
        </w:rPr>
        <w:t xml:space="preserve">月 </w:t>
      </w:r>
      <w:r>
        <w:rPr>
          <w:rFonts w:ascii="Times New Roman" w:hAnsi="Times New Roman" w:eastAsia="Times New Roman" w:cs="Times New Roman"/>
          <w:color w:val="231F20"/>
          <w:spacing w:val="-2"/>
          <w:sz w:val="22"/>
          <w:szCs w:val="22"/>
        </w:rPr>
        <w:t xml:space="preserve">3 </w:t>
      </w:r>
      <w:r>
        <w:rPr>
          <w:rFonts w:ascii="微软雅黑" w:hAnsi="微软雅黑" w:eastAsia="微软雅黑" w:cs="微软雅黑"/>
          <w:color w:val="231F20"/>
          <w:spacing w:val="-2"/>
          <w:sz w:val="22"/>
          <w:szCs w:val="22"/>
        </w:rPr>
        <w:t>日 ，国务院印发《关于深化“证照分离”</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2"/>
          <w:sz w:val="22"/>
          <w:szCs w:val="22"/>
        </w:rPr>
        <w:t>改革</w:t>
      </w:r>
      <w:r>
        <w:rPr>
          <w:rFonts w:ascii="微软雅黑" w:hAnsi="微软雅黑" w:eastAsia="微软雅黑" w:cs="微软雅黑"/>
          <w:color w:val="231F20"/>
          <w:spacing w:val="-11"/>
          <w:sz w:val="22"/>
          <w:szCs w:val="22"/>
        </w:rPr>
        <w:t>进</w:t>
      </w:r>
      <w:r>
        <w:rPr>
          <w:rFonts w:ascii="微软雅黑" w:hAnsi="微软雅黑" w:eastAsia="微软雅黑" w:cs="微软雅黑"/>
          <w:color w:val="231F20"/>
          <w:spacing w:val="-6"/>
          <w:sz w:val="22"/>
          <w:szCs w:val="22"/>
        </w:rPr>
        <w:t xml:space="preserve">一步激发市场主体发展活力的通知》   ( 国发〔 </w:t>
      </w:r>
      <w:r>
        <w:rPr>
          <w:rFonts w:ascii="Times New Roman" w:hAnsi="Times New Roman" w:eastAsia="Times New Roman" w:cs="Times New Roman"/>
          <w:color w:val="231F20"/>
          <w:spacing w:val="-6"/>
          <w:sz w:val="22"/>
          <w:szCs w:val="22"/>
        </w:rPr>
        <w:t xml:space="preserve">2021 </w:t>
      </w:r>
      <w:r>
        <w:rPr>
          <w:rFonts w:ascii="微软雅黑" w:hAnsi="微软雅黑" w:eastAsia="微软雅黑" w:cs="微软雅黑"/>
          <w:color w:val="231F20"/>
          <w:spacing w:val="-6"/>
          <w:sz w:val="22"/>
          <w:szCs w:val="22"/>
        </w:rPr>
        <w:t>〕</w:t>
      </w:r>
      <w:r>
        <w:rPr>
          <w:rFonts w:ascii="Times New Roman" w:hAnsi="Times New Roman" w:eastAsia="Times New Roman" w:cs="Times New Roman"/>
          <w:color w:val="231F20"/>
          <w:spacing w:val="-6"/>
          <w:sz w:val="22"/>
          <w:szCs w:val="22"/>
        </w:rPr>
        <w:t xml:space="preserve">7 </w:t>
      </w:r>
      <w:r>
        <w:rPr>
          <w:rFonts w:ascii="微软雅黑" w:hAnsi="微软雅黑" w:eastAsia="微软雅黑" w:cs="微软雅黑"/>
          <w:color w:val="231F20"/>
          <w:spacing w:val="-6"/>
          <w:sz w:val="22"/>
          <w:szCs w:val="22"/>
        </w:rPr>
        <w:t>号 )  ，在全国范围内实施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涉企经营许可事项全覆盖清单管理，</w:t>
      </w:r>
      <w:r>
        <w:rPr>
          <w:rFonts w:ascii="Times New Roman" w:hAnsi="Times New Roman" w:eastAsia="Times New Roman" w:cs="Times New Roman"/>
          <w:color w:val="231F20"/>
          <w:spacing w:val="-1"/>
          <w:sz w:val="22"/>
          <w:szCs w:val="22"/>
        </w:rPr>
        <w:t xml:space="preserve">523 </w:t>
      </w:r>
      <w:r>
        <w:rPr>
          <w:rFonts w:ascii="微软雅黑" w:hAnsi="微软雅黑" w:eastAsia="微软雅黑" w:cs="微软雅黑"/>
          <w:color w:val="231F20"/>
          <w:spacing w:val="-1"/>
          <w:sz w:val="22"/>
          <w:szCs w:val="22"/>
        </w:rPr>
        <w:t>项中央层面设定的涉企经</w:t>
      </w:r>
      <w:r>
        <w:rPr>
          <w:rFonts w:ascii="微软雅黑" w:hAnsi="微软雅黑" w:eastAsia="微软雅黑" w:cs="微软雅黑"/>
          <w:color w:val="231F20"/>
          <w:sz w:val="22"/>
          <w:szCs w:val="22"/>
        </w:rPr>
        <w:t xml:space="preserve">营许可事项按照直接 </w:t>
      </w:r>
      <w:r>
        <w:rPr>
          <w:rFonts w:ascii="微软雅黑" w:hAnsi="微软雅黑" w:eastAsia="微软雅黑" w:cs="微软雅黑"/>
          <w:color w:val="231F20"/>
          <w:spacing w:val="-4"/>
          <w:sz w:val="22"/>
          <w:szCs w:val="22"/>
        </w:rPr>
        <w:t>取消审批、</w:t>
      </w:r>
      <w:r>
        <w:rPr>
          <w:rFonts w:ascii="微软雅黑" w:hAnsi="微软雅黑" w:eastAsia="微软雅黑" w:cs="微软雅黑"/>
          <w:color w:val="231F20"/>
          <w:spacing w:val="-2"/>
          <w:sz w:val="22"/>
          <w:szCs w:val="22"/>
        </w:rPr>
        <w:t>审批改为备案、实行告知承诺、优化审批服务等四种方式分类推进审批制度</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2"/>
          <w:sz w:val="22"/>
          <w:szCs w:val="22"/>
        </w:rPr>
        <w:t>改革，</w:t>
      </w:r>
      <w:r>
        <w:rPr>
          <w:rFonts w:ascii="微软雅黑" w:hAnsi="微软雅黑" w:eastAsia="微软雅黑" w:cs="微软雅黑"/>
          <w:color w:val="231F20"/>
          <w:spacing w:val="-10"/>
          <w:sz w:val="22"/>
          <w:szCs w:val="22"/>
        </w:rPr>
        <w:t xml:space="preserve"> </w:t>
      </w:r>
      <w:r>
        <w:rPr>
          <w:rFonts w:ascii="微软雅黑" w:hAnsi="微软雅黑" w:eastAsia="微软雅黑" w:cs="微软雅黑"/>
          <w:color w:val="231F20"/>
          <w:spacing w:val="-6"/>
          <w:sz w:val="22"/>
          <w:szCs w:val="22"/>
        </w:rPr>
        <w:t xml:space="preserve"> 同时在自由贸易试验区进一步加大改革试点力度。</w:t>
      </w:r>
    </w:p>
    <w:p>
      <w:pPr>
        <w:spacing w:before="175" w:line="258" w:lineRule="auto"/>
        <w:ind w:left="1993" w:right="1914" w:firstLine="460"/>
        <w:rPr>
          <w:rFonts w:ascii="微软雅黑" w:hAnsi="微软雅黑" w:eastAsia="微软雅黑" w:cs="微软雅黑"/>
          <w:sz w:val="22"/>
          <w:szCs w:val="22"/>
        </w:rPr>
      </w:pPr>
      <w:r>
        <w:rPr>
          <w:rFonts w:ascii="SimHei" w:hAnsi="SimHei" w:eastAsia="SimHei" w:cs="SimHei"/>
          <w:color w:val="231F20"/>
          <w:spacing w:val="-8"/>
          <w:sz w:val="22"/>
          <w:szCs w:val="22"/>
        </w:rPr>
        <w:t>简</w:t>
      </w:r>
      <w:r>
        <w:rPr>
          <w:rFonts w:ascii="SimHei" w:hAnsi="SimHei" w:eastAsia="SimHei" w:cs="SimHei"/>
          <w:color w:val="231F20"/>
          <w:spacing w:val="-5"/>
          <w:sz w:val="22"/>
          <w:szCs w:val="22"/>
        </w:rPr>
        <w:t>化</w:t>
      </w:r>
      <w:r>
        <w:rPr>
          <w:rFonts w:ascii="SimHei" w:hAnsi="SimHei" w:eastAsia="SimHei" w:cs="SimHei"/>
          <w:color w:val="231F20"/>
          <w:spacing w:val="-4"/>
          <w:sz w:val="22"/>
          <w:szCs w:val="22"/>
        </w:rPr>
        <w:t xml:space="preserve">涉税业务办理手续和流程。 </w:t>
      </w:r>
      <w:r>
        <w:rPr>
          <w:rFonts w:ascii="微软雅黑" w:hAnsi="微软雅黑" w:eastAsia="微软雅黑" w:cs="微软雅黑"/>
          <w:color w:val="231F20"/>
          <w:spacing w:val="-4"/>
          <w:sz w:val="22"/>
          <w:szCs w:val="22"/>
        </w:rPr>
        <w:t>为优化企业涉税业务，简化退税、缴税办理手续，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4"/>
          <w:sz w:val="22"/>
          <w:szCs w:val="22"/>
        </w:rPr>
        <w:t>国家税</w:t>
      </w:r>
      <w:r>
        <w:rPr>
          <w:rFonts w:ascii="微软雅黑" w:hAnsi="微软雅黑" w:eastAsia="微软雅黑" w:cs="微软雅黑"/>
          <w:color w:val="231F20"/>
          <w:spacing w:val="13"/>
          <w:sz w:val="22"/>
          <w:szCs w:val="22"/>
        </w:rPr>
        <w:t>务</w:t>
      </w:r>
      <w:r>
        <w:rPr>
          <w:rFonts w:ascii="微软雅黑" w:hAnsi="微软雅黑" w:eastAsia="微软雅黑" w:cs="微软雅黑"/>
          <w:color w:val="231F20"/>
          <w:spacing w:val="7"/>
          <w:sz w:val="22"/>
          <w:szCs w:val="22"/>
        </w:rPr>
        <w:t>总局先后发布《关于优化整合出口退税信息系统 更好服务纳税人有关事项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的公告》   </w:t>
      </w:r>
      <w:r>
        <w:rPr>
          <w:rFonts w:ascii="微软雅黑" w:hAnsi="微软雅黑" w:eastAsia="微软雅黑" w:cs="微软雅黑"/>
          <w:color w:val="231F20"/>
          <w:spacing w:val="3"/>
          <w:sz w:val="22"/>
          <w:szCs w:val="22"/>
        </w:rPr>
        <w:t xml:space="preserve">( 税务总局公告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 xml:space="preserve">年第 </w:t>
      </w:r>
      <w:r>
        <w:rPr>
          <w:rFonts w:ascii="Times New Roman" w:hAnsi="Times New Roman" w:eastAsia="Times New Roman" w:cs="Times New Roman"/>
          <w:color w:val="231F20"/>
          <w:spacing w:val="3"/>
          <w:sz w:val="22"/>
          <w:szCs w:val="22"/>
        </w:rPr>
        <w:t xml:space="preserve">15 </w:t>
      </w:r>
      <w:r>
        <w:rPr>
          <w:rFonts w:ascii="微软雅黑" w:hAnsi="微软雅黑" w:eastAsia="微软雅黑" w:cs="微软雅黑"/>
          <w:color w:val="231F20"/>
          <w:spacing w:val="3"/>
          <w:sz w:val="22"/>
          <w:szCs w:val="22"/>
        </w:rPr>
        <w:t>号 )  、《关于部分税务证明事项实行告知承</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诺制 进一步</w:t>
      </w:r>
      <w:r>
        <w:rPr>
          <w:rFonts w:ascii="微软雅黑" w:hAnsi="微软雅黑" w:eastAsia="微软雅黑" w:cs="微软雅黑"/>
          <w:color w:val="231F20"/>
          <w:spacing w:val="5"/>
          <w:sz w:val="22"/>
          <w:szCs w:val="22"/>
        </w:rPr>
        <w:t>优</w:t>
      </w:r>
      <w:r>
        <w:rPr>
          <w:rFonts w:ascii="微软雅黑" w:hAnsi="微软雅黑" w:eastAsia="微软雅黑" w:cs="微软雅黑"/>
          <w:color w:val="231F20"/>
          <w:spacing w:val="3"/>
          <w:sz w:val="22"/>
          <w:szCs w:val="22"/>
        </w:rPr>
        <w:t xml:space="preserve">化纳税服务的公告》   ( 国家税务总局公告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 xml:space="preserve">年第 </w:t>
      </w:r>
      <w:r>
        <w:rPr>
          <w:rFonts w:ascii="Times New Roman" w:hAnsi="Times New Roman" w:eastAsia="Times New Roman" w:cs="Times New Roman"/>
          <w:color w:val="231F20"/>
          <w:spacing w:val="3"/>
          <w:sz w:val="22"/>
          <w:szCs w:val="22"/>
        </w:rPr>
        <w:t xml:space="preserve">21 </w:t>
      </w:r>
      <w:r>
        <w:rPr>
          <w:rFonts w:ascii="微软雅黑" w:hAnsi="微软雅黑" w:eastAsia="微软雅黑" w:cs="微软雅黑"/>
          <w:color w:val="231F20"/>
          <w:spacing w:val="3"/>
          <w:sz w:val="22"/>
          <w:szCs w:val="22"/>
        </w:rPr>
        <w:t>号 ) 和《关于</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进</w:t>
      </w:r>
      <w:r>
        <w:rPr>
          <w:rFonts w:ascii="微软雅黑" w:hAnsi="微软雅黑" w:eastAsia="微软雅黑" w:cs="微软雅黑"/>
          <w:color w:val="231F20"/>
          <w:spacing w:val="2"/>
          <w:sz w:val="22"/>
          <w:szCs w:val="22"/>
        </w:rPr>
        <w:t>一步深化税务领域“放管服”改革培育和激发市场主体活力若干措施的通知》  ( 税</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总</w:t>
      </w:r>
      <w:r>
        <w:rPr>
          <w:rFonts w:ascii="微软雅黑" w:hAnsi="微软雅黑" w:eastAsia="微软雅黑" w:cs="微软雅黑"/>
          <w:color w:val="231F20"/>
          <w:spacing w:val="-2"/>
          <w:sz w:val="22"/>
          <w:szCs w:val="22"/>
        </w:rPr>
        <w:t xml:space="preserve">征科发〔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w:t>
      </w:r>
      <w:r>
        <w:rPr>
          <w:rFonts w:ascii="Times New Roman" w:hAnsi="Times New Roman" w:eastAsia="Times New Roman" w:cs="Times New Roman"/>
          <w:color w:val="231F20"/>
          <w:spacing w:val="-2"/>
          <w:sz w:val="22"/>
          <w:szCs w:val="22"/>
        </w:rPr>
        <w:t xml:space="preserve">69 </w:t>
      </w:r>
      <w:r>
        <w:rPr>
          <w:rFonts w:ascii="微软雅黑" w:hAnsi="微软雅黑" w:eastAsia="微软雅黑" w:cs="微软雅黑"/>
          <w:color w:val="231F20"/>
          <w:spacing w:val="-2"/>
          <w:sz w:val="22"/>
          <w:szCs w:val="22"/>
        </w:rPr>
        <w:t>号 ) 等文件，大幅简并优化了出口退 ( 免 ) 税申报 、报送资料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办</w:t>
      </w:r>
      <w:r>
        <w:rPr>
          <w:rFonts w:ascii="微软雅黑" w:hAnsi="微软雅黑" w:eastAsia="微软雅黑" w:cs="微软雅黑"/>
          <w:color w:val="231F20"/>
          <w:spacing w:val="7"/>
          <w:sz w:val="22"/>
          <w:szCs w:val="22"/>
        </w:rPr>
        <w:t>税</w:t>
      </w:r>
      <w:r>
        <w:rPr>
          <w:rFonts w:ascii="微软雅黑" w:hAnsi="微软雅黑" w:eastAsia="微软雅黑" w:cs="微软雅黑"/>
          <w:color w:val="231F20"/>
          <w:spacing w:val="5"/>
          <w:sz w:val="22"/>
          <w:szCs w:val="22"/>
        </w:rPr>
        <w:t xml:space="preserve">程序 、证明开具和分类管理等措施 ，在全国范围内对 </w:t>
      </w:r>
      <w:r>
        <w:rPr>
          <w:rFonts w:ascii="Times New Roman" w:hAnsi="Times New Roman" w:eastAsia="Times New Roman" w:cs="Times New Roman"/>
          <w:color w:val="231F20"/>
          <w:spacing w:val="5"/>
          <w:sz w:val="22"/>
          <w:szCs w:val="22"/>
        </w:rPr>
        <w:t xml:space="preserve">6 </w:t>
      </w:r>
      <w:r>
        <w:rPr>
          <w:rFonts w:ascii="微软雅黑" w:hAnsi="微软雅黑" w:eastAsia="微软雅黑" w:cs="微软雅黑"/>
          <w:color w:val="231F20"/>
          <w:spacing w:val="5"/>
          <w:sz w:val="22"/>
          <w:szCs w:val="22"/>
        </w:rPr>
        <w:t>项税务证明事项实行告</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知承诺制</w:t>
      </w:r>
      <w:r>
        <w:rPr>
          <w:rFonts w:ascii="微软雅黑" w:hAnsi="微软雅黑" w:eastAsia="微软雅黑" w:cs="微软雅黑"/>
          <w:color w:val="231F20"/>
          <w:spacing w:val="2"/>
          <w:sz w:val="22"/>
          <w:szCs w:val="22"/>
        </w:rPr>
        <w:t>，  简化土地增值税免税事项办理 ，推行税收事项容缺办理 ，提升办税缴费</w:t>
      </w:r>
      <w:r>
        <w:rPr>
          <w:rFonts w:ascii="微软雅黑" w:hAnsi="微软雅黑" w:eastAsia="微软雅黑" w:cs="微软雅黑"/>
          <w:color w:val="231F20"/>
          <w:sz w:val="22"/>
          <w:szCs w:val="22"/>
        </w:rPr>
        <w:t xml:space="preserve"> 便利度。</w:t>
      </w:r>
    </w:p>
    <w:p>
      <w:pPr>
        <w:spacing w:before="170" w:line="202" w:lineRule="auto"/>
        <w:ind w:left="2447"/>
        <w:rPr>
          <w:rFonts w:ascii="微软雅黑" w:hAnsi="微软雅黑" w:eastAsia="微软雅黑" w:cs="微软雅黑"/>
          <w:sz w:val="22"/>
          <w:szCs w:val="22"/>
        </w:rPr>
      </w:pPr>
      <w:r>
        <w:rPr>
          <w:rFonts w:ascii="SimHei" w:hAnsi="SimHei" w:eastAsia="SimHei" w:cs="SimHei"/>
          <w:color w:val="231F20"/>
          <w:spacing w:val="2"/>
          <w:sz w:val="22"/>
          <w:szCs w:val="22"/>
        </w:rPr>
        <w:t>完善企业进入和退出市场机</w:t>
      </w:r>
      <w:r>
        <w:rPr>
          <w:rFonts w:ascii="SimHei" w:hAnsi="SimHei" w:eastAsia="SimHei" w:cs="SimHei"/>
          <w:color w:val="231F20"/>
          <w:spacing w:val="1"/>
          <w:sz w:val="22"/>
          <w:szCs w:val="22"/>
        </w:rPr>
        <w:t>制。</w:t>
      </w:r>
      <w:r>
        <w:rPr>
          <w:rFonts w:ascii="微软雅黑" w:hAnsi="微软雅黑" w:eastAsia="微软雅黑" w:cs="微软雅黑"/>
          <w:color w:val="231F20"/>
          <w:spacing w:val="1"/>
          <w:sz w:val="22"/>
          <w:szCs w:val="22"/>
        </w:rPr>
        <w:t>为提升企业开办服务水平 ，优化企业市场退出机</w:t>
      </w:r>
    </w:p>
    <w:p>
      <w:pPr>
        <w:spacing w:before="88" w:line="257" w:lineRule="auto"/>
        <w:ind w:left="1987" w:right="1892" w:firstLine="10"/>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制 ，市场监管总局联合相关部门发布《关于进</w:t>
      </w:r>
      <w:r>
        <w:rPr>
          <w:rFonts w:ascii="微软雅黑" w:hAnsi="微软雅黑" w:eastAsia="微软雅黑" w:cs="微软雅黑"/>
          <w:color w:val="231F20"/>
          <w:spacing w:val="1"/>
          <w:sz w:val="22"/>
          <w:szCs w:val="22"/>
        </w:rPr>
        <w:t>一步加大改革力度不断提升企业开办服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7"/>
          <w:sz w:val="22"/>
          <w:szCs w:val="22"/>
        </w:rPr>
        <w:t>务</w:t>
      </w:r>
      <w:r>
        <w:rPr>
          <w:rFonts w:ascii="微软雅黑" w:hAnsi="微软雅黑" w:eastAsia="微软雅黑" w:cs="微软雅黑"/>
          <w:color w:val="231F20"/>
          <w:spacing w:val="-4"/>
          <w:sz w:val="22"/>
          <w:szCs w:val="22"/>
        </w:rPr>
        <w:t xml:space="preserve">水平的通知》   ( 国市监注发〔 </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w:t>
      </w:r>
      <w:r>
        <w:rPr>
          <w:rFonts w:ascii="Times New Roman" w:hAnsi="Times New Roman" w:eastAsia="Times New Roman" w:cs="Times New Roman"/>
          <w:color w:val="231F20"/>
          <w:spacing w:val="-4"/>
          <w:sz w:val="22"/>
          <w:szCs w:val="22"/>
        </w:rPr>
        <w:t xml:space="preserve">24 </w:t>
      </w:r>
      <w:r>
        <w:rPr>
          <w:rFonts w:ascii="微软雅黑" w:hAnsi="微软雅黑" w:eastAsia="微软雅黑" w:cs="微软雅黑"/>
          <w:color w:val="231F20"/>
          <w:spacing w:val="-4"/>
          <w:sz w:val="22"/>
          <w:szCs w:val="22"/>
        </w:rPr>
        <w:t>号 )  、《关于进一步完善简易注销登记便捷</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 xml:space="preserve">中小微企业市场退出的通知》   ( 国市监注发〔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w:t>
      </w:r>
      <w:r>
        <w:rPr>
          <w:rFonts w:ascii="Times New Roman" w:hAnsi="Times New Roman" w:eastAsia="Times New Roman" w:cs="Times New Roman"/>
          <w:color w:val="231F20"/>
          <w:spacing w:val="-3"/>
          <w:sz w:val="22"/>
          <w:szCs w:val="22"/>
        </w:rPr>
        <w:t xml:space="preserve">45 </w:t>
      </w:r>
      <w:r>
        <w:rPr>
          <w:rFonts w:ascii="微软雅黑" w:hAnsi="微软雅黑" w:eastAsia="微软雅黑" w:cs="微软雅黑"/>
          <w:color w:val="231F20"/>
          <w:spacing w:val="-3"/>
          <w:sz w:val="22"/>
          <w:szCs w:val="22"/>
        </w:rPr>
        <w:t>号 ) 等文件，提出探索</w:t>
      </w:r>
      <w:r>
        <w:rPr>
          <w:rFonts w:ascii="微软雅黑" w:hAnsi="微软雅黑" w:eastAsia="微软雅黑" w:cs="微软雅黑"/>
          <w:color w:val="231F20"/>
          <w:sz w:val="22"/>
          <w:szCs w:val="22"/>
        </w:rPr>
        <w:t xml:space="preserve">将外商 </w:t>
      </w:r>
      <w:r>
        <w:rPr>
          <w:rFonts w:ascii="微软雅黑" w:hAnsi="微软雅黑" w:eastAsia="微软雅黑" w:cs="微软雅黑"/>
          <w:color w:val="231F20"/>
          <w:spacing w:val="-2"/>
          <w:sz w:val="22"/>
          <w:szCs w:val="22"/>
        </w:rPr>
        <w:t>投资企业开办纳入“ 一 网通办”平台 、</w:t>
      </w:r>
      <w:r>
        <w:rPr>
          <w:rFonts w:ascii="微软雅黑" w:hAnsi="微软雅黑" w:eastAsia="微软雅黑" w:cs="微软雅黑"/>
          <w:color w:val="231F20"/>
          <w:spacing w:val="-1"/>
          <w:sz w:val="22"/>
          <w:szCs w:val="22"/>
        </w:rPr>
        <w:t>扩大电子营业执照和电子印章同步发放和应用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试点范围 、推进企业开办标准化规范化 、</w:t>
      </w:r>
      <w:r>
        <w:rPr>
          <w:rFonts w:ascii="微软雅黑" w:hAnsi="微软雅黑" w:eastAsia="微软雅黑" w:cs="微软雅黑"/>
          <w:color w:val="231F20"/>
          <w:sz w:val="22"/>
          <w:szCs w:val="22"/>
        </w:rPr>
        <w:t xml:space="preserve">实行中小微企业简易注销登记等具体措施 ，  </w:t>
      </w:r>
      <w:r>
        <w:rPr>
          <w:rFonts w:ascii="微软雅黑" w:hAnsi="微软雅黑" w:eastAsia="微软雅黑" w:cs="微软雅黑"/>
          <w:color w:val="231F20"/>
          <w:spacing w:val="-2"/>
          <w:sz w:val="22"/>
          <w:szCs w:val="22"/>
        </w:rPr>
        <w:t>破解企业开办遇到的痛点 、难点问题，畅通市场</w:t>
      </w:r>
      <w:r>
        <w:rPr>
          <w:rFonts w:ascii="微软雅黑" w:hAnsi="微软雅黑" w:eastAsia="微软雅黑" w:cs="微软雅黑"/>
          <w:color w:val="231F20"/>
          <w:spacing w:val="-1"/>
          <w:sz w:val="22"/>
          <w:szCs w:val="22"/>
        </w:rPr>
        <w:t>主体退出渠道，提高市场主体活跃度。</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在此基础上，</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 xml:space="preserve">11 </w:t>
      </w:r>
      <w:r>
        <w:rPr>
          <w:rFonts w:ascii="微软雅黑" w:hAnsi="微软雅黑" w:eastAsia="微软雅黑" w:cs="微软雅黑"/>
          <w:color w:val="231F20"/>
          <w:spacing w:val="-4"/>
          <w:sz w:val="22"/>
          <w:szCs w:val="22"/>
        </w:rPr>
        <w:t>月，国务院印发《关于开展营商环境创新试点工作的意见》( 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发〔 </w:t>
      </w:r>
      <w:r>
        <w:rPr>
          <w:rFonts w:ascii="Times New Roman" w:hAnsi="Times New Roman" w:eastAsia="Times New Roman" w:cs="Times New Roman"/>
          <w:color w:val="231F20"/>
          <w:spacing w:val="-6"/>
          <w:sz w:val="22"/>
          <w:szCs w:val="22"/>
        </w:rPr>
        <w:t>2</w:t>
      </w:r>
      <w:r>
        <w:rPr>
          <w:rFonts w:ascii="Times New Roman" w:hAnsi="Times New Roman" w:eastAsia="Times New Roman" w:cs="Times New Roman"/>
          <w:color w:val="231F20"/>
          <w:spacing w:val="-5"/>
          <w:sz w:val="22"/>
          <w:szCs w:val="22"/>
        </w:rPr>
        <w:t>0</w:t>
      </w:r>
      <w:r>
        <w:rPr>
          <w:rFonts w:ascii="Times New Roman" w:hAnsi="Times New Roman" w:eastAsia="Times New Roman" w:cs="Times New Roman"/>
          <w:color w:val="231F20"/>
          <w:spacing w:val="-3"/>
          <w:sz w:val="22"/>
          <w:szCs w:val="22"/>
        </w:rPr>
        <w:t xml:space="preserve">21 </w:t>
      </w:r>
      <w:r>
        <w:rPr>
          <w:rFonts w:ascii="微软雅黑" w:hAnsi="微软雅黑" w:eastAsia="微软雅黑" w:cs="微软雅黑"/>
          <w:color w:val="231F20"/>
          <w:spacing w:val="-3"/>
          <w:sz w:val="22"/>
          <w:szCs w:val="22"/>
        </w:rPr>
        <w:t>〕</w:t>
      </w:r>
      <w:r>
        <w:rPr>
          <w:rFonts w:ascii="Times New Roman" w:hAnsi="Times New Roman" w:eastAsia="Times New Roman" w:cs="Times New Roman"/>
          <w:color w:val="231F20"/>
          <w:spacing w:val="-3"/>
          <w:sz w:val="22"/>
          <w:szCs w:val="22"/>
        </w:rPr>
        <w:t xml:space="preserve">24 </w:t>
      </w:r>
      <w:r>
        <w:rPr>
          <w:rFonts w:ascii="微软雅黑" w:hAnsi="微软雅黑" w:eastAsia="微软雅黑" w:cs="微软雅黑"/>
          <w:color w:val="231F20"/>
          <w:spacing w:val="-3"/>
          <w:sz w:val="22"/>
          <w:szCs w:val="22"/>
        </w:rPr>
        <w:t>号 )  ，也将健全更加开放透明 、规范高效的市场主体准入和退出机制作</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为</w:t>
      </w:r>
      <w:r>
        <w:rPr>
          <w:rFonts w:ascii="微软雅黑" w:hAnsi="微软雅黑" w:eastAsia="微软雅黑" w:cs="微软雅黑"/>
          <w:color w:val="231F20"/>
          <w:spacing w:val="-5"/>
          <w:sz w:val="22"/>
          <w:szCs w:val="22"/>
        </w:rPr>
        <w:t>重</w:t>
      </w:r>
      <w:r>
        <w:rPr>
          <w:rFonts w:ascii="微软雅黑" w:hAnsi="微软雅黑" w:eastAsia="微软雅黑" w:cs="微软雅黑"/>
          <w:color w:val="231F20"/>
          <w:spacing w:val="-3"/>
          <w:sz w:val="22"/>
          <w:szCs w:val="22"/>
        </w:rPr>
        <w:t>要改革事项之一 ，提出拓展企业开办“ 一 网通办”业务范围 ，进一步便利企业开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立银行账户 ，试行企业登记信息变更网上办理；</w:t>
      </w:r>
      <w:r>
        <w:rPr>
          <w:rFonts w:ascii="微软雅黑" w:hAnsi="微软雅黑" w:eastAsia="微软雅黑" w:cs="微软雅黑"/>
          <w:color w:val="231F20"/>
          <w:spacing w:val="-1"/>
          <w:sz w:val="22"/>
          <w:szCs w:val="22"/>
        </w:rPr>
        <w:t xml:space="preserve">  探索建立市场主体除名制度，优化破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产企业土地 、房产处置程序 ，优化破产案件财</w:t>
      </w:r>
      <w:r>
        <w:rPr>
          <w:rFonts w:ascii="微软雅黑" w:hAnsi="微软雅黑" w:eastAsia="微软雅黑" w:cs="微软雅黑"/>
          <w:color w:val="231F20"/>
          <w:spacing w:val="-1"/>
          <w:sz w:val="22"/>
          <w:szCs w:val="22"/>
        </w:rPr>
        <w:t>产解封及处置机制等措施 ，便利企业开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办和退出市场。</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81798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5"/>
        <w:rPr>
          <w:rFonts w:ascii="Arial" w:hAnsi="Arial" w:eastAsia="Arial" w:cs="Arial"/>
          <w:sz w:val="20"/>
          <w:szCs w:val="20"/>
        </w:rPr>
      </w:pPr>
      <w:bookmarkStart w:id="15" w:name="_bookmark97"/>
      <w:bookmarkEnd w:id="15"/>
      <w:bookmarkStart w:id="16" w:name="_bookmark98"/>
      <w:bookmarkEnd w:id="16"/>
      <w:r>
        <w:rPr>
          <w:rFonts w:ascii="SimHei" w:hAnsi="SimHei" w:eastAsia="SimHei" w:cs="SimHei"/>
          <w:color w:val="1A67B3"/>
          <w:spacing w:val="33"/>
          <w:position w:val="1"/>
          <w:sz w:val="21"/>
          <w:szCs w:val="21"/>
          <w14:textOutline w14:w="3175" w14:cap="flat" w14:cmpd="sng">
            <w14:solidFill>
              <w14:srgbClr w14:val="1A67B3"/>
            </w14:solidFill>
            <w14:prstDash w14:val="solid"/>
            <w14:miter w14:val="0"/>
          </w14:textOutline>
        </w:rPr>
        <w:t>综</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合篇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21</w:t>
      </w: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71" w:line="214"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深化贸易投资便利化改革，提升贸易投资便</w:t>
      </w:r>
      <w:r>
        <w:rPr>
          <w:rFonts w:ascii="KaiTi" w:hAnsi="KaiTi" w:eastAsia="KaiTi" w:cs="KaiTi"/>
          <w:color w:val="015DAC"/>
          <w:sz w:val="22"/>
          <w:szCs w:val="22"/>
        </w:rPr>
        <w:t>利化水平</w:t>
      </w:r>
    </w:p>
    <w:p>
      <w:pPr>
        <w:spacing w:line="270" w:lineRule="auto"/>
        <w:rPr>
          <w:rFonts w:ascii="Arial"/>
          <w:sz w:val="21"/>
        </w:rPr>
      </w:pPr>
    </w:p>
    <w:p>
      <w:pPr>
        <w:spacing w:before="94" w:line="263" w:lineRule="auto"/>
        <w:ind w:left="1994" w:right="1978" w:firstLine="529"/>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为进一步推进贸易投资便利化 ，加快构建以国内大循环为</w:t>
      </w:r>
      <w:r>
        <w:rPr>
          <w:rFonts w:ascii="微软雅黑" w:hAnsi="微软雅黑" w:eastAsia="微软雅黑" w:cs="微软雅黑"/>
          <w:color w:val="231F20"/>
          <w:sz w:val="22"/>
          <w:szCs w:val="22"/>
        </w:rPr>
        <w:t xml:space="preserve">主体、国内国际双循环 </w:t>
      </w:r>
      <w:r>
        <w:rPr>
          <w:rFonts w:ascii="微软雅黑" w:hAnsi="微软雅黑" w:eastAsia="微软雅黑" w:cs="微软雅黑"/>
          <w:color w:val="231F20"/>
          <w:spacing w:val="2"/>
          <w:sz w:val="22"/>
          <w:szCs w:val="22"/>
        </w:rPr>
        <w:t>相互促进的新发展格局，</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年国务院和相关部委出台了推进自由贸易试验区</w:t>
      </w:r>
      <w:r>
        <w:rPr>
          <w:rFonts w:ascii="微软雅黑" w:hAnsi="微软雅黑" w:eastAsia="微软雅黑" w:cs="微软雅黑"/>
          <w:color w:val="231F20"/>
          <w:spacing w:val="1"/>
          <w:sz w:val="22"/>
          <w:szCs w:val="22"/>
        </w:rPr>
        <w:t>、</w:t>
      </w:r>
      <w:r>
        <w:rPr>
          <w:rFonts w:ascii="微软雅黑" w:hAnsi="微软雅黑" w:eastAsia="微软雅黑" w:cs="微软雅黑"/>
          <w:color w:val="231F20"/>
          <w:sz w:val="22"/>
          <w:szCs w:val="22"/>
        </w:rPr>
        <w:t xml:space="preserve">海南 </w:t>
      </w:r>
      <w:r>
        <w:rPr>
          <w:rFonts w:ascii="微软雅黑" w:hAnsi="微软雅黑" w:eastAsia="微软雅黑" w:cs="微软雅黑"/>
          <w:color w:val="231F20"/>
          <w:spacing w:val="1"/>
          <w:sz w:val="22"/>
          <w:szCs w:val="22"/>
        </w:rPr>
        <w:t xml:space="preserve">自 </w:t>
      </w:r>
      <w:r>
        <w:rPr>
          <w:rFonts w:ascii="微软雅黑" w:hAnsi="微软雅黑" w:eastAsia="微软雅黑" w:cs="微软雅黑"/>
          <w:color w:val="231F20"/>
          <w:sz w:val="22"/>
          <w:szCs w:val="22"/>
        </w:rPr>
        <w:t xml:space="preserve">由贸易港贸易自由化便利化和促进服务贸易创新发展等相关文件 ，提升贸易投资便 </w:t>
      </w:r>
      <w:r>
        <w:rPr>
          <w:rFonts w:ascii="微软雅黑" w:hAnsi="微软雅黑" w:eastAsia="微软雅黑" w:cs="微软雅黑"/>
          <w:color w:val="231F20"/>
          <w:spacing w:val="-1"/>
          <w:sz w:val="22"/>
          <w:szCs w:val="22"/>
        </w:rPr>
        <w:t>利</w:t>
      </w:r>
      <w:r>
        <w:rPr>
          <w:rFonts w:ascii="微软雅黑" w:hAnsi="微软雅黑" w:eastAsia="微软雅黑" w:cs="微软雅黑"/>
          <w:color w:val="231F20"/>
          <w:sz w:val="22"/>
          <w:szCs w:val="22"/>
        </w:rPr>
        <w:t>化水平。</w:t>
      </w:r>
    </w:p>
    <w:p>
      <w:pPr>
        <w:spacing w:before="161" w:line="256" w:lineRule="auto"/>
        <w:ind w:left="1991" w:right="1863" w:firstLine="459"/>
        <w:rPr>
          <w:rFonts w:ascii="微软雅黑" w:hAnsi="微软雅黑" w:eastAsia="微软雅黑" w:cs="微软雅黑"/>
          <w:sz w:val="22"/>
          <w:szCs w:val="22"/>
        </w:rPr>
      </w:pPr>
      <w:r>
        <w:rPr>
          <w:rFonts w:ascii="SimHei" w:hAnsi="SimHei" w:eastAsia="SimHei" w:cs="SimHei"/>
          <w:color w:val="231F20"/>
          <w:spacing w:val="-2"/>
          <w:sz w:val="22"/>
          <w:szCs w:val="22"/>
        </w:rPr>
        <w:t>创新自贸试验区贸易投资便利化改革举措。</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8 </w:t>
      </w:r>
      <w:r>
        <w:rPr>
          <w:rFonts w:ascii="微软雅黑" w:hAnsi="微软雅黑" w:eastAsia="微软雅黑" w:cs="微软雅黑"/>
          <w:color w:val="231F20"/>
          <w:spacing w:val="-2"/>
          <w:sz w:val="22"/>
          <w:szCs w:val="22"/>
        </w:rPr>
        <w:t>月，  国务院印发《关</w:t>
      </w:r>
      <w:r>
        <w:rPr>
          <w:rFonts w:ascii="微软雅黑" w:hAnsi="微软雅黑" w:eastAsia="微软雅黑" w:cs="微软雅黑"/>
          <w:color w:val="231F20"/>
          <w:spacing w:val="-1"/>
          <w:sz w:val="22"/>
          <w:szCs w:val="22"/>
        </w:rPr>
        <w:t>于</w:t>
      </w:r>
      <w:r>
        <w:rPr>
          <w:rFonts w:ascii="微软雅黑" w:hAnsi="微软雅黑" w:eastAsia="微软雅黑" w:cs="微软雅黑"/>
          <w:color w:val="231F20"/>
          <w:sz w:val="22"/>
          <w:szCs w:val="22"/>
        </w:rPr>
        <w:t xml:space="preserve">推进  </w:t>
      </w:r>
      <w:r>
        <w:rPr>
          <w:rFonts w:ascii="微软雅黑" w:hAnsi="微软雅黑" w:eastAsia="微软雅黑" w:cs="微软雅黑"/>
          <w:color w:val="231F20"/>
          <w:spacing w:val="-4"/>
          <w:sz w:val="22"/>
          <w:szCs w:val="22"/>
        </w:rPr>
        <w:t xml:space="preserve">自由贸易试验区贸易投资便利化改革创新的若干措施》   ( 国发〔 </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w:t>
      </w:r>
      <w:r>
        <w:rPr>
          <w:rFonts w:ascii="Times New Roman" w:hAnsi="Times New Roman" w:eastAsia="Times New Roman" w:cs="Times New Roman"/>
          <w:color w:val="231F20"/>
          <w:spacing w:val="-4"/>
          <w:sz w:val="22"/>
          <w:szCs w:val="22"/>
        </w:rPr>
        <w:t xml:space="preserve">12 </w:t>
      </w:r>
      <w:r>
        <w:rPr>
          <w:rFonts w:ascii="微软雅黑" w:hAnsi="微软雅黑" w:eastAsia="微软雅黑" w:cs="微软雅黑"/>
          <w:color w:val="231F20"/>
          <w:spacing w:val="-4"/>
          <w:sz w:val="22"/>
          <w:szCs w:val="22"/>
        </w:rPr>
        <w:t>号 )  ，有</w:t>
      </w:r>
      <w:r>
        <w:rPr>
          <w:rFonts w:ascii="微软雅黑" w:hAnsi="微软雅黑" w:eastAsia="微软雅黑" w:cs="微软雅黑"/>
          <w:color w:val="231F20"/>
          <w:spacing w:val="-3"/>
          <w:sz w:val="22"/>
          <w:szCs w:val="22"/>
        </w:rPr>
        <w:t>针</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对性地提出了 </w:t>
      </w:r>
      <w:r>
        <w:rPr>
          <w:rFonts w:ascii="Times New Roman" w:hAnsi="Times New Roman" w:eastAsia="Times New Roman" w:cs="Times New Roman"/>
          <w:color w:val="231F20"/>
          <w:spacing w:val="4"/>
          <w:sz w:val="22"/>
          <w:szCs w:val="22"/>
        </w:rPr>
        <w:t xml:space="preserve">19 </w:t>
      </w:r>
      <w:r>
        <w:rPr>
          <w:rFonts w:ascii="微软雅黑" w:hAnsi="微软雅黑" w:eastAsia="微软雅黑" w:cs="微软雅黑"/>
          <w:color w:val="231F20"/>
          <w:spacing w:val="4"/>
          <w:sz w:val="22"/>
          <w:szCs w:val="22"/>
        </w:rPr>
        <w:t>条具体</w:t>
      </w:r>
      <w:r>
        <w:rPr>
          <w:rFonts w:ascii="微软雅黑" w:hAnsi="微软雅黑" w:eastAsia="微软雅黑" w:cs="微软雅黑"/>
          <w:color w:val="231F20"/>
          <w:spacing w:val="3"/>
          <w:sz w:val="22"/>
          <w:szCs w:val="22"/>
        </w:rPr>
        <w:t>措</w:t>
      </w:r>
      <w:r>
        <w:rPr>
          <w:rFonts w:ascii="微软雅黑" w:hAnsi="微软雅黑" w:eastAsia="微软雅黑" w:cs="微软雅黑"/>
          <w:color w:val="231F20"/>
          <w:spacing w:val="2"/>
          <w:sz w:val="22"/>
          <w:szCs w:val="22"/>
        </w:rPr>
        <w:t xml:space="preserve">施。整体来说有五个方面特点：  </w:t>
      </w:r>
      <w:r>
        <w:rPr>
          <w:rFonts w:ascii="SimHei" w:hAnsi="SimHei" w:eastAsia="SimHei" w:cs="SimHei"/>
          <w:color w:val="231F20"/>
          <w:spacing w:val="2"/>
          <w:sz w:val="22"/>
          <w:szCs w:val="22"/>
        </w:rPr>
        <w:t>一是提升贸易便利度。</w:t>
      </w:r>
      <w:r>
        <w:rPr>
          <w:rFonts w:ascii="微软雅黑" w:hAnsi="微软雅黑" w:eastAsia="微软雅黑" w:cs="微软雅黑"/>
          <w:color w:val="231F20"/>
          <w:spacing w:val="2"/>
          <w:sz w:val="22"/>
          <w:szCs w:val="22"/>
        </w:rPr>
        <w:t>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展贸易进口创新 ，支持自贸试验区所在地培育进口贸易促进创新示范区；释放新型</w:t>
      </w:r>
      <w:r>
        <w:rPr>
          <w:rFonts w:ascii="微软雅黑" w:hAnsi="微软雅黑" w:eastAsia="微软雅黑" w:cs="微软雅黑"/>
          <w:color w:val="231F20"/>
          <w:sz w:val="22"/>
          <w:szCs w:val="22"/>
        </w:rPr>
        <w:t xml:space="preserve">贸  </w:t>
      </w:r>
      <w:r>
        <w:rPr>
          <w:rFonts w:ascii="微软雅黑" w:hAnsi="微软雅黑" w:eastAsia="微软雅黑" w:cs="微软雅黑"/>
          <w:color w:val="231F20"/>
          <w:spacing w:val="-3"/>
          <w:sz w:val="22"/>
          <w:szCs w:val="22"/>
        </w:rPr>
        <w:t>易方式潜力 ，支持自贸试验区发展离岸贸易；  推进“两头在外”保税维修业务 ，支</w:t>
      </w:r>
      <w:r>
        <w:rPr>
          <w:rFonts w:ascii="微软雅黑" w:hAnsi="微软雅黑" w:eastAsia="微软雅黑" w:cs="微软雅黑"/>
          <w:color w:val="231F20"/>
          <w:spacing w:val="-2"/>
          <w:sz w:val="22"/>
          <w:szCs w:val="22"/>
        </w:rPr>
        <w:t>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自贸试验区内企业按照综</w:t>
      </w:r>
      <w:r>
        <w:rPr>
          <w:rFonts w:ascii="微软雅黑" w:hAnsi="微软雅黑" w:eastAsia="微软雅黑" w:cs="微软雅黑"/>
          <w:color w:val="231F20"/>
          <w:sz w:val="22"/>
          <w:szCs w:val="22"/>
        </w:rPr>
        <w:t xml:space="preserve">保区维修产品目录开展保税维修业务；  提升医药产品进口便 </w:t>
      </w:r>
      <w:r>
        <w:rPr>
          <w:rFonts w:ascii="微软雅黑" w:hAnsi="微软雅黑" w:eastAsia="微软雅黑" w:cs="微软雅黑"/>
          <w:color w:val="231F20"/>
          <w:spacing w:val="4"/>
          <w:sz w:val="22"/>
          <w:szCs w:val="22"/>
        </w:rPr>
        <w:t>利度 ，允许具备条件</w:t>
      </w:r>
      <w:r>
        <w:rPr>
          <w:rFonts w:ascii="微软雅黑" w:hAnsi="微软雅黑" w:eastAsia="微软雅黑" w:cs="微软雅黑"/>
          <w:color w:val="231F20"/>
          <w:spacing w:val="2"/>
          <w:sz w:val="22"/>
          <w:szCs w:val="22"/>
        </w:rPr>
        <w:t>的自贸试验区开展跨境电商零售进口部分药品及医疗器械业务。</w:t>
      </w:r>
      <w:r>
        <w:rPr>
          <w:rFonts w:ascii="微软雅黑" w:hAnsi="微软雅黑" w:eastAsia="微软雅黑" w:cs="微软雅黑"/>
          <w:color w:val="231F20"/>
          <w:sz w:val="22"/>
          <w:szCs w:val="22"/>
        </w:rPr>
        <w:t xml:space="preserve">  </w:t>
      </w:r>
      <w:r>
        <w:rPr>
          <w:rFonts w:ascii="SimHei" w:hAnsi="SimHei" w:eastAsia="SimHei" w:cs="SimHei"/>
          <w:color w:val="231F20"/>
          <w:spacing w:val="2"/>
          <w:sz w:val="22"/>
          <w:szCs w:val="22"/>
        </w:rPr>
        <w:t>二是提升投资便利度。</w:t>
      </w:r>
      <w:r>
        <w:rPr>
          <w:rFonts w:ascii="微软雅黑" w:hAnsi="微软雅黑" w:eastAsia="微软雅黑" w:cs="微软雅黑"/>
          <w:color w:val="231F20"/>
          <w:spacing w:val="2"/>
          <w:sz w:val="22"/>
          <w:szCs w:val="22"/>
        </w:rPr>
        <w:t>加大对港澳投资开放力度 ，将港澳服</w:t>
      </w:r>
      <w:r>
        <w:rPr>
          <w:rFonts w:ascii="微软雅黑" w:hAnsi="微软雅黑" w:eastAsia="微软雅黑" w:cs="微软雅黑"/>
          <w:color w:val="231F20"/>
          <w:spacing w:val="1"/>
          <w:sz w:val="22"/>
          <w:szCs w:val="22"/>
        </w:rPr>
        <w:t>务提供者在自贸试验区投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资</w:t>
      </w:r>
      <w:r>
        <w:rPr>
          <w:rFonts w:ascii="微软雅黑" w:hAnsi="微软雅黑" w:eastAsia="微软雅黑" w:cs="微软雅黑"/>
          <w:color w:val="231F20"/>
          <w:sz w:val="22"/>
          <w:szCs w:val="22"/>
        </w:rPr>
        <w:t xml:space="preserve">设立旅行社的审批权限，  由省级旅游主管部门下放到自贸试验区。放开国际登记船  </w:t>
      </w:r>
      <w:r>
        <w:rPr>
          <w:rFonts w:ascii="微软雅黑" w:hAnsi="微软雅黑" w:eastAsia="微软雅黑" w:cs="微软雅黑"/>
          <w:color w:val="231F20"/>
          <w:spacing w:val="2"/>
          <w:sz w:val="22"/>
          <w:szCs w:val="22"/>
        </w:rPr>
        <w:t>舶的法定检验 ，允许依法获批的境外船舶检验机构对自贸试验区</w:t>
      </w:r>
      <w:r>
        <w:rPr>
          <w:rFonts w:ascii="微软雅黑" w:hAnsi="微软雅黑" w:eastAsia="微软雅黑" w:cs="微软雅黑"/>
          <w:color w:val="231F20"/>
          <w:spacing w:val="1"/>
          <w:sz w:val="22"/>
          <w:szCs w:val="22"/>
        </w:rPr>
        <w:t>内国际登记船舶开展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法定检验。在自贸试验区实行产业链供地 ，对产业链关键</w:t>
      </w:r>
      <w:r>
        <w:rPr>
          <w:rFonts w:ascii="微软雅黑" w:hAnsi="微软雅黑" w:eastAsia="微软雅黑" w:cs="微软雅黑"/>
          <w:color w:val="231F20"/>
          <w:spacing w:val="1"/>
          <w:sz w:val="22"/>
          <w:szCs w:val="22"/>
        </w:rPr>
        <w:t>环节、核心项目涉及到的多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宗土地实行整体供应。</w:t>
      </w:r>
      <w:r>
        <w:rPr>
          <w:rFonts w:ascii="SimHei" w:hAnsi="SimHei" w:eastAsia="SimHei" w:cs="SimHei"/>
          <w:color w:val="231F20"/>
          <w:spacing w:val="2"/>
          <w:sz w:val="22"/>
          <w:szCs w:val="22"/>
        </w:rPr>
        <w:t>三是提升国际物流便利度。</w:t>
      </w:r>
      <w:r>
        <w:rPr>
          <w:rFonts w:ascii="微软雅黑" w:hAnsi="微软雅黑" w:eastAsia="微软雅黑" w:cs="微软雅黑"/>
          <w:color w:val="231F20"/>
          <w:spacing w:val="2"/>
          <w:sz w:val="22"/>
          <w:szCs w:val="22"/>
        </w:rPr>
        <w:t>推进</w:t>
      </w:r>
      <w:r>
        <w:rPr>
          <w:rFonts w:ascii="微软雅黑" w:hAnsi="微软雅黑" w:eastAsia="微软雅黑" w:cs="微软雅黑"/>
          <w:color w:val="231F20"/>
          <w:spacing w:val="1"/>
          <w:sz w:val="22"/>
          <w:szCs w:val="22"/>
        </w:rPr>
        <w:t>开放通道建设 ，支持自贸试验</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区所在城市有关的国际机场利用第五航权 ，在平等互利的基</w:t>
      </w:r>
      <w:r>
        <w:rPr>
          <w:rFonts w:ascii="微软雅黑" w:hAnsi="微软雅黑" w:eastAsia="微软雅黑" w:cs="微软雅黑"/>
          <w:color w:val="231F20"/>
          <w:spacing w:val="1"/>
          <w:sz w:val="22"/>
          <w:szCs w:val="22"/>
        </w:rPr>
        <w:t>础上允许外国航空公司承</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载该</w:t>
      </w:r>
      <w:r>
        <w:rPr>
          <w:rFonts w:ascii="微软雅黑" w:hAnsi="微软雅黑" w:eastAsia="微软雅黑" w:cs="微软雅黑"/>
          <w:color w:val="231F20"/>
          <w:sz w:val="22"/>
          <w:szCs w:val="22"/>
        </w:rPr>
        <w:t xml:space="preserve">城市到第三国的客货业务。支持自贸试验区试点多式联运“ 一单制”改革 ，鼓励  </w:t>
      </w:r>
      <w:r>
        <w:rPr>
          <w:rFonts w:ascii="微软雅黑" w:hAnsi="微软雅黑" w:eastAsia="微软雅黑" w:cs="微软雅黑"/>
          <w:color w:val="231F20"/>
          <w:spacing w:val="4"/>
          <w:sz w:val="22"/>
          <w:szCs w:val="22"/>
        </w:rPr>
        <w:t>自贸试验区制</w:t>
      </w:r>
      <w:r>
        <w:rPr>
          <w:rFonts w:ascii="微软雅黑" w:hAnsi="微软雅黑" w:eastAsia="微软雅黑" w:cs="微软雅黑"/>
          <w:color w:val="231F20"/>
          <w:spacing w:val="2"/>
          <w:sz w:val="22"/>
          <w:szCs w:val="22"/>
        </w:rPr>
        <w:t>定并推行标准化多式联运单证 ，研究出台铁路运输单证融资政策文件。</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提升航运管</w:t>
      </w:r>
      <w:r>
        <w:rPr>
          <w:rFonts w:ascii="微软雅黑" w:hAnsi="微软雅黑" w:eastAsia="微软雅黑" w:cs="微软雅黑"/>
          <w:color w:val="231F20"/>
          <w:sz w:val="22"/>
          <w:szCs w:val="22"/>
        </w:rPr>
        <w:t xml:space="preserve">理服务效率 ，将《船舶营业运输证》部分管理事项 ，也下放到自贸试验区  </w:t>
      </w:r>
      <w:r>
        <w:rPr>
          <w:rFonts w:ascii="微软雅黑" w:hAnsi="微软雅黑" w:eastAsia="微软雅黑" w:cs="微软雅黑"/>
          <w:color w:val="231F20"/>
          <w:spacing w:val="2"/>
          <w:sz w:val="22"/>
          <w:szCs w:val="22"/>
        </w:rPr>
        <w:t>所在地省级部门。</w:t>
      </w:r>
      <w:r>
        <w:rPr>
          <w:rFonts w:ascii="SimHei" w:hAnsi="SimHei" w:eastAsia="SimHei" w:cs="SimHei"/>
          <w:color w:val="231F20"/>
          <w:spacing w:val="2"/>
          <w:sz w:val="22"/>
          <w:szCs w:val="22"/>
        </w:rPr>
        <w:t>四是提升金融服务实体经济便利度。</w:t>
      </w:r>
      <w:r>
        <w:rPr>
          <w:rFonts w:ascii="微软雅黑" w:hAnsi="微软雅黑" w:eastAsia="微软雅黑" w:cs="微软雅黑"/>
          <w:color w:val="231F20"/>
          <w:spacing w:val="2"/>
          <w:sz w:val="22"/>
          <w:szCs w:val="22"/>
        </w:rPr>
        <w:t>在期货交易方面 ，提</w:t>
      </w:r>
      <w:r>
        <w:rPr>
          <w:rFonts w:ascii="微软雅黑" w:hAnsi="微软雅黑" w:eastAsia="微软雅黑" w:cs="微软雅黑"/>
          <w:color w:val="231F20"/>
          <w:sz w:val="22"/>
          <w:szCs w:val="22"/>
        </w:rPr>
        <w:t xml:space="preserve">出进一步  </w:t>
      </w:r>
      <w:r>
        <w:rPr>
          <w:rFonts w:ascii="微软雅黑" w:hAnsi="微软雅黑" w:eastAsia="微软雅黑" w:cs="微软雅黑"/>
          <w:color w:val="231F20"/>
          <w:spacing w:val="1"/>
          <w:sz w:val="22"/>
          <w:szCs w:val="22"/>
        </w:rPr>
        <w:t>丰富商品期货品种，加快引入境外交易者参与期货交易，完善期货保税</w:t>
      </w:r>
      <w:r>
        <w:rPr>
          <w:rFonts w:ascii="微软雅黑" w:hAnsi="微软雅黑" w:eastAsia="微软雅黑" w:cs="微软雅黑"/>
          <w:color w:val="231F20"/>
          <w:sz w:val="22"/>
          <w:szCs w:val="22"/>
        </w:rPr>
        <w:t xml:space="preserve">交割监管政策。 </w:t>
      </w:r>
      <w:r>
        <w:rPr>
          <w:rFonts w:ascii="微软雅黑" w:hAnsi="微软雅黑" w:eastAsia="微软雅黑" w:cs="微软雅黑"/>
          <w:color w:val="231F20"/>
          <w:spacing w:val="6"/>
          <w:sz w:val="22"/>
          <w:szCs w:val="22"/>
        </w:rPr>
        <w:t>开展本外币合一</w:t>
      </w:r>
      <w:r>
        <w:rPr>
          <w:rFonts w:ascii="微软雅黑" w:hAnsi="微软雅黑" w:eastAsia="微软雅黑" w:cs="微软雅黑"/>
          <w:color w:val="231F20"/>
          <w:spacing w:val="4"/>
          <w:sz w:val="22"/>
          <w:szCs w:val="22"/>
        </w:rPr>
        <w:t>银</w:t>
      </w:r>
      <w:r>
        <w:rPr>
          <w:rFonts w:ascii="微软雅黑" w:hAnsi="微软雅黑" w:eastAsia="微软雅黑" w:cs="微软雅黑"/>
          <w:color w:val="231F20"/>
          <w:spacing w:val="3"/>
          <w:sz w:val="22"/>
          <w:szCs w:val="22"/>
        </w:rPr>
        <w:t>行账户体系试点。推进融资租赁公司外债便利化试点。在符合条件</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的自贸试验区规</w:t>
      </w:r>
      <w:r>
        <w:rPr>
          <w:rFonts w:ascii="微软雅黑" w:hAnsi="微软雅黑" w:eastAsia="微软雅黑" w:cs="微软雅黑"/>
          <w:color w:val="231F20"/>
          <w:spacing w:val="3"/>
          <w:sz w:val="22"/>
          <w:szCs w:val="22"/>
        </w:rPr>
        <w:t>范探索知识产权证券化模式。</w:t>
      </w:r>
      <w:r>
        <w:rPr>
          <w:rFonts w:ascii="SimHei" w:hAnsi="SimHei" w:eastAsia="SimHei" w:cs="SimHei"/>
          <w:color w:val="231F20"/>
          <w:spacing w:val="3"/>
          <w:sz w:val="22"/>
          <w:szCs w:val="22"/>
        </w:rPr>
        <w:t>五是探索司法对贸易投资便利的保障功</w:t>
      </w:r>
      <w:r>
        <w:rPr>
          <w:rFonts w:ascii="SimHei" w:hAnsi="SimHei" w:eastAsia="SimHei" w:cs="SimHei"/>
          <w:color w:val="231F20"/>
          <w:sz w:val="22"/>
          <w:szCs w:val="22"/>
        </w:rPr>
        <w:t xml:space="preserve"> </w:t>
      </w:r>
      <w:r>
        <w:rPr>
          <w:rFonts w:ascii="SimHei" w:hAnsi="SimHei" w:eastAsia="SimHei" w:cs="SimHei"/>
          <w:color w:val="231F20"/>
          <w:spacing w:val="-3"/>
          <w:sz w:val="22"/>
          <w:szCs w:val="22"/>
        </w:rPr>
        <w:t xml:space="preserve">能。 </w:t>
      </w:r>
      <w:r>
        <w:rPr>
          <w:rFonts w:ascii="微软雅黑" w:hAnsi="微软雅黑" w:eastAsia="微软雅黑" w:cs="微软雅黑"/>
          <w:color w:val="231F20"/>
          <w:spacing w:val="-3"/>
          <w:sz w:val="22"/>
          <w:szCs w:val="22"/>
        </w:rPr>
        <w:t>探索赋予多式联运单证物权凭证功能 ，通过司法实践积累经验 ，为完善国</w:t>
      </w:r>
      <w:r>
        <w:rPr>
          <w:rFonts w:ascii="微软雅黑" w:hAnsi="微软雅黑" w:eastAsia="微软雅黑" w:cs="微软雅黑"/>
          <w:color w:val="231F20"/>
          <w:spacing w:val="-2"/>
          <w:sz w:val="22"/>
          <w:szCs w:val="22"/>
        </w:rPr>
        <w:t>内</w:t>
      </w:r>
      <w:r>
        <w:rPr>
          <w:rFonts w:ascii="微软雅黑" w:hAnsi="微软雅黑" w:eastAsia="微软雅黑" w:cs="微软雅黑"/>
          <w:color w:val="231F20"/>
          <w:sz w:val="22"/>
          <w:szCs w:val="22"/>
        </w:rPr>
        <w:t xml:space="preserve">相关  </w:t>
      </w:r>
      <w:r>
        <w:rPr>
          <w:rFonts w:ascii="微软雅黑" w:hAnsi="微软雅黑" w:eastAsia="微软雅黑" w:cs="微软雅黑"/>
          <w:color w:val="231F20"/>
          <w:spacing w:val="-5"/>
          <w:sz w:val="22"/>
          <w:szCs w:val="22"/>
        </w:rPr>
        <w:t>立法提供支撑，并推动在国际规则层面解决铁路运单物权凭证问题。同时，《若干措</w:t>
      </w:r>
      <w:r>
        <w:rPr>
          <w:rFonts w:ascii="微软雅黑" w:hAnsi="微软雅黑" w:eastAsia="微软雅黑" w:cs="微软雅黑"/>
          <w:color w:val="231F20"/>
          <w:spacing w:val="-4"/>
          <w:sz w:val="22"/>
          <w:szCs w:val="22"/>
        </w:rPr>
        <w:t>施</w:t>
      </w:r>
      <w:r>
        <w:rPr>
          <w:rFonts w:ascii="微软雅黑" w:hAnsi="微软雅黑" w:eastAsia="微软雅黑" w:cs="微软雅黑"/>
          <w:color w:val="231F20"/>
          <w:sz w:val="22"/>
          <w:szCs w:val="22"/>
        </w:rPr>
        <w:t xml:space="preserve">》 还提出完善仲裁司法审查，  明确就境外仲裁机构在自贸试验区设立的仲裁业务机构作  </w:t>
      </w:r>
      <w:r>
        <w:rPr>
          <w:rFonts w:ascii="微软雅黑" w:hAnsi="微软雅黑" w:eastAsia="微软雅黑" w:cs="微软雅黑"/>
          <w:color w:val="231F20"/>
          <w:spacing w:val="1"/>
          <w:sz w:val="22"/>
          <w:szCs w:val="22"/>
        </w:rPr>
        <w:t>出的仲裁裁决进行司法审查所涉及的</w:t>
      </w:r>
      <w:r>
        <w:rPr>
          <w:rFonts w:ascii="微软雅黑" w:hAnsi="微软雅黑" w:eastAsia="微软雅黑" w:cs="微软雅黑"/>
          <w:color w:val="231F20"/>
          <w:sz w:val="22"/>
          <w:szCs w:val="22"/>
        </w:rPr>
        <w:t>法律适用问题。</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81900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3"/>
        <w:rPr>
          <w:rFonts w:ascii="SimHei" w:hAnsi="SimHei" w:eastAsia="SimHei" w:cs="SimHei"/>
          <w:sz w:val="21"/>
          <w:szCs w:val="21"/>
        </w:rPr>
      </w:pPr>
      <w:bookmarkStart w:id="17" w:name="_bookmark18"/>
      <w:bookmarkEnd w:id="17"/>
      <w:bookmarkStart w:id="18" w:name="_bookmark17"/>
      <w:bookmarkEnd w:id="18"/>
      <w:r>
        <w:rPr>
          <w:rFonts w:ascii="Arial" w:hAnsi="Arial" w:eastAsia="Arial" w:cs="Arial"/>
          <w:color w:val="231F20"/>
          <w:spacing w:val="22"/>
          <w:sz w:val="20"/>
          <w:szCs w:val="20"/>
        </w:rPr>
        <w:t xml:space="preserve">22  </w:t>
      </w:r>
      <w:r>
        <w:rPr>
          <w:position w:val="-5"/>
          <w:sz w:val="20"/>
          <w:szCs w:val="20"/>
        </w:rPr>
        <w:drawing>
          <wp:inline distT="0" distB="0" distL="0" distR="0">
            <wp:extent cx="3175" cy="147320"/>
            <wp:effectExtent l="0" t="0" r="0" b="0"/>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2"/>
          <w:sz w:val="20"/>
          <w:szCs w:val="20"/>
        </w:rPr>
        <w:t xml:space="preserve">   </w:t>
      </w:r>
      <w:r>
        <w:rPr>
          <w:rFonts w:ascii="宋体" w:hAnsi="宋体" w:eastAsia="宋体" w:cs="宋体"/>
          <w:color w:val="537DBF"/>
          <w:spacing w:val="22"/>
          <w:sz w:val="21"/>
          <w:szCs w:val="21"/>
        </w:rPr>
        <w:t xml:space="preserve">中国外商投资报告 2022 </w:t>
      </w:r>
      <w:r>
        <w:rPr>
          <w:position w:val="-5"/>
          <w:sz w:val="21"/>
          <w:szCs w:val="21"/>
        </w:rPr>
        <w:drawing>
          <wp:inline distT="0" distB="0" distL="0" distR="0">
            <wp:extent cx="3175" cy="14732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2"/>
          <w:sz w:val="21"/>
          <w:szCs w:val="21"/>
        </w:rPr>
        <w:t xml:space="preserve">  </w:t>
      </w:r>
      <w:r>
        <w:rPr>
          <w:rFonts w:ascii="SimHei" w:hAnsi="SimHei" w:eastAsia="SimHei" w:cs="SimHei"/>
          <w:color w:val="1A67B3"/>
          <w:spacing w:val="22"/>
          <w:sz w:val="21"/>
          <w:szCs w:val="21"/>
          <w14:textOutline w14:w="3175" w14:cap="flat" w14:cmpd="sng">
            <w14:solidFill>
              <w14:srgbClr w14:val="1A67B3"/>
            </w14:solidFill>
            <w14:prstDash w14:val="solid"/>
            <w14:miter w14:val="0"/>
          </w14:textOutline>
        </w:rPr>
        <w:t>综合</w:t>
      </w:r>
      <w:r>
        <w:rPr>
          <w:rFonts w:ascii="SimHei" w:hAnsi="SimHei" w:eastAsia="SimHei" w:cs="SimHei"/>
          <w:color w:val="1A67B3"/>
          <w:spacing w:val="18"/>
          <w:sz w:val="21"/>
          <w:szCs w:val="21"/>
          <w14:textOutline w14:w="3175" w14:cap="flat" w14:cmpd="sng">
            <w14:solidFill>
              <w14:srgbClr w14:val="1A67B3"/>
            </w14:solidFill>
            <w14:prstDash w14:val="solid"/>
            <w14:miter w14:val="0"/>
          </w14:textOutline>
        </w:rPr>
        <w:t>篇</w: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94" w:line="257" w:lineRule="auto"/>
        <w:ind w:left="1986" w:right="1894" w:firstLine="458"/>
        <w:rPr>
          <w:rFonts w:ascii="微软雅黑" w:hAnsi="微软雅黑" w:eastAsia="微软雅黑" w:cs="微软雅黑"/>
          <w:sz w:val="22"/>
          <w:szCs w:val="22"/>
        </w:rPr>
      </w:pPr>
      <w:r>
        <w:rPr>
          <w:rFonts w:ascii="SimHei" w:hAnsi="SimHei" w:eastAsia="SimHei" w:cs="SimHei"/>
          <w:color w:val="231F20"/>
          <w:spacing w:val="-1"/>
          <w:sz w:val="22"/>
          <w:szCs w:val="22"/>
        </w:rPr>
        <w:t>推进海南自由贸易港贸易投资自由化便利化。</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4 </w:t>
      </w:r>
      <w:r>
        <w:rPr>
          <w:rFonts w:ascii="微软雅黑" w:hAnsi="微软雅黑" w:eastAsia="微软雅黑" w:cs="微软雅黑"/>
          <w:color w:val="231F20"/>
          <w:spacing w:val="-1"/>
          <w:sz w:val="22"/>
          <w:szCs w:val="22"/>
        </w:rPr>
        <w:t xml:space="preserve">月 </w:t>
      </w:r>
      <w:r>
        <w:rPr>
          <w:rFonts w:ascii="Times New Roman" w:hAnsi="Times New Roman" w:eastAsia="Times New Roman" w:cs="Times New Roman"/>
          <w:color w:val="231F20"/>
          <w:spacing w:val="-1"/>
          <w:sz w:val="22"/>
          <w:szCs w:val="22"/>
        </w:rPr>
        <w:t xml:space="preserve">19 </w:t>
      </w:r>
      <w:r>
        <w:rPr>
          <w:rFonts w:ascii="微软雅黑" w:hAnsi="微软雅黑" w:eastAsia="微软雅黑" w:cs="微软雅黑"/>
          <w:color w:val="231F20"/>
          <w:spacing w:val="-1"/>
          <w:sz w:val="22"/>
          <w:szCs w:val="22"/>
        </w:rPr>
        <w:t>日</w:t>
      </w:r>
      <w:r>
        <w:rPr>
          <w:rFonts w:ascii="微软雅黑" w:hAnsi="微软雅黑" w:eastAsia="微软雅黑" w:cs="微软雅黑"/>
          <w:color w:val="231F20"/>
          <w:sz w:val="22"/>
          <w:szCs w:val="22"/>
        </w:rPr>
        <w:t xml:space="preserve"> ，商务部等 </w:t>
      </w:r>
      <w:r>
        <w:rPr>
          <w:rFonts w:ascii="Times New Roman" w:hAnsi="Times New Roman" w:eastAsia="Times New Roman" w:cs="Times New Roman"/>
          <w:color w:val="231F20"/>
          <w:sz w:val="22"/>
          <w:szCs w:val="22"/>
        </w:rPr>
        <w:t xml:space="preserve">20 </w:t>
      </w:r>
      <w:r>
        <w:rPr>
          <w:rFonts w:ascii="微软雅黑" w:hAnsi="微软雅黑" w:eastAsia="微软雅黑" w:cs="微软雅黑"/>
          <w:color w:val="231F20"/>
          <w:sz w:val="22"/>
          <w:szCs w:val="22"/>
        </w:rPr>
        <w:t xml:space="preserve">部 </w:t>
      </w:r>
      <w:r>
        <w:rPr>
          <w:rFonts w:ascii="微软雅黑" w:hAnsi="微软雅黑" w:eastAsia="微软雅黑" w:cs="微软雅黑"/>
          <w:color w:val="231F20"/>
          <w:spacing w:val="1"/>
          <w:sz w:val="22"/>
          <w:szCs w:val="22"/>
        </w:rPr>
        <w:t>门联合印发《关于推进海南自由贸易港贸</w:t>
      </w:r>
      <w:r>
        <w:rPr>
          <w:rFonts w:ascii="微软雅黑" w:hAnsi="微软雅黑" w:eastAsia="微软雅黑" w:cs="微软雅黑"/>
          <w:color w:val="231F20"/>
          <w:sz w:val="22"/>
          <w:szCs w:val="22"/>
        </w:rPr>
        <w:t xml:space="preserve">易自由化便利化若干措施的通知》   ( 商自贸 </w:t>
      </w:r>
      <w:r>
        <w:rPr>
          <w:rFonts w:ascii="微软雅黑" w:hAnsi="微软雅黑" w:eastAsia="微软雅黑" w:cs="微软雅黑"/>
          <w:color w:val="231F20"/>
          <w:spacing w:val="-2"/>
          <w:sz w:val="22"/>
          <w:szCs w:val="22"/>
        </w:rPr>
        <w:t xml:space="preserve">发〔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1"/>
          <w:sz w:val="22"/>
          <w:szCs w:val="22"/>
        </w:rPr>
        <w:t>〕</w:t>
      </w:r>
      <w:r>
        <w:rPr>
          <w:rFonts w:ascii="Times New Roman" w:hAnsi="Times New Roman" w:eastAsia="Times New Roman" w:cs="Times New Roman"/>
          <w:color w:val="231F20"/>
          <w:spacing w:val="-1"/>
          <w:sz w:val="22"/>
          <w:szCs w:val="22"/>
        </w:rPr>
        <w:t xml:space="preserve">58 </w:t>
      </w:r>
      <w:r>
        <w:rPr>
          <w:rFonts w:ascii="微软雅黑" w:hAnsi="微软雅黑" w:eastAsia="微软雅黑" w:cs="微软雅黑"/>
          <w:color w:val="231F20"/>
          <w:spacing w:val="-1"/>
          <w:sz w:val="22"/>
          <w:szCs w:val="22"/>
        </w:rPr>
        <w:t xml:space="preserve">号 )  ，在货物贸易和服务贸易共出台 </w:t>
      </w:r>
      <w:r>
        <w:rPr>
          <w:rFonts w:ascii="Times New Roman" w:hAnsi="Times New Roman" w:eastAsia="Times New Roman" w:cs="Times New Roman"/>
          <w:color w:val="231F20"/>
          <w:spacing w:val="-1"/>
          <w:sz w:val="22"/>
          <w:szCs w:val="22"/>
        </w:rPr>
        <w:t xml:space="preserve">28 </w:t>
      </w:r>
      <w:r>
        <w:rPr>
          <w:rFonts w:ascii="微软雅黑" w:hAnsi="微软雅黑" w:eastAsia="微软雅黑" w:cs="微软雅黑"/>
          <w:color w:val="231F20"/>
          <w:spacing w:val="-1"/>
          <w:sz w:val="22"/>
          <w:szCs w:val="22"/>
        </w:rPr>
        <w:t>项具体政策措施。其中 ，货物</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贸易方面 ，在实行“ 一线”放开、“二线”管</w:t>
      </w:r>
      <w:r>
        <w:rPr>
          <w:rFonts w:ascii="微软雅黑" w:hAnsi="微软雅黑" w:eastAsia="微软雅黑" w:cs="微软雅黑"/>
          <w:color w:val="231F20"/>
          <w:spacing w:val="-1"/>
          <w:sz w:val="22"/>
          <w:szCs w:val="22"/>
        </w:rPr>
        <w:t>住的区域 ，对原油、成品油、机电和食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糖等货物提出有针对性的放宽限制安排。在服务贸易方面 ，提出支持境外机</w:t>
      </w:r>
      <w:r>
        <w:rPr>
          <w:rFonts w:ascii="微软雅黑" w:hAnsi="微软雅黑" w:eastAsia="微软雅黑" w:cs="微软雅黑"/>
          <w:color w:val="231F20"/>
          <w:sz w:val="22"/>
          <w:szCs w:val="22"/>
        </w:rPr>
        <w:t xml:space="preserve">构在海南 </w:t>
      </w:r>
      <w:r>
        <w:rPr>
          <w:rFonts w:ascii="微软雅黑" w:hAnsi="微软雅黑" w:eastAsia="微软雅黑" w:cs="微软雅黑"/>
          <w:color w:val="231F20"/>
          <w:spacing w:val="1"/>
          <w:sz w:val="22"/>
          <w:szCs w:val="22"/>
        </w:rPr>
        <w:t>办理涉外</w:t>
      </w:r>
      <w:r>
        <w:rPr>
          <w:rFonts w:ascii="微软雅黑" w:hAnsi="微软雅黑" w:eastAsia="微软雅黑" w:cs="微软雅黑"/>
          <w:color w:val="231F20"/>
          <w:sz w:val="22"/>
          <w:szCs w:val="22"/>
        </w:rPr>
        <w:t xml:space="preserve">会展、探索取消设立拍卖企业审核许可等创新举措，支持跨境服务贸易发展。 </w:t>
      </w:r>
      <w:r>
        <w:rPr>
          <w:rFonts w:ascii="微软雅黑" w:hAnsi="微软雅黑" w:eastAsia="微软雅黑" w:cs="微软雅黑"/>
          <w:color w:val="231F20"/>
          <w:spacing w:val="-4"/>
          <w:sz w:val="22"/>
          <w:szCs w:val="22"/>
        </w:rPr>
        <w:t>同时，为支持海南自由贸易港建设，</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 xml:space="preserve">3 </w:t>
      </w:r>
      <w:r>
        <w:rPr>
          <w:rFonts w:ascii="微软雅黑" w:hAnsi="微软雅黑" w:eastAsia="微软雅黑" w:cs="微软雅黑"/>
          <w:color w:val="231F20"/>
          <w:spacing w:val="-4"/>
          <w:sz w:val="22"/>
          <w:szCs w:val="22"/>
        </w:rPr>
        <w:t xml:space="preserve">月 </w:t>
      </w:r>
      <w:r>
        <w:rPr>
          <w:rFonts w:ascii="Times New Roman" w:hAnsi="Times New Roman" w:eastAsia="Times New Roman" w:cs="Times New Roman"/>
          <w:color w:val="231F20"/>
          <w:spacing w:val="-4"/>
          <w:sz w:val="22"/>
          <w:szCs w:val="22"/>
        </w:rPr>
        <w:t xml:space="preserve">10 </w:t>
      </w:r>
      <w:r>
        <w:rPr>
          <w:rFonts w:ascii="微软雅黑" w:hAnsi="微软雅黑" w:eastAsia="微软雅黑" w:cs="微软雅黑"/>
          <w:color w:val="231F20"/>
          <w:spacing w:val="-4"/>
          <w:sz w:val="22"/>
          <w:szCs w:val="22"/>
        </w:rPr>
        <w:t>日，人民银行、银保监会、证监会</w:t>
      </w:r>
      <w:r>
        <w:rPr>
          <w:rFonts w:ascii="微软雅黑" w:hAnsi="微软雅黑" w:eastAsia="微软雅黑" w:cs="微软雅黑"/>
          <w:color w:val="231F20"/>
          <w:spacing w:val="-1"/>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1"/>
          <w:sz w:val="22"/>
          <w:szCs w:val="22"/>
        </w:rPr>
        <w:t>外</w:t>
      </w:r>
      <w:r>
        <w:rPr>
          <w:rFonts w:ascii="微软雅黑" w:hAnsi="微软雅黑" w:eastAsia="微软雅黑" w:cs="微软雅黑"/>
          <w:color w:val="231F20"/>
          <w:spacing w:val="-6"/>
          <w:sz w:val="22"/>
          <w:szCs w:val="22"/>
        </w:rPr>
        <w:t xml:space="preserve">汇局联合印发《关于金融支持海南全面深化改革开放的意见》( 银发〔 </w:t>
      </w:r>
      <w:r>
        <w:rPr>
          <w:rFonts w:ascii="Times New Roman" w:hAnsi="Times New Roman" w:eastAsia="Times New Roman" w:cs="Times New Roman"/>
          <w:color w:val="231F20"/>
          <w:spacing w:val="-6"/>
          <w:sz w:val="22"/>
          <w:szCs w:val="22"/>
        </w:rPr>
        <w:t xml:space="preserve">2021 </w:t>
      </w:r>
      <w:r>
        <w:rPr>
          <w:rFonts w:ascii="微软雅黑" w:hAnsi="微软雅黑" w:eastAsia="微软雅黑" w:cs="微软雅黑"/>
          <w:color w:val="231F20"/>
          <w:spacing w:val="-6"/>
          <w:sz w:val="22"/>
          <w:szCs w:val="22"/>
        </w:rPr>
        <w:t>〕</w:t>
      </w:r>
      <w:r>
        <w:rPr>
          <w:rFonts w:ascii="Times New Roman" w:hAnsi="Times New Roman" w:eastAsia="Times New Roman" w:cs="Times New Roman"/>
          <w:color w:val="231F20"/>
          <w:spacing w:val="-6"/>
          <w:sz w:val="22"/>
          <w:szCs w:val="22"/>
        </w:rPr>
        <w:t xml:space="preserve">84 </w:t>
      </w:r>
      <w:r>
        <w:rPr>
          <w:rFonts w:ascii="微软雅黑" w:hAnsi="微软雅黑" w:eastAsia="微软雅黑" w:cs="微软雅黑"/>
          <w:color w:val="231F20"/>
          <w:spacing w:val="-6"/>
          <w:sz w:val="22"/>
          <w:szCs w:val="22"/>
        </w:rPr>
        <w:t>号 )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提出在风险可控前提下 ，允</w:t>
      </w:r>
      <w:r>
        <w:rPr>
          <w:rFonts w:ascii="微软雅黑" w:hAnsi="微软雅黑" w:eastAsia="微软雅黑" w:cs="微软雅黑"/>
          <w:color w:val="231F20"/>
          <w:sz w:val="22"/>
          <w:szCs w:val="22"/>
        </w:rPr>
        <w:t xml:space="preserve">许海南自由贸易港内合格境外有限合伙人 ( </w:t>
      </w:r>
      <w:r>
        <w:rPr>
          <w:rFonts w:ascii="Times New Roman" w:hAnsi="Times New Roman" w:eastAsia="Times New Roman" w:cs="Times New Roman"/>
          <w:color w:val="231F20"/>
          <w:sz w:val="22"/>
          <w:szCs w:val="22"/>
        </w:rPr>
        <w:t xml:space="preserve">QFLP </w:t>
      </w:r>
      <w:r>
        <w:rPr>
          <w:rFonts w:ascii="微软雅黑" w:hAnsi="微软雅黑" w:eastAsia="微软雅黑" w:cs="微软雅黑"/>
          <w:color w:val="231F20"/>
          <w:sz w:val="22"/>
          <w:szCs w:val="22"/>
        </w:rPr>
        <w:t xml:space="preserve">) 按照余 </w:t>
      </w:r>
      <w:r>
        <w:rPr>
          <w:rFonts w:ascii="微软雅黑" w:hAnsi="微软雅黑" w:eastAsia="微软雅黑" w:cs="微软雅黑"/>
          <w:color w:val="231F20"/>
          <w:spacing w:val="-2"/>
          <w:sz w:val="22"/>
          <w:szCs w:val="22"/>
        </w:rPr>
        <w:t>额管理模式自由汇出、汇入资金 ，简化外汇登记手续；</w:t>
      </w:r>
      <w:r>
        <w:rPr>
          <w:rFonts w:ascii="微软雅黑" w:hAnsi="微软雅黑" w:eastAsia="微软雅黑" w:cs="微软雅黑"/>
          <w:color w:val="231F20"/>
          <w:spacing w:val="-1"/>
          <w:sz w:val="22"/>
          <w:szCs w:val="22"/>
        </w:rPr>
        <w:t xml:space="preserve">  在海南开展本外币合一跨境资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金池业务试点 ，支持符合条件的跨国企业集团在境内外成员之间集中开展本</w:t>
      </w:r>
      <w:r>
        <w:rPr>
          <w:rFonts w:ascii="微软雅黑" w:hAnsi="微软雅黑" w:eastAsia="微软雅黑" w:cs="微软雅黑"/>
          <w:color w:val="231F20"/>
          <w:spacing w:val="1"/>
          <w:sz w:val="22"/>
          <w:szCs w:val="22"/>
        </w:rPr>
        <w:t>外</w:t>
      </w:r>
      <w:r>
        <w:rPr>
          <w:rFonts w:ascii="微软雅黑" w:hAnsi="微软雅黑" w:eastAsia="微软雅黑" w:cs="微软雅黑"/>
          <w:color w:val="231F20"/>
          <w:sz w:val="22"/>
          <w:szCs w:val="22"/>
        </w:rPr>
        <w:t xml:space="preserve">币资金 </w:t>
      </w:r>
      <w:r>
        <w:rPr>
          <w:rFonts w:ascii="微软雅黑" w:hAnsi="微软雅黑" w:eastAsia="微软雅黑" w:cs="微软雅黑"/>
          <w:color w:val="231F20"/>
          <w:spacing w:val="-2"/>
          <w:sz w:val="22"/>
          <w:szCs w:val="22"/>
        </w:rPr>
        <w:t>余缺调剂和归集业务 ，专户内资金按实需兑换</w:t>
      </w:r>
      <w:r>
        <w:rPr>
          <w:rFonts w:ascii="微软雅黑" w:hAnsi="微软雅黑" w:eastAsia="微软雅黑" w:cs="微软雅黑"/>
          <w:color w:val="231F20"/>
          <w:spacing w:val="-1"/>
          <w:sz w:val="22"/>
          <w:szCs w:val="22"/>
        </w:rPr>
        <w:t>；  支持境外金融机构在海南设立中外合</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 xml:space="preserve">资银行、支持符合条件的外资机构在海南依法合规获取支付业务许可证等系列措施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推动跨境资金流动自由便利、投融资汇兑便</w:t>
      </w:r>
      <w:r>
        <w:rPr>
          <w:rFonts w:ascii="微软雅黑" w:hAnsi="微软雅黑" w:eastAsia="微软雅黑" w:cs="微软雅黑"/>
          <w:color w:val="231F20"/>
          <w:sz w:val="22"/>
          <w:szCs w:val="22"/>
        </w:rPr>
        <w:t>利化。</w:t>
      </w:r>
    </w:p>
    <w:p>
      <w:pPr>
        <w:spacing w:before="171" w:line="257" w:lineRule="auto"/>
        <w:ind w:left="1993" w:right="1763" w:firstLine="454"/>
        <w:rPr>
          <w:rFonts w:ascii="微软雅黑" w:hAnsi="微软雅黑" w:eastAsia="微软雅黑" w:cs="微软雅黑"/>
          <w:sz w:val="22"/>
          <w:szCs w:val="22"/>
        </w:rPr>
      </w:pPr>
      <w:r>
        <w:rPr>
          <w:rFonts w:ascii="SimHei" w:hAnsi="SimHei" w:eastAsia="SimHei" w:cs="SimHei"/>
          <w:color w:val="231F20"/>
          <w:spacing w:val="-4"/>
          <w:sz w:val="22"/>
          <w:szCs w:val="22"/>
        </w:rPr>
        <w:t>调整法律法规和国</w:t>
      </w:r>
      <w:r>
        <w:rPr>
          <w:rFonts w:ascii="SimHei" w:hAnsi="SimHei" w:eastAsia="SimHei" w:cs="SimHei"/>
          <w:color w:val="231F20"/>
          <w:spacing w:val="-3"/>
          <w:sz w:val="22"/>
          <w:szCs w:val="22"/>
        </w:rPr>
        <w:t>务</w:t>
      </w:r>
      <w:r>
        <w:rPr>
          <w:rFonts w:ascii="SimHei" w:hAnsi="SimHei" w:eastAsia="SimHei" w:cs="SimHei"/>
          <w:color w:val="231F20"/>
          <w:spacing w:val="-2"/>
          <w:sz w:val="22"/>
          <w:szCs w:val="22"/>
        </w:rPr>
        <w:t>院文件促进服务贸易创新发展。</w:t>
      </w:r>
      <w:r>
        <w:rPr>
          <w:rFonts w:ascii="Times New Roman" w:hAnsi="Times New Roman" w:eastAsia="Times New Roman" w:cs="Times New Roman"/>
          <w:color w:val="231F20"/>
          <w:spacing w:val="-2"/>
          <w:sz w:val="22"/>
          <w:szCs w:val="22"/>
        </w:rPr>
        <w:t>2020</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8 </w:t>
      </w:r>
      <w:r>
        <w:rPr>
          <w:rFonts w:ascii="微软雅黑" w:hAnsi="微软雅黑" w:eastAsia="微软雅黑" w:cs="微软雅黑"/>
          <w:color w:val="231F20"/>
          <w:spacing w:val="-2"/>
          <w:sz w:val="22"/>
          <w:szCs w:val="22"/>
        </w:rPr>
        <w:t>月，中国在</w:t>
      </w:r>
      <w:r>
        <w:rPr>
          <w:rFonts w:ascii="Times New Roman" w:hAnsi="Times New Roman" w:eastAsia="Times New Roman" w:cs="Times New Roman"/>
          <w:color w:val="231F20"/>
          <w:spacing w:val="-2"/>
          <w:sz w:val="22"/>
          <w:szCs w:val="22"/>
        </w:rPr>
        <w:t xml:space="preserve">28 </w:t>
      </w:r>
      <w:r>
        <w:rPr>
          <w:rFonts w:ascii="微软雅黑" w:hAnsi="微软雅黑" w:eastAsia="微软雅黑" w:cs="微软雅黑"/>
          <w:color w:val="231F20"/>
          <w:spacing w:val="-2"/>
          <w:sz w:val="22"/>
          <w:szCs w:val="22"/>
        </w:rPr>
        <w:t>个省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市 ( 区域 )开展全面深化服务贸易创新发展试点工作，期限为 </w:t>
      </w:r>
      <w:r>
        <w:rPr>
          <w:rFonts w:ascii="Times New Roman" w:hAnsi="Times New Roman" w:eastAsia="Times New Roman" w:cs="Times New Roman"/>
          <w:color w:val="231F20"/>
          <w:spacing w:val="-2"/>
          <w:sz w:val="22"/>
          <w:szCs w:val="22"/>
        </w:rPr>
        <w:t xml:space="preserve">3 </w:t>
      </w:r>
      <w:r>
        <w:rPr>
          <w:rFonts w:ascii="微软雅黑" w:hAnsi="微软雅黑" w:eastAsia="微软雅黑" w:cs="微软雅黑"/>
          <w:color w:val="231F20"/>
          <w:spacing w:val="-2"/>
          <w:sz w:val="22"/>
          <w:szCs w:val="22"/>
        </w:rPr>
        <w:t>年。</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9 </w:t>
      </w:r>
      <w:r>
        <w:rPr>
          <w:rFonts w:ascii="微软雅黑" w:hAnsi="微软雅黑" w:eastAsia="微软雅黑" w:cs="微软雅黑"/>
          <w:color w:val="231F20"/>
          <w:spacing w:val="-2"/>
          <w:sz w:val="22"/>
          <w:szCs w:val="22"/>
        </w:rPr>
        <w:t xml:space="preserve">月 </w:t>
      </w:r>
      <w:r>
        <w:rPr>
          <w:rFonts w:ascii="Times New Roman" w:hAnsi="Times New Roman" w:eastAsia="Times New Roman" w:cs="Times New Roman"/>
          <w:color w:val="231F20"/>
          <w:spacing w:val="-2"/>
          <w:sz w:val="22"/>
          <w:szCs w:val="22"/>
        </w:rPr>
        <w:t xml:space="preserve">15 </w:t>
      </w:r>
      <w:r>
        <w:rPr>
          <w:rFonts w:ascii="微软雅黑" w:hAnsi="微软雅黑" w:eastAsia="微软雅黑" w:cs="微软雅黑"/>
          <w:color w:val="231F20"/>
          <w:spacing w:val="-2"/>
          <w:sz w:val="22"/>
          <w:szCs w:val="22"/>
        </w:rPr>
        <w:t>日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国务院印发《</w:t>
      </w:r>
      <w:r>
        <w:rPr>
          <w:rFonts w:ascii="微软雅黑" w:hAnsi="微软雅黑" w:eastAsia="微软雅黑" w:cs="微软雅黑"/>
          <w:color w:val="231F20"/>
          <w:spacing w:val="4"/>
          <w:sz w:val="22"/>
          <w:szCs w:val="22"/>
        </w:rPr>
        <w:t>关</w:t>
      </w:r>
      <w:r>
        <w:rPr>
          <w:rFonts w:ascii="微软雅黑" w:hAnsi="微软雅黑" w:eastAsia="微软雅黑" w:cs="微软雅黑"/>
          <w:color w:val="231F20"/>
          <w:spacing w:val="3"/>
          <w:sz w:val="22"/>
          <w:szCs w:val="22"/>
        </w:rPr>
        <w:t>于同意在全面深化服务贸易创新发展试点地区暂时调整实施有关行政</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法规和国务院文</w:t>
      </w:r>
      <w:r>
        <w:rPr>
          <w:rFonts w:ascii="微软雅黑" w:hAnsi="微软雅黑" w:eastAsia="微软雅黑" w:cs="微软雅黑"/>
          <w:color w:val="231F20"/>
          <w:spacing w:val="-5"/>
          <w:sz w:val="22"/>
          <w:szCs w:val="22"/>
        </w:rPr>
        <w:t>件</w:t>
      </w:r>
      <w:r>
        <w:rPr>
          <w:rFonts w:ascii="微软雅黑" w:hAnsi="微软雅黑" w:eastAsia="微软雅黑" w:cs="微软雅黑"/>
          <w:color w:val="231F20"/>
          <w:spacing w:val="-4"/>
          <w:sz w:val="22"/>
          <w:szCs w:val="22"/>
        </w:rPr>
        <w:t xml:space="preserve">规定的批复》   ( 国函〔 </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w:t>
      </w:r>
      <w:r>
        <w:rPr>
          <w:rFonts w:ascii="Times New Roman" w:hAnsi="Times New Roman" w:eastAsia="Times New Roman" w:cs="Times New Roman"/>
          <w:color w:val="231F20"/>
          <w:spacing w:val="-4"/>
          <w:sz w:val="22"/>
          <w:szCs w:val="22"/>
        </w:rPr>
        <w:t xml:space="preserve">94 </w:t>
      </w:r>
      <w:r>
        <w:rPr>
          <w:rFonts w:ascii="微软雅黑" w:hAnsi="微软雅黑" w:eastAsia="微软雅黑" w:cs="微软雅黑"/>
          <w:color w:val="231F20"/>
          <w:spacing w:val="-4"/>
          <w:sz w:val="22"/>
          <w:szCs w:val="22"/>
        </w:rPr>
        <w:t xml:space="preserve">号 )  ，通过调整 </w:t>
      </w:r>
      <w:r>
        <w:rPr>
          <w:rFonts w:ascii="Times New Roman" w:hAnsi="Times New Roman" w:eastAsia="Times New Roman" w:cs="Times New Roman"/>
          <w:color w:val="231F20"/>
          <w:spacing w:val="-4"/>
          <w:sz w:val="22"/>
          <w:szCs w:val="22"/>
        </w:rPr>
        <w:t xml:space="preserve">7 </w:t>
      </w:r>
      <w:r>
        <w:rPr>
          <w:rFonts w:ascii="微软雅黑" w:hAnsi="微软雅黑" w:eastAsia="微软雅黑" w:cs="微软雅黑"/>
          <w:color w:val="231F20"/>
          <w:spacing w:val="-4"/>
          <w:sz w:val="22"/>
          <w:szCs w:val="22"/>
        </w:rPr>
        <w:t>项法规和规定 ，</w:t>
      </w:r>
      <w:r>
        <w:rPr>
          <w:rFonts w:ascii="微软雅黑" w:hAnsi="微软雅黑" w:eastAsia="微软雅黑" w:cs="微软雅黑"/>
          <w:color w:val="231F20"/>
          <w:sz w:val="22"/>
          <w:szCs w:val="22"/>
        </w:rPr>
        <w:t xml:space="preserve">    进一步为引资兴业提供便利。</w:t>
      </w:r>
      <w:r>
        <w:rPr>
          <w:rFonts w:ascii="SimHei" w:hAnsi="SimHei" w:eastAsia="SimHei" w:cs="SimHei"/>
          <w:color w:val="231F20"/>
          <w:sz w:val="22"/>
          <w:szCs w:val="22"/>
        </w:rPr>
        <w:t>一是</w:t>
      </w:r>
      <w:r>
        <w:rPr>
          <w:rFonts w:ascii="微软雅黑" w:hAnsi="微软雅黑" w:eastAsia="微软雅黑" w:cs="微软雅黑"/>
          <w:color w:val="231F20"/>
          <w:sz w:val="22"/>
          <w:szCs w:val="22"/>
        </w:rPr>
        <w:t xml:space="preserve">调整实施《旅行社条例》  ，在所有试点地区缩短外   </w:t>
      </w:r>
      <w:r>
        <w:rPr>
          <w:rFonts w:ascii="微软雅黑" w:hAnsi="微软雅黑" w:eastAsia="微软雅黑" w:cs="微软雅黑"/>
          <w:color w:val="231F20"/>
          <w:spacing w:val="10"/>
          <w:sz w:val="22"/>
          <w:szCs w:val="22"/>
        </w:rPr>
        <w:t>商投资企</w:t>
      </w:r>
      <w:r>
        <w:rPr>
          <w:rFonts w:ascii="微软雅黑" w:hAnsi="微软雅黑" w:eastAsia="微软雅黑" w:cs="微软雅黑"/>
          <w:color w:val="231F20"/>
          <w:spacing w:val="8"/>
          <w:sz w:val="22"/>
          <w:szCs w:val="22"/>
        </w:rPr>
        <w:t>业</w:t>
      </w:r>
      <w:r>
        <w:rPr>
          <w:rFonts w:ascii="微软雅黑" w:hAnsi="微软雅黑" w:eastAsia="微软雅黑" w:cs="微软雅黑"/>
          <w:color w:val="231F20"/>
          <w:spacing w:val="5"/>
          <w:sz w:val="22"/>
          <w:szCs w:val="22"/>
        </w:rPr>
        <w:t xml:space="preserve">申请设立旅行社的审批时限 ，将审批时间由自受理申请之日起 </w:t>
      </w:r>
      <w:r>
        <w:rPr>
          <w:rFonts w:ascii="Times New Roman" w:hAnsi="Times New Roman" w:eastAsia="Times New Roman" w:cs="Times New Roman"/>
          <w:color w:val="231F20"/>
          <w:spacing w:val="5"/>
          <w:sz w:val="22"/>
          <w:szCs w:val="22"/>
        </w:rPr>
        <w:t>30</w:t>
      </w:r>
      <w:r>
        <w:rPr>
          <w:rFonts w:ascii="微软雅黑" w:hAnsi="微软雅黑" w:eastAsia="微软雅黑" w:cs="微软雅黑"/>
          <w:color w:val="231F20"/>
          <w:spacing w:val="5"/>
          <w:sz w:val="22"/>
          <w:szCs w:val="22"/>
        </w:rPr>
        <w:t>个工作</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日缩减至 </w:t>
      </w:r>
      <w:r>
        <w:rPr>
          <w:rFonts w:ascii="Times New Roman" w:hAnsi="Times New Roman" w:eastAsia="Times New Roman" w:cs="Times New Roman"/>
          <w:color w:val="231F20"/>
          <w:spacing w:val="6"/>
          <w:sz w:val="22"/>
          <w:szCs w:val="22"/>
        </w:rPr>
        <w:t xml:space="preserve">15 </w:t>
      </w:r>
      <w:r>
        <w:rPr>
          <w:rFonts w:ascii="微软雅黑" w:hAnsi="微软雅黑" w:eastAsia="微软雅黑" w:cs="微软雅黑"/>
          <w:color w:val="231F20"/>
          <w:spacing w:val="6"/>
          <w:sz w:val="22"/>
          <w:szCs w:val="22"/>
        </w:rPr>
        <w:t>个工作日。</w:t>
      </w:r>
      <w:r>
        <w:rPr>
          <w:rFonts w:ascii="SimHei" w:hAnsi="SimHei" w:eastAsia="SimHei" w:cs="SimHei"/>
          <w:color w:val="231F20"/>
          <w:spacing w:val="6"/>
          <w:sz w:val="22"/>
          <w:szCs w:val="22"/>
        </w:rPr>
        <w:t>二是</w:t>
      </w:r>
      <w:r>
        <w:rPr>
          <w:rFonts w:ascii="微软雅黑" w:hAnsi="微软雅黑" w:eastAsia="微软雅黑" w:cs="微软雅黑"/>
          <w:color w:val="231F20"/>
          <w:spacing w:val="6"/>
          <w:sz w:val="22"/>
          <w:szCs w:val="22"/>
        </w:rPr>
        <w:t>放宽《专利代理条例》关于专利代理师资格考试的限</w:t>
      </w:r>
      <w:r>
        <w:rPr>
          <w:rFonts w:ascii="微软雅黑" w:hAnsi="微软雅黑" w:eastAsia="微软雅黑" w:cs="微软雅黑"/>
          <w:color w:val="231F20"/>
          <w:spacing w:val="2"/>
          <w:sz w:val="22"/>
          <w:szCs w:val="22"/>
        </w:rPr>
        <w:t>制</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性条</w:t>
      </w:r>
      <w:r>
        <w:rPr>
          <w:rFonts w:ascii="微软雅黑" w:hAnsi="微软雅黑" w:eastAsia="微软雅黑" w:cs="微软雅黑"/>
          <w:color w:val="231F20"/>
          <w:spacing w:val="-3"/>
          <w:sz w:val="22"/>
          <w:szCs w:val="22"/>
        </w:rPr>
        <w:t>款 ，在北京 、南京 、苏州 、广州等试点地区允许外国人参加考试。</w:t>
      </w:r>
      <w:r>
        <w:rPr>
          <w:rFonts w:ascii="SimHei" w:hAnsi="SimHei" w:eastAsia="SimHei" w:cs="SimHei"/>
          <w:color w:val="231F20"/>
          <w:spacing w:val="-3"/>
          <w:sz w:val="22"/>
          <w:szCs w:val="22"/>
        </w:rPr>
        <w:t>三是</w:t>
      </w:r>
      <w:r>
        <w:rPr>
          <w:rFonts w:ascii="微软雅黑" w:hAnsi="微软雅黑" w:eastAsia="微软雅黑" w:cs="微软雅黑"/>
          <w:color w:val="231F20"/>
          <w:spacing w:val="-3"/>
          <w:sz w:val="22"/>
          <w:szCs w:val="22"/>
        </w:rPr>
        <w:t>调整《国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务院办公厅关于对在中国境内举办对外经济技术展览</w:t>
      </w:r>
      <w:r>
        <w:rPr>
          <w:rFonts w:ascii="微软雅黑" w:hAnsi="微软雅黑" w:eastAsia="微软雅黑" w:cs="微软雅黑"/>
          <w:color w:val="231F20"/>
          <w:sz w:val="22"/>
          <w:szCs w:val="22"/>
        </w:rPr>
        <w:t xml:space="preserve">会加强管理的通知》   ( 国办发〔    </w:t>
      </w:r>
      <w:r>
        <w:rPr>
          <w:rFonts w:ascii="Times New Roman" w:hAnsi="Times New Roman" w:eastAsia="Times New Roman" w:cs="Times New Roman"/>
          <w:color w:val="231F20"/>
          <w:spacing w:val="-1"/>
          <w:sz w:val="22"/>
          <w:szCs w:val="22"/>
        </w:rPr>
        <w:t xml:space="preserve">1997 </w:t>
      </w:r>
      <w:r>
        <w:rPr>
          <w:rFonts w:ascii="微软雅黑" w:hAnsi="微软雅黑" w:eastAsia="微软雅黑" w:cs="微软雅黑"/>
          <w:color w:val="231F20"/>
          <w:spacing w:val="-1"/>
          <w:sz w:val="22"/>
          <w:szCs w:val="22"/>
        </w:rPr>
        <w:t>〕</w:t>
      </w:r>
      <w:r>
        <w:rPr>
          <w:rFonts w:ascii="Times New Roman" w:hAnsi="Times New Roman" w:eastAsia="Times New Roman" w:cs="Times New Roman"/>
          <w:color w:val="231F20"/>
          <w:spacing w:val="-1"/>
          <w:sz w:val="22"/>
          <w:szCs w:val="22"/>
        </w:rPr>
        <w:t xml:space="preserve">25 </w:t>
      </w:r>
      <w:r>
        <w:rPr>
          <w:rFonts w:ascii="微软雅黑" w:hAnsi="微软雅黑" w:eastAsia="微软雅黑" w:cs="微软雅黑"/>
          <w:color w:val="231F20"/>
          <w:spacing w:val="-1"/>
          <w:sz w:val="22"/>
          <w:szCs w:val="22"/>
        </w:rPr>
        <w:t>号 ) 等相关内容，放宽承办涉外经济技术展览</w:t>
      </w:r>
      <w:r>
        <w:rPr>
          <w:rFonts w:ascii="微软雅黑" w:hAnsi="微软雅黑" w:eastAsia="微软雅黑" w:cs="微软雅黑"/>
          <w:color w:val="231F20"/>
          <w:sz w:val="22"/>
          <w:szCs w:val="22"/>
        </w:rPr>
        <w:t xml:space="preserve">主体资格限制 ，下放有关展览   </w:t>
      </w:r>
      <w:r>
        <w:rPr>
          <w:rFonts w:ascii="微软雅黑" w:hAnsi="微软雅黑" w:eastAsia="微软雅黑" w:cs="微软雅黑"/>
          <w:color w:val="231F20"/>
          <w:spacing w:val="-4"/>
          <w:sz w:val="22"/>
          <w:szCs w:val="22"/>
        </w:rPr>
        <w:t>的审批权限。在</w:t>
      </w:r>
      <w:r>
        <w:rPr>
          <w:rFonts w:ascii="微软雅黑" w:hAnsi="微软雅黑" w:eastAsia="微软雅黑" w:cs="微软雅黑"/>
          <w:color w:val="231F20"/>
          <w:spacing w:val="-2"/>
          <w:sz w:val="22"/>
          <w:szCs w:val="22"/>
        </w:rPr>
        <w:t>海南省允许外国机构独立举办除冠名“中国”“中华”“全国”“国家”</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等字样以外的涉</w:t>
      </w:r>
      <w:r>
        <w:rPr>
          <w:rFonts w:ascii="微软雅黑" w:hAnsi="微软雅黑" w:eastAsia="微软雅黑" w:cs="微软雅黑"/>
          <w:color w:val="231F20"/>
          <w:spacing w:val="3"/>
          <w:sz w:val="22"/>
          <w:szCs w:val="22"/>
        </w:rPr>
        <w:t>外经济技术展。外国机构独立举办或合作主办的上述涉外经济技术展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行政许可 ，委托省级商务主管部门实施并开</w:t>
      </w:r>
      <w:r>
        <w:rPr>
          <w:rFonts w:ascii="微软雅黑" w:hAnsi="微软雅黑" w:eastAsia="微软雅黑" w:cs="微软雅黑"/>
          <w:color w:val="231F20"/>
          <w:sz w:val="22"/>
          <w:szCs w:val="22"/>
        </w:rPr>
        <w:t>展有效监管。</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82003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5"/>
        <w:rPr>
          <w:rFonts w:ascii="Arial" w:hAnsi="Arial" w:eastAsia="Arial" w:cs="Arial"/>
          <w:sz w:val="20"/>
          <w:szCs w:val="20"/>
        </w:rPr>
      </w:pPr>
      <w:r>
        <w:rPr>
          <w:rFonts w:ascii="SimHei" w:hAnsi="SimHei" w:eastAsia="SimHei" w:cs="SimHei"/>
          <w:color w:val="1A67B3"/>
          <w:spacing w:val="33"/>
          <w:position w:val="1"/>
          <w:sz w:val="21"/>
          <w:szCs w:val="21"/>
          <w14:textOutline w14:w="3175" w14:cap="flat" w14:cmpd="sng">
            <w14:solidFill>
              <w14:srgbClr w14:val="1A67B3"/>
            </w14:solidFill>
            <w14:prstDash w14:val="solid"/>
            <w14:miter w14:val="0"/>
          </w14:textOutline>
        </w:rPr>
        <w:t>综</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合篇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23</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8" w:line="222" w:lineRule="auto"/>
        <w:ind w:left="2462"/>
        <w:rPr>
          <w:rFonts w:ascii="SimHei" w:hAnsi="SimHei" w:eastAsia="SimHei" w:cs="SimHei"/>
          <w:sz w:val="24"/>
          <w:szCs w:val="24"/>
        </w:rPr>
      </w:pPr>
      <w:r>
        <w:rPr>
          <w:rFonts w:ascii="SimHei" w:hAnsi="SimHei" w:eastAsia="SimHei" w:cs="SimHei"/>
          <w:color w:val="015DAC"/>
          <w:spacing w:val="9"/>
          <w:sz w:val="24"/>
          <w:szCs w:val="24"/>
        </w:rPr>
        <w:t>(三) 外商投资促进政</w:t>
      </w:r>
      <w:r>
        <w:rPr>
          <w:rFonts w:ascii="SimHei" w:hAnsi="SimHei" w:eastAsia="SimHei" w:cs="SimHei"/>
          <w:color w:val="015DAC"/>
          <w:spacing w:val="7"/>
          <w:sz w:val="24"/>
          <w:szCs w:val="24"/>
        </w:rPr>
        <w:t>策</w:t>
      </w:r>
    </w:p>
    <w:p>
      <w:pPr>
        <w:spacing w:line="266" w:lineRule="auto"/>
        <w:rPr>
          <w:rFonts w:ascii="Arial"/>
          <w:sz w:val="21"/>
        </w:rPr>
      </w:pPr>
    </w:p>
    <w:p>
      <w:pPr>
        <w:spacing w:before="71" w:line="216" w:lineRule="auto"/>
        <w:ind w:left="2463"/>
        <w:rPr>
          <w:rFonts w:ascii="KaiTi" w:hAnsi="KaiTi" w:eastAsia="KaiTi" w:cs="KaiTi"/>
          <w:sz w:val="22"/>
          <w:szCs w:val="22"/>
        </w:rPr>
      </w:pPr>
      <w:r>
        <w:rPr>
          <w:rFonts w:ascii="Times New Roman" w:hAnsi="Times New Roman" w:eastAsia="Times New Roman" w:cs="Times New Roman"/>
          <w:color w:val="015DAC"/>
          <w:spacing w:val="-1"/>
          <w:sz w:val="22"/>
          <w:szCs w:val="22"/>
        </w:rPr>
        <w:t>1</w:t>
      </w:r>
      <w:r>
        <w:rPr>
          <w:rFonts w:ascii="Times New Roman" w:hAnsi="Times New Roman" w:eastAsia="Times New Roman" w:cs="Times New Roman"/>
          <w:color w:val="015DAC"/>
          <w:sz w:val="22"/>
          <w:szCs w:val="22"/>
        </w:rPr>
        <w:t xml:space="preserve">. </w:t>
      </w:r>
      <w:r>
        <w:rPr>
          <w:rFonts w:ascii="KaiTi" w:hAnsi="KaiTi" w:eastAsia="KaiTi" w:cs="KaiTi"/>
          <w:color w:val="015DAC"/>
          <w:sz w:val="22"/>
          <w:szCs w:val="22"/>
        </w:rPr>
        <w:t>强化外商投资顶层设计，健全外商投资促进体系</w:t>
      </w:r>
    </w:p>
    <w:p>
      <w:pPr>
        <w:spacing w:line="259" w:lineRule="auto"/>
        <w:rPr>
          <w:rFonts w:ascii="Arial"/>
          <w:sz w:val="21"/>
        </w:rPr>
      </w:pPr>
    </w:p>
    <w:p>
      <w:pPr>
        <w:spacing w:before="95" w:line="257" w:lineRule="auto"/>
        <w:ind w:left="1986" w:right="1877" w:firstLine="463"/>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为扎实做好“六稳”</w:t>
      </w:r>
      <w:r>
        <w:rPr>
          <w:rFonts w:ascii="微软雅黑" w:hAnsi="微软雅黑" w:eastAsia="微软雅黑" w:cs="微软雅黑"/>
          <w:color w:val="231F20"/>
          <w:spacing w:val="1"/>
          <w:sz w:val="22"/>
          <w:szCs w:val="22"/>
        </w:rPr>
        <w:t>工作、全面落实“六保”任务 ，稳住外贸外资基本盘，</w:t>
      </w:r>
      <w:r>
        <w:rPr>
          <w:rFonts w:ascii="Times New Roman" w:hAnsi="Times New Roman" w:eastAsia="Times New Roman" w:cs="Times New Roman"/>
          <w:color w:val="231F20"/>
          <w:spacing w:val="1"/>
          <w:sz w:val="22"/>
          <w:szCs w:val="22"/>
        </w:rPr>
        <w:t>2021</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3 </w:t>
      </w:r>
      <w:r>
        <w:rPr>
          <w:rFonts w:ascii="微软雅黑" w:hAnsi="微软雅黑" w:eastAsia="微软雅黑" w:cs="微软雅黑"/>
          <w:color w:val="231F20"/>
          <w:spacing w:val="2"/>
          <w:sz w:val="22"/>
          <w:szCs w:val="22"/>
        </w:rPr>
        <w:t>月 ，商务部印发《关于围绕构建</w:t>
      </w:r>
      <w:r>
        <w:rPr>
          <w:rFonts w:ascii="微软雅黑" w:hAnsi="微软雅黑" w:eastAsia="微软雅黑" w:cs="微软雅黑"/>
          <w:color w:val="231F20"/>
          <w:spacing w:val="1"/>
          <w:sz w:val="22"/>
          <w:szCs w:val="22"/>
        </w:rPr>
        <w:t>新发展格局做好稳外资工作的通知》，从提升开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放平台水平、完善外商</w:t>
      </w:r>
      <w:r>
        <w:rPr>
          <w:rFonts w:ascii="微软雅黑" w:hAnsi="微软雅黑" w:eastAsia="微软雅黑" w:cs="微软雅黑"/>
          <w:color w:val="231F20"/>
          <w:spacing w:val="3"/>
          <w:sz w:val="22"/>
          <w:szCs w:val="22"/>
        </w:rPr>
        <w:t xml:space="preserve">投资服务保障体系等 </w:t>
      </w:r>
      <w:r>
        <w:rPr>
          <w:rFonts w:ascii="Times New Roman" w:hAnsi="Times New Roman" w:eastAsia="Times New Roman" w:cs="Times New Roman"/>
          <w:color w:val="231F20"/>
          <w:spacing w:val="3"/>
          <w:sz w:val="22"/>
          <w:szCs w:val="22"/>
        </w:rPr>
        <w:t xml:space="preserve">5 </w:t>
      </w:r>
      <w:r>
        <w:rPr>
          <w:rFonts w:ascii="微软雅黑" w:hAnsi="微软雅黑" w:eastAsia="微软雅黑" w:cs="微软雅黑"/>
          <w:color w:val="231F20"/>
          <w:spacing w:val="3"/>
          <w:sz w:val="22"/>
          <w:szCs w:val="22"/>
        </w:rPr>
        <w:t xml:space="preserve">个方面提出 </w:t>
      </w:r>
      <w:r>
        <w:rPr>
          <w:rFonts w:ascii="Times New Roman" w:hAnsi="Times New Roman" w:eastAsia="Times New Roman" w:cs="Times New Roman"/>
          <w:color w:val="231F20"/>
          <w:spacing w:val="3"/>
          <w:sz w:val="22"/>
          <w:szCs w:val="22"/>
        </w:rPr>
        <w:t xml:space="preserve">22 </w:t>
      </w:r>
      <w:r>
        <w:rPr>
          <w:rFonts w:ascii="微软雅黑" w:hAnsi="微软雅黑" w:eastAsia="微软雅黑" w:cs="微软雅黑"/>
          <w:color w:val="231F20"/>
          <w:spacing w:val="3"/>
          <w:sz w:val="22"/>
          <w:szCs w:val="22"/>
        </w:rPr>
        <w:t>条具体举措 ，稳定产业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链供应链，促进外商投资企业在华稳定发展。</w:t>
      </w:r>
      <w:r>
        <w:rPr>
          <w:rFonts w:ascii="Times New Roman" w:hAnsi="Times New Roman" w:eastAsia="Times New Roman" w:cs="Times New Roman"/>
          <w:color w:val="231F20"/>
          <w:spacing w:val="2"/>
          <w:sz w:val="22"/>
          <w:szCs w:val="22"/>
        </w:rPr>
        <w:t>202</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10 </w:t>
      </w:r>
      <w:r>
        <w:rPr>
          <w:rFonts w:ascii="微软雅黑" w:hAnsi="微软雅黑" w:eastAsia="微软雅黑" w:cs="微软雅黑"/>
          <w:color w:val="231F20"/>
          <w:spacing w:val="1"/>
          <w:sz w:val="22"/>
          <w:szCs w:val="22"/>
        </w:rPr>
        <w:t>月，商务部印发《“十四五”</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利用外资发展规</w:t>
      </w:r>
      <w:r>
        <w:rPr>
          <w:rFonts w:ascii="微软雅黑" w:hAnsi="微软雅黑" w:eastAsia="微软雅黑" w:cs="微软雅黑"/>
          <w:color w:val="231F20"/>
          <w:spacing w:val="5"/>
          <w:sz w:val="22"/>
          <w:szCs w:val="22"/>
        </w:rPr>
        <w:t>划</w:t>
      </w:r>
      <w:r>
        <w:rPr>
          <w:rFonts w:ascii="微软雅黑" w:hAnsi="微软雅黑" w:eastAsia="微软雅黑" w:cs="微软雅黑"/>
          <w:color w:val="231F20"/>
          <w:spacing w:val="3"/>
          <w:sz w:val="22"/>
          <w:szCs w:val="22"/>
        </w:rPr>
        <w:t>》，从推进更高水平对外开放、优化利用外资结构、强化开放平台</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功</w:t>
      </w:r>
      <w:r>
        <w:rPr>
          <w:rFonts w:ascii="微软雅黑" w:hAnsi="微软雅黑" w:eastAsia="微软雅黑" w:cs="微软雅黑"/>
          <w:color w:val="231F20"/>
          <w:spacing w:val="5"/>
          <w:sz w:val="22"/>
          <w:szCs w:val="22"/>
        </w:rPr>
        <w:t>能</w:t>
      </w:r>
      <w:r>
        <w:rPr>
          <w:rFonts w:ascii="微软雅黑" w:hAnsi="微软雅黑" w:eastAsia="微软雅黑" w:cs="微软雅黑"/>
          <w:color w:val="231F20"/>
          <w:spacing w:val="3"/>
          <w:sz w:val="22"/>
          <w:szCs w:val="22"/>
        </w:rPr>
        <w:t xml:space="preserve">、提升外商投资促进服务水平、优化外商投资环境等 </w:t>
      </w:r>
      <w:r>
        <w:rPr>
          <w:rFonts w:ascii="Times New Roman" w:hAnsi="Times New Roman" w:eastAsia="Times New Roman" w:cs="Times New Roman"/>
          <w:color w:val="231F20"/>
          <w:spacing w:val="3"/>
          <w:sz w:val="22"/>
          <w:szCs w:val="22"/>
        </w:rPr>
        <w:t xml:space="preserve">7 </w:t>
      </w:r>
      <w:r>
        <w:rPr>
          <w:rFonts w:ascii="微软雅黑" w:hAnsi="微软雅黑" w:eastAsia="微软雅黑" w:cs="微软雅黑"/>
          <w:color w:val="231F20"/>
          <w:spacing w:val="3"/>
          <w:sz w:val="22"/>
          <w:szCs w:val="22"/>
        </w:rPr>
        <w:t>个方面对“十四五”外商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投资工作进行了顶层设计，  明确提出了 </w:t>
      </w:r>
      <w:r>
        <w:rPr>
          <w:rFonts w:ascii="Times New Roman" w:hAnsi="Times New Roman" w:eastAsia="Times New Roman" w:cs="Times New Roman"/>
          <w:color w:val="231F20"/>
          <w:spacing w:val="1"/>
          <w:sz w:val="22"/>
          <w:szCs w:val="22"/>
        </w:rPr>
        <w:t xml:space="preserve">23 </w:t>
      </w:r>
      <w:r>
        <w:rPr>
          <w:rFonts w:ascii="微软雅黑" w:hAnsi="微软雅黑" w:eastAsia="微软雅黑" w:cs="微软雅黑"/>
          <w:color w:val="231F20"/>
          <w:spacing w:val="1"/>
          <w:sz w:val="22"/>
          <w:szCs w:val="22"/>
        </w:rPr>
        <w:t>项主要任务和具体举措 ，其中</w:t>
      </w:r>
      <w:r>
        <w:rPr>
          <w:rFonts w:ascii="微软雅黑" w:hAnsi="微软雅黑" w:eastAsia="微软雅黑" w:cs="微软雅黑"/>
          <w:color w:val="231F20"/>
          <w:sz w:val="22"/>
          <w:szCs w:val="22"/>
        </w:rPr>
        <w:t xml:space="preserve">对健全外商 </w:t>
      </w:r>
      <w:r>
        <w:rPr>
          <w:rFonts w:ascii="微软雅黑" w:hAnsi="微软雅黑" w:eastAsia="微软雅黑" w:cs="微软雅黑"/>
          <w:color w:val="231F20"/>
          <w:spacing w:val="6"/>
          <w:sz w:val="22"/>
          <w:szCs w:val="22"/>
        </w:rPr>
        <w:t>投资促进服务体系</w:t>
      </w:r>
      <w:r>
        <w:rPr>
          <w:rFonts w:ascii="微软雅黑" w:hAnsi="微软雅黑" w:eastAsia="微软雅黑" w:cs="微软雅黑"/>
          <w:color w:val="231F20"/>
          <w:spacing w:val="3"/>
          <w:sz w:val="22"/>
          <w:szCs w:val="22"/>
        </w:rPr>
        <w:t>进行了部署。规划不仅为外商投资工作和外商投资促进服务体系建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设提供了指引 ，也为外商投资企业投资经营活动提供了参考。</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11</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 xml:space="preserve">月 </w:t>
      </w:r>
      <w:r>
        <w:rPr>
          <w:rFonts w:ascii="Times New Roman" w:hAnsi="Times New Roman" w:eastAsia="Times New Roman" w:cs="Times New Roman"/>
          <w:color w:val="231F20"/>
          <w:sz w:val="22"/>
          <w:szCs w:val="22"/>
        </w:rPr>
        <w:t xml:space="preserve">5 </w:t>
      </w:r>
      <w:r>
        <w:rPr>
          <w:rFonts w:ascii="微软雅黑" w:hAnsi="微软雅黑" w:eastAsia="微软雅黑" w:cs="微软雅黑"/>
          <w:color w:val="231F20"/>
          <w:sz w:val="22"/>
          <w:szCs w:val="22"/>
        </w:rPr>
        <w:t xml:space="preserve">日 ，商 </w:t>
      </w:r>
      <w:r>
        <w:rPr>
          <w:rFonts w:ascii="微软雅黑" w:hAnsi="微软雅黑" w:eastAsia="微软雅黑" w:cs="微软雅黑"/>
          <w:color w:val="231F20"/>
          <w:spacing w:val="-6"/>
          <w:sz w:val="22"/>
          <w:szCs w:val="22"/>
        </w:rPr>
        <w:t>务部发布《中国外商投资指</w:t>
      </w:r>
      <w:r>
        <w:rPr>
          <w:rFonts w:ascii="微软雅黑" w:hAnsi="微软雅黑" w:eastAsia="微软雅黑" w:cs="微软雅黑"/>
          <w:color w:val="231F20"/>
          <w:spacing w:val="-3"/>
          <w:sz w:val="22"/>
          <w:szCs w:val="22"/>
        </w:rPr>
        <w:t>引</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 xml:space="preserve">版 </w:t>
      </w:r>
      <w:r>
        <w:rPr>
          <w:rFonts w:ascii="Times New Roman" w:hAnsi="Times New Roman" w:eastAsia="Times New Roman" w:cs="Times New Roman"/>
          <w:color w:val="231F20"/>
          <w:spacing w:val="-3"/>
          <w:sz w:val="22"/>
          <w:szCs w:val="22"/>
        </w:rPr>
        <w:t>)</w:t>
      </w:r>
      <w:r>
        <w:rPr>
          <w:rFonts w:ascii="微软雅黑" w:hAnsi="微软雅黑" w:eastAsia="微软雅黑" w:cs="微软雅黑"/>
          <w:color w:val="231F20"/>
          <w:spacing w:val="-3"/>
          <w:sz w:val="22"/>
          <w:szCs w:val="22"/>
        </w:rPr>
        <w:t>》  ，并形成了中文版、英文版、  日文版和韩文</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版四个版本。</w:t>
      </w:r>
      <w:r>
        <w:rPr>
          <w:rFonts w:ascii="微软雅黑" w:hAnsi="微软雅黑" w:eastAsia="微软雅黑" w:cs="微软雅黑"/>
          <w:color w:val="231F20"/>
          <w:spacing w:val="3"/>
          <w:sz w:val="22"/>
          <w:szCs w:val="22"/>
        </w:rPr>
        <w:t>新</w:t>
      </w:r>
      <w:r>
        <w:rPr>
          <w:rFonts w:ascii="微软雅黑" w:hAnsi="微软雅黑" w:eastAsia="微软雅黑" w:cs="微软雅黑"/>
          <w:color w:val="231F20"/>
          <w:spacing w:val="2"/>
          <w:sz w:val="22"/>
          <w:szCs w:val="22"/>
        </w:rPr>
        <w:t>版投资指引在保留上一版基本框架的基础上 ，整合了中国投资环境、</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9"/>
          <w:sz w:val="22"/>
          <w:szCs w:val="22"/>
        </w:rPr>
        <w:t>相</w:t>
      </w:r>
      <w:r>
        <w:rPr>
          <w:rFonts w:ascii="微软雅黑" w:hAnsi="微软雅黑" w:eastAsia="微软雅黑" w:cs="微软雅黑"/>
          <w:color w:val="231F20"/>
          <w:spacing w:val="-5"/>
          <w:sz w:val="22"/>
          <w:szCs w:val="22"/>
        </w:rPr>
        <w:t>关法律制度、投资办事流程等内容，对各章节进行了调整、更新和优化，对各类数据、</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办事流程、机构名录等作了相应更新 ，为外资企业和外国</w:t>
      </w:r>
      <w:r>
        <w:rPr>
          <w:rFonts w:ascii="微软雅黑" w:hAnsi="微软雅黑" w:eastAsia="微软雅黑" w:cs="微软雅黑"/>
          <w:color w:val="231F20"/>
          <w:spacing w:val="1"/>
          <w:sz w:val="22"/>
          <w:szCs w:val="22"/>
        </w:rPr>
        <w:t>投资者研究制定投资中国战</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略、开展投资经营</w:t>
      </w:r>
      <w:r>
        <w:rPr>
          <w:rFonts w:ascii="微软雅黑" w:hAnsi="微软雅黑" w:eastAsia="微软雅黑" w:cs="微软雅黑"/>
          <w:color w:val="231F20"/>
          <w:sz w:val="22"/>
          <w:szCs w:val="22"/>
        </w:rPr>
        <w:t>活动提供了便利。</w:t>
      </w:r>
    </w:p>
    <w:p>
      <w:pPr>
        <w:spacing w:before="182" w:line="214" w:lineRule="auto"/>
        <w:ind w:left="2438"/>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扩大鼓励外商投资产业目录，促进外资投向</w:t>
      </w:r>
      <w:r>
        <w:rPr>
          <w:rFonts w:ascii="KaiTi" w:hAnsi="KaiTi" w:eastAsia="KaiTi" w:cs="KaiTi"/>
          <w:color w:val="015DAC"/>
          <w:sz w:val="22"/>
          <w:szCs w:val="22"/>
        </w:rPr>
        <w:t>重点产业</w:t>
      </w:r>
    </w:p>
    <w:p>
      <w:pPr>
        <w:spacing w:line="272" w:lineRule="auto"/>
        <w:rPr>
          <w:rFonts w:ascii="Arial"/>
          <w:sz w:val="21"/>
        </w:rPr>
      </w:pPr>
    </w:p>
    <w:p>
      <w:pPr>
        <w:spacing w:before="95" w:line="257" w:lineRule="auto"/>
        <w:ind w:left="1985" w:right="1897" w:firstLine="452"/>
        <w:rPr>
          <w:rFonts w:ascii="微软雅黑" w:hAnsi="微软雅黑" w:eastAsia="微软雅黑" w:cs="微软雅黑"/>
          <w:sz w:val="22"/>
          <w:szCs w:val="22"/>
        </w:rPr>
      </w:pPr>
      <w:r>
        <w:rPr>
          <w:rFonts w:ascii="Times New Roman" w:hAnsi="Times New Roman" w:eastAsia="Times New Roman" w:cs="Times New Roman"/>
          <w:color w:val="231F20"/>
          <w:spacing w:val="1"/>
          <w:sz w:val="22"/>
          <w:szCs w:val="22"/>
        </w:rPr>
        <w:t>202</w:t>
      </w:r>
      <w:r>
        <w:rPr>
          <w:rFonts w:ascii="Times New Roman" w:hAnsi="Times New Roman" w:eastAsia="Times New Roman" w:cs="Times New Roman"/>
          <w:color w:val="231F20"/>
          <w:sz w:val="22"/>
          <w:szCs w:val="22"/>
        </w:rPr>
        <w:t xml:space="preserve">1 </w:t>
      </w:r>
      <w:r>
        <w:rPr>
          <w:rFonts w:ascii="微软雅黑" w:hAnsi="微软雅黑" w:eastAsia="微软雅黑" w:cs="微软雅黑"/>
          <w:color w:val="231F20"/>
          <w:sz w:val="22"/>
          <w:szCs w:val="22"/>
        </w:rPr>
        <w:t xml:space="preserve">年 </w:t>
      </w:r>
      <w:r>
        <w:rPr>
          <w:rFonts w:ascii="Times New Roman" w:hAnsi="Times New Roman" w:eastAsia="Times New Roman" w:cs="Times New Roman"/>
          <w:color w:val="231F20"/>
          <w:sz w:val="22"/>
          <w:szCs w:val="22"/>
        </w:rPr>
        <w:t xml:space="preserve">1 </w:t>
      </w:r>
      <w:r>
        <w:rPr>
          <w:rFonts w:ascii="微软雅黑" w:hAnsi="微软雅黑" w:eastAsia="微软雅黑" w:cs="微软雅黑"/>
          <w:color w:val="231F20"/>
          <w:sz w:val="22"/>
          <w:szCs w:val="22"/>
        </w:rPr>
        <w:t xml:space="preserve">月 </w:t>
      </w:r>
      <w:r>
        <w:rPr>
          <w:rFonts w:ascii="Times New Roman" w:hAnsi="Times New Roman" w:eastAsia="Times New Roman" w:cs="Times New Roman"/>
          <w:color w:val="231F20"/>
          <w:sz w:val="22"/>
          <w:szCs w:val="22"/>
        </w:rPr>
        <w:t xml:space="preserve">27 </w:t>
      </w:r>
      <w:r>
        <w:rPr>
          <w:rFonts w:ascii="微软雅黑" w:hAnsi="微软雅黑" w:eastAsia="微软雅黑" w:cs="微软雅黑"/>
          <w:color w:val="231F20"/>
          <w:sz w:val="22"/>
          <w:szCs w:val="22"/>
        </w:rPr>
        <w:t xml:space="preserve">日，《鼓励外商投资产业目录 ( </w:t>
      </w:r>
      <w:r>
        <w:rPr>
          <w:rFonts w:ascii="Times New Roman" w:hAnsi="Times New Roman" w:eastAsia="Times New Roman" w:cs="Times New Roman"/>
          <w:color w:val="231F20"/>
          <w:sz w:val="22"/>
          <w:szCs w:val="22"/>
        </w:rPr>
        <w:t xml:space="preserve">2020 </w:t>
      </w:r>
      <w:r>
        <w:rPr>
          <w:rFonts w:ascii="微软雅黑" w:hAnsi="微软雅黑" w:eastAsia="微软雅黑" w:cs="微软雅黑"/>
          <w:color w:val="231F20"/>
          <w:sz w:val="22"/>
          <w:szCs w:val="22"/>
        </w:rPr>
        <w:t xml:space="preserve">年版 )  》开始施行 ，鼓励目 </w:t>
      </w:r>
      <w:r>
        <w:rPr>
          <w:rFonts w:ascii="微软雅黑" w:hAnsi="微软雅黑" w:eastAsia="微软雅黑" w:cs="微软雅黑"/>
          <w:color w:val="231F20"/>
          <w:spacing w:val="1"/>
          <w:sz w:val="22"/>
          <w:szCs w:val="22"/>
        </w:rPr>
        <w:t xml:space="preserve">录总条目达到 </w:t>
      </w:r>
      <w:r>
        <w:rPr>
          <w:rFonts w:ascii="Times New Roman" w:hAnsi="Times New Roman" w:eastAsia="Times New Roman" w:cs="Times New Roman"/>
          <w:color w:val="231F20"/>
          <w:sz w:val="22"/>
          <w:szCs w:val="22"/>
        </w:rPr>
        <w:t xml:space="preserve">1235 </w:t>
      </w:r>
      <w:r>
        <w:rPr>
          <w:rFonts w:ascii="微软雅黑" w:hAnsi="微软雅黑" w:eastAsia="微软雅黑" w:cs="微软雅黑"/>
          <w:color w:val="231F20"/>
          <w:sz w:val="22"/>
          <w:szCs w:val="22"/>
        </w:rPr>
        <w:t xml:space="preserve">条，  比 </w:t>
      </w:r>
      <w:r>
        <w:rPr>
          <w:rFonts w:ascii="Times New Roman" w:hAnsi="Times New Roman" w:eastAsia="Times New Roman" w:cs="Times New Roman"/>
          <w:color w:val="231F20"/>
          <w:sz w:val="22"/>
          <w:szCs w:val="22"/>
        </w:rPr>
        <w:t xml:space="preserve">2019 </w:t>
      </w:r>
      <w:r>
        <w:rPr>
          <w:rFonts w:ascii="微软雅黑" w:hAnsi="微软雅黑" w:eastAsia="微软雅黑" w:cs="微软雅黑"/>
          <w:color w:val="231F20"/>
          <w:sz w:val="22"/>
          <w:szCs w:val="22"/>
        </w:rPr>
        <w:t xml:space="preserve">年版增加 </w:t>
      </w:r>
      <w:r>
        <w:rPr>
          <w:rFonts w:ascii="Times New Roman" w:hAnsi="Times New Roman" w:eastAsia="Times New Roman" w:cs="Times New Roman"/>
          <w:color w:val="231F20"/>
          <w:sz w:val="22"/>
          <w:szCs w:val="22"/>
        </w:rPr>
        <w:t xml:space="preserve">127 </w:t>
      </w:r>
      <w:r>
        <w:rPr>
          <w:rFonts w:ascii="微软雅黑" w:hAnsi="微软雅黑" w:eastAsia="微软雅黑" w:cs="微软雅黑"/>
          <w:color w:val="231F20"/>
          <w:sz w:val="22"/>
          <w:szCs w:val="22"/>
        </w:rPr>
        <w:t xml:space="preserve">条、修改了 </w:t>
      </w:r>
      <w:r>
        <w:rPr>
          <w:rFonts w:ascii="Times New Roman" w:hAnsi="Times New Roman" w:eastAsia="Times New Roman" w:cs="Times New Roman"/>
          <w:color w:val="231F20"/>
          <w:sz w:val="22"/>
          <w:szCs w:val="22"/>
        </w:rPr>
        <w:t xml:space="preserve">88 </w:t>
      </w:r>
      <w:r>
        <w:rPr>
          <w:rFonts w:ascii="微软雅黑" w:hAnsi="微软雅黑" w:eastAsia="微软雅黑" w:cs="微软雅黑"/>
          <w:color w:val="231F20"/>
          <w:sz w:val="22"/>
          <w:szCs w:val="22"/>
        </w:rPr>
        <w:t xml:space="preserve">条 ，进一步扩大了鼓励 </w:t>
      </w:r>
      <w:r>
        <w:rPr>
          <w:rFonts w:ascii="微软雅黑" w:hAnsi="微软雅黑" w:eastAsia="微软雅黑" w:cs="微软雅黑"/>
          <w:color w:val="231F20"/>
          <w:spacing w:val="-1"/>
          <w:sz w:val="22"/>
          <w:szCs w:val="22"/>
        </w:rPr>
        <w:t xml:space="preserve">外商投资范围。其中 ，全国鼓励外商投资产业目录 </w:t>
      </w:r>
      <w:r>
        <w:rPr>
          <w:rFonts w:ascii="Times New Roman" w:hAnsi="Times New Roman" w:eastAsia="Times New Roman" w:cs="Times New Roman"/>
          <w:color w:val="231F20"/>
          <w:spacing w:val="-1"/>
          <w:sz w:val="22"/>
          <w:szCs w:val="22"/>
        </w:rPr>
        <w:t xml:space="preserve">480 </w:t>
      </w:r>
      <w:r>
        <w:rPr>
          <w:rFonts w:ascii="微软雅黑" w:hAnsi="微软雅黑" w:eastAsia="微软雅黑" w:cs="微软雅黑"/>
          <w:color w:val="231F20"/>
          <w:spacing w:val="-1"/>
          <w:sz w:val="22"/>
          <w:szCs w:val="22"/>
        </w:rPr>
        <w:t xml:space="preserve">条 ，增加 </w:t>
      </w:r>
      <w:r>
        <w:rPr>
          <w:rFonts w:ascii="Times New Roman" w:hAnsi="Times New Roman" w:eastAsia="Times New Roman" w:cs="Times New Roman"/>
          <w:color w:val="231F20"/>
          <w:spacing w:val="-1"/>
          <w:sz w:val="22"/>
          <w:szCs w:val="22"/>
        </w:rPr>
        <w:t xml:space="preserve">65 </w:t>
      </w:r>
      <w:r>
        <w:rPr>
          <w:rFonts w:ascii="微软雅黑" w:hAnsi="微软雅黑" w:eastAsia="微软雅黑" w:cs="微软雅黑"/>
          <w:color w:val="231F20"/>
          <w:spacing w:val="-1"/>
          <w:sz w:val="22"/>
          <w:szCs w:val="22"/>
        </w:rPr>
        <w:t xml:space="preserve">条、修改 </w:t>
      </w:r>
      <w:r>
        <w:rPr>
          <w:rFonts w:ascii="Times New Roman" w:hAnsi="Times New Roman" w:eastAsia="Times New Roman" w:cs="Times New Roman"/>
          <w:color w:val="231F20"/>
          <w:spacing w:val="-1"/>
          <w:sz w:val="22"/>
          <w:szCs w:val="22"/>
        </w:rPr>
        <w:t xml:space="preserve">51 </w:t>
      </w:r>
      <w:r>
        <w:rPr>
          <w:rFonts w:ascii="微软雅黑" w:hAnsi="微软雅黑" w:eastAsia="微软雅黑" w:cs="微软雅黑"/>
          <w:color w:val="231F20"/>
          <w:sz w:val="22"/>
          <w:szCs w:val="22"/>
        </w:rPr>
        <w:t xml:space="preserve">条 ；  </w:t>
      </w:r>
      <w:r>
        <w:rPr>
          <w:rFonts w:ascii="微软雅黑" w:hAnsi="微软雅黑" w:eastAsia="微软雅黑" w:cs="微软雅黑"/>
          <w:color w:val="231F20"/>
          <w:spacing w:val="-2"/>
          <w:sz w:val="22"/>
          <w:szCs w:val="22"/>
        </w:rPr>
        <w:t xml:space="preserve">中西部地区外商投资优势产业目录 </w:t>
      </w:r>
      <w:r>
        <w:rPr>
          <w:rFonts w:ascii="Times New Roman" w:hAnsi="Times New Roman" w:eastAsia="Times New Roman" w:cs="Times New Roman"/>
          <w:color w:val="231F20"/>
          <w:spacing w:val="-2"/>
          <w:sz w:val="22"/>
          <w:szCs w:val="22"/>
        </w:rPr>
        <w:t xml:space="preserve">755 </w:t>
      </w:r>
      <w:r>
        <w:rPr>
          <w:rFonts w:ascii="微软雅黑" w:hAnsi="微软雅黑" w:eastAsia="微软雅黑" w:cs="微软雅黑"/>
          <w:color w:val="231F20"/>
          <w:spacing w:val="-2"/>
          <w:sz w:val="22"/>
          <w:szCs w:val="22"/>
        </w:rPr>
        <w:t xml:space="preserve">条，增加 </w:t>
      </w:r>
      <w:r>
        <w:rPr>
          <w:rFonts w:ascii="Times New Roman" w:hAnsi="Times New Roman" w:eastAsia="Times New Roman" w:cs="Times New Roman"/>
          <w:color w:val="231F20"/>
          <w:spacing w:val="-2"/>
          <w:sz w:val="22"/>
          <w:szCs w:val="22"/>
        </w:rPr>
        <w:t>62</w:t>
      </w:r>
      <w:r>
        <w:rPr>
          <w:rFonts w:ascii="微软雅黑" w:hAnsi="微软雅黑" w:eastAsia="微软雅黑" w:cs="微软雅黑"/>
          <w:color w:val="231F20"/>
          <w:spacing w:val="-2"/>
          <w:sz w:val="22"/>
          <w:szCs w:val="22"/>
        </w:rPr>
        <w:t xml:space="preserve">条、修改 </w:t>
      </w:r>
      <w:r>
        <w:rPr>
          <w:rFonts w:ascii="Times New Roman" w:hAnsi="Times New Roman" w:eastAsia="Times New Roman" w:cs="Times New Roman"/>
          <w:color w:val="231F20"/>
          <w:spacing w:val="-2"/>
          <w:sz w:val="22"/>
          <w:szCs w:val="22"/>
        </w:rPr>
        <w:t xml:space="preserve">37 </w:t>
      </w:r>
      <w:r>
        <w:rPr>
          <w:rFonts w:ascii="微软雅黑" w:hAnsi="微软雅黑" w:eastAsia="微软雅黑" w:cs="微软雅黑"/>
          <w:color w:val="231F20"/>
          <w:spacing w:val="-2"/>
          <w:sz w:val="22"/>
          <w:szCs w:val="22"/>
        </w:rPr>
        <w:t xml:space="preserve">条。与 </w:t>
      </w:r>
      <w:r>
        <w:rPr>
          <w:rFonts w:ascii="Times New Roman" w:hAnsi="Times New Roman" w:eastAsia="Times New Roman" w:cs="Times New Roman"/>
          <w:color w:val="231F20"/>
          <w:spacing w:val="-2"/>
          <w:sz w:val="22"/>
          <w:szCs w:val="22"/>
        </w:rPr>
        <w:t xml:space="preserve">2019 </w:t>
      </w:r>
      <w:r>
        <w:rPr>
          <w:rFonts w:ascii="微软雅黑" w:hAnsi="微软雅黑" w:eastAsia="微软雅黑" w:cs="微软雅黑"/>
          <w:color w:val="231F20"/>
          <w:spacing w:val="-2"/>
          <w:sz w:val="22"/>
          <w:szCs w:val="22"/>
        </w:rPr>
        <w:t>年版</w:t>
      </w:r>
      <w:r>
        <w:rPr>
          <w:rFonts w:ascii="微软雅黑" w:hAnsi="微软雅黑" w:eastAsia="微软雅黑" w:cs="微软雅黑"/>
          <w:color w:val="231F20"/>
          <w:spacing w:val="-1"/>
          <w:sz w:val="22"/>
          <w:szCs w:val="22"/>
        </w:rPr>
        <w:t>相</w:t>
      </w:r>
      <w:r>
        <w:rPr>
          <w:rFonts w:ascii="微软雅黑" w:hAnsi="微软雅黑" w:eastAsia="微软雅黑" w:cs="微软雅黑"/>
          <w:color w:val="231F20"/>
          <w:sz w:val="22"/>
          <w:szCs w:val="22"/>
        </w:rPr>
        <w:t xml:space="preserve">比， </w:t>
      </w:r>
      <w:r>
        <w:rPr>
          <w:rFonts w:ascii="Times New Roman" w:hAnsi="Times New Roman" w:eastAsia="Times New Roman" w:cs="Times New Roman"/>
          <w:color w:val="231F20"/>
          <w:spacing w:val="-2"/>
          <w:sz w:val="22"/>
          <w:szCs w:val="22"/>
        </w:rPr>
        <w:t xml:space="preserve">2020 </w:t>
      </w:r>
      <w:r>
        <w:rPr>
          <w:rFonts w:ascii="微软雅黑" w:hAnsi="微软雅黑" w:eastAsia="微软雅黑" w:cs="微软雅黑"/>
          <w:color w:val="231F20"/>
          <w:spacing w:val="-2"/>
          <w:sz w:val="22"/>
          <w:szCs w:val="22"/>
        </w:rPr>
        <w:t>年版外</w:t>
      </w:r>
      <w:r>
        <w:rPr>
          <w:rFonts w:ascii="微软雅黑" w:hAnsi="微软雅黑" w:eastAsia="微软雅黑" w:cs="微软雅黑"/>
          <w:color w:val="231F20"/>
          <w:spacing w:val="-1"/>
          <w:sz w:val="22"/>
          <w:szCs w:val="22"/>
        </w:rPr>
        <w:t xml:space="preserve">商投资产业目录有三方面特点：  </w:t>
      </w:r>
      <w:r>
        <w:rPr>
          <w:rFonts w:ascii="SimHei" w:hAnsi="SimHei" w:eastAsia="SimHei" w:cs="SimHei"/>
          <w:color w:val="231F20"/>
          <w:spacing w:val="-1"/>
          <w:sz w:val="22"/>
          <w:szCs w:val="22"/>
        </w:rPr>
        <w:t>一是在全国版目录中将制造业作为鼓励外</w:t>
      </w:r>
      <w:r>
        <w:rPr>
          <w:rFonts w:ascii="SimHei" w:hAnsi="SimHei" w:eastAsia="SimHei" w:cs="SimHei"/>
          <w:color w:val="231F20"/>
          <w:sz w:val="22"/>
          <w:szCs w:val="22"/>
        </w:rPr>
        <w:t xml:space="preserve"> </w:t>
      </w:r>
      <w:r>
        <w:rPr>
          <w:rFonts w:ascii="SimHei" w:hAnsi="SimHei" w:eastAsia="SimHei" w:cs="SimHei"/>
          <w:color w:val="231F20"/>
          <w:spacing w:val="-4"/>
          <w:sz w:val="22"/>
          <w:szCs w:val="22"/>
        </w:rPr>
        <w:t xml:space="preserve">商投资的重点方向。 </w:t>
      </w:r>
      <w:r>
        <w:rPr>
          <w:rFonts w:ascii="微软雅黑" w:hAnsi="微软雅黑" w:eastAsia="微软雅黑" w:cs="微软雅黑"/>
          <w:color w:val="231F20"/>
          <w:spacing w:val="-4"/>
          <w:sz w:val="22"/>
          <w:szCs w:val="22"/>
        </w:rPr>
        <w:t>根据“引资</w:t>
      </w:r>
      <w:r>
        <w:rPr>
          <w:rFonts w:ascii="微软雅黑" w:hAnsi="微软雅黑" w:eastAsia="微软雅黑" w:cs="微软雅黑"/>
          <w:color w:val="231F20"/>
          <w:spacing w:val="-2"/>
          <w:sz w:val="22"/>
          <w:szCs w:val="22"/>
        </w:rPr>
        <w:t>补链”“引资强链”“引资扩链”导向在原材料领域、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终端产品领域增加</w:t>
      </w:r>
      <w:r>
        <w:rPr>
          <w:rFonts w:ascii="微软雅黑" w:hAnsi="微软雅黑" w:eastAsia="微软雅黑" w:cs="微软雅黑"/>
          <w:color w:val="231F20"/>
          <w:spacing w:val="4"/>
          <w:sz w:val="22"/>
          <w:szCs w:val="22"/>
        </w:rPr>
        <w:t>了</w:t>
      </w:r>
      <w:r>
        <w:rPr>
          <w:rFonts w:ascii="微软雅黑" w:hAnsi="微软雅黑" w:eastAsia="微软雅黑" w:cs="微软雅黑"/>
          <w:color w:val="231F20"/>
          <w:spacing w:val="3"/>
          <w:sz w:val="22"/>
          <w:szCs w:val="22"/>
        </w:rPr>
        <w:t>有关条目。</w:t>
      </w:r>
      <w:r>
        <w:rPr>
          <w:rFonts w:ascii="SimHei" w:hAnsi="SimHei" w:eastAsia="SimHei" w:cs="SimHei"/>
          <w:color w:val="231F20"/>
          <w:spacing w:val="3"/>
          <w:sz w:val="22"/>
          <w:szCs w:val="22"/>
        </w:rPr>
        <w:t>二是进一步鼓励外资投向生产性服务业。</w:t>
      </w:r>
      <w:r>
        <w:rPr>
          <w:rFonts w:ascii="微软雅黑" w:hAnsi="微软雅黑" w:eastAsia="微软雅黑" w:cs="微软雅黑"/>
          <w:color w:val="231F20"/>
          <w:spacing w:val="3"/>
          <w:sz w:val="22"/>
          <w:szCs w:val="22"/>
        </w:rPr>
        <w:t>如在研发设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计领域，</w:t>
      </w:r>
      <w:r>
        <w:rPr>
          <w:rFonts w:ascii="微软雅黑" w:hAnsi="微软雅黑" w:eastAsia="微软雅黑" w:cs="微软雅黑"/>
          <w:color w:val="231F20"/>
          <w:spacing w:val="-8"/>
          <w:sz w:val="22"/>
          <w:szCs w:val="22"/>
        </w:rPr>
        <w:t>新</w:t>
      </w:r>
      <w:r>
        <w:rPr>
          <w:rFonts w:ascii="微软雅黑" w:hAnsi="微软雅黑" w:eastAsia="微软雅黑" w:cs="微软雅黑"/>
          <w:color w:val="231F20"/>
          <w:spacing w:val="-5"/>
          <w:sz w:val="22"/>
          <w:szCs w:val="22"/>
        </w:rPr>
        <w:t>增或修改第五代移动通信技术研发、区块链技术开发等条目。商务服务领域，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新增高端装备维修、数字化生产线改造与集成等条目。现代物流领</w:t>
      </w:r>
      <w:r>
        <w:rPr>
          <w:rFonts w:ascii="微软雅黑" w:hAnsi="微软雅黑" w:eastAsia="微软雅黑" w:cs="微软雅黑"/>
          <w:color w:val="231F20"/>
          <w:spacing w:val="1"/>
          <w:sz w:val="22"/>
          <w:szCs w:val="22"/>
        </w:rPr>
        <w:t>域 ，新增或修改跨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境电子商务零</w:t>
      </w:r>
      <w:r>
        <w:rPr>
          <w:rFonts w:ascii="微软雅黑" w:hAnsi="微软雅黑" w:eastAsia="微软雅黑" w:cs="微软雅黑"/>
          <w:color w:val="231F20"/>
          <w:spacing w:val="3"/>
          <w:sz w:val="22"/>
          <w:szCs w:val="22"/>
        </w:rPr>
        <w:t>售、大宗商品进出口分拨中心、社区连锁配送等条目。</w:t>
      </w:r>
      <w:r>
        <w:rPr>
          <w:rFonts w:ascii="SimHei" w:hAnsi="SimHei" w:eastAsia="SimHei" w:cs="SimHei"/>
          <w:color w:val="231F20"/>
          <w:spacing w:val="3"/>
          <w:sz w:val="22"/>
          <w:szCs w:val="22"/>
        </w:rPr>
        <w:t>三是进一步鼓励</w:t>
      </w:r>
      <w:r>
        <w:rPr>
          <w:rFonts w:ascii="SimHei" w:hAnsi="SimHei" w:eastAsia="SimHei" w:cs="SimHei"/>
          <w:color w:val="231F20"/>
          <w:sz w:val="22"/>
          <w:szCs w:val="22"/>
        </w:rPr>
        <w:t xml:space="preserve"> </w:t>
      </w:r>
      <w:r>
        <w:rPr>
          <w:rFonts w:ascii="SimHei" w:hAnsi="SimHei" w:eastAsia="SimHei" w:cs="SimHei"/>
          <w:color w:val="231F20"/>
          <w:spacing w:val="2"/>
          <w:sz w:val="22"/>
          <w:szCs w:val="22"/>
        </w:rPr>
        <w:t>外资投向中西部。</w:t>
      </w:r>
      <w:r>
        <w:rPr>
          <w:rFonts w:ascii="微软雅黑" w:hAnsi="微软雅黑" w:eastAsia="微软雅黑" w:cs="微软雅黑"/>
          <w:color w:val="231F20"/>
          <w:spacing w:val="2"/>
          <w:sz w:val="22"/>
          <w:szCs w:val="22"/>
        </w:rPr>
        <w:t>适当增加中西部省市鼓励外商投资产业条</w:t>
      </w:r>
      <w:r>
        <w:rPr>
          <w:rFonts w:ascii="微软雅黑" w:hAnsi="微软雅黑" w:eastAsia="微软雅黑" w:cs="微软雅黑"/>
          <w:color w:val="231F20"/>
          <w:spacing w:val="1"/>
          <w:sz w:val="22"/>
          <w:szCs w:val="22"/>
        </w:rPr>
        <w:t>目 ，助推中西部地区开放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型经济发展和</w:t>
      </w:r>
      <w:r>
        <w:rPr>
          <w:rFonts w:ascii="微软雅黑" w:hAnsi="微软雅黑" w:eastAsia="微软雅黑" w:cs="微软雅黑"/>
          <w:color w:val="231F20"/>
          <w:sz w:val="22"/>
          <w:szCs w:val="22"/>
        </w:rPr>
        <w:t>外向型产业集群。</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82105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3"/>
        <w:rPr>
          <w:rFonts w:ascii="SimHei" w:hAnsi="SimHei" w:eastAsia="SimHei" w:cs="SimHei"/>
          <w:sz w:val="21"/>
          <w:szCs w:val="21"/>
        </w:rPr>
      </w:pPr>
      <w:bookmarkStart w:id="19" w:name="_bookmark19"/>
      <w:bookmarkEnd w:id="19"/>
      <w:r>
        <w:rPr>
          <w:rFonts w:ascii="Arial" w:hAnsi="Arial" w:eastAsia="Arial" w:cs="Arial"/>
          <w:color w:val="231F20"/>
          <w:spacing w:val="22"/>
          <w:sz w:val="20"/>
          <w:szCs w:val="20"/>
        </w:rPr>
        <w:t xml:space="preserve">24  </w:t>
      </w:r>
      <w:r>
        <w:rPr>
          <w:position w:val="-5"/>
          <w:sz w:val="20"/>
          <w:szCs w:val="20"/>
        </w:rPr>
        <w:drawing>
          <wp:inline distT="0" distB="0" distL="0" distR="0">
            <wp:extent cx="3175" cy="147320"/>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2"/>
          <w:sz w:val="20"/>
          <w:szCs w:val="20"/>
        </w:rPr>
        <w:t xml:space="preserve">   </w:t>
      </w:r>
      <w:r>
        <w:rPr>
          <w:rFonts w:ascii="宋体" w:hAnsi="宋体" w:eastAsia="宋体" w:cs="宋体"/>
          <w:color w:val="537DBF"/>
          <w:spacing w:val="22"/>
          <w:sz w:val="21"/>
          <w:szCs w:val="21"/>
        </w:rPr>
        <w:t xml:space="preserve">中国外商投资报告 2022 </w:t>
      </w:r>
      <w:r>
        <w:rPr>
          <w:position w:val="-5"/>
          <w:sz w:val="21"/>
          <w:szCs w:val="21"/>
        </w:rPr>
        <w:drawing>
          <wp:inline distT="0" distB="0" distL="0" distR="0">
            <wp:extent cx="3175" cy="14732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2"/>
          <w:sz w:val="21"/>
          <w:szCs w:val="21"/>
        </w:rPr>
        <w:t xml:space="preserve">  </w:t>
      </w:r>
      <w:r>
        <w:rPr>
          <w:rFonts w:ascii="SimHei" w:hAnsi="SimHei" w:eastAsia="SimHei" w:cs="SimHei"/>
          <w:color w:val="1A67B3"/>
          <w:spacing w:val="22"/>
          <w:sz w:val="21"/>
          <w:szCs w:val="21"/>
          <w14:textOutline w14:w="3175" w14:cap="flat" w14:cmpd="sng">
            <w14:solidFill>
              <w14:srgbClr w14:val="1A67B3"/>
            </w14:solidFill>
            <w14:prstDash w14:val="solid"/>
            <w14:miter w14:val="0"/>
          </w14:textOutline>
        </w:rPr>
        <w:t>综合</w:t>
      </w:r>
      <w:r>
        <w:rPr>
          <w:rFonts w:ascii="SimHei" w:hAnsi="SimHei" w:eastAsia="SimHei" w:cs="SimHei"/>
          <w:color w:val="1A67B3"/>
          <w:spacing w:val="18"/>
          <w:sz w:val="21"/>
          <w:szCs w:val="21"/>
          <w14:textOutline w14:w="3175" w14:cap="flat" w14:cmpd="sng">
            <w14:solidFill>
              <w14:srgbClr w14:val="1A67B3"/>
            </w14:solidFill>
            <w14:prstDash w14:val="solid"/>
            <w14:miter w14:val="0"/>
          </w14:textOutline>
        </w:rPr>
        <w:t>篇</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215"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优化外商投资财税政策，提升</w:t>
      </w:r>
      <w:r>
        <w:rPr>
          <w:rFonts w:ascii="KaiTi" w:hAnsi="KaiTi" w:eastAsia="KaiTi" w:cs="KaiTi"/>
          <w:color w:val="015DAC"/>
          <w:sz w:val="22"/>
          <w:szCs w:val="22"/>
        </w:rPr>
        <w:t>对外商投资吸引力</w:t>
      </w:r>
    </w:p>
    <w:p>
      <w:pPr>
        <w:spacing w:line="263" w:lineRule="auto"/>
        <w:rPr>
          <w:rFonts w:ascii="Arial"/>
          <w:sz w:val="21"/>
        </w:rPr>
      </w:pPr>
    </w:p>
    <w:p>
      <w:pPr>
        <w:spacing w:before="94" w:line="257" w:lineRule="auto"/>
        <w:ind w:left="1984" w:right="1981" w:firstLine="458"/>
        <w:rPr>
          <w:rFonts w:ascii="微软雅黑" w:hAnsi="微软雅黑" w:eastAsia="微软雅黑" w:cs="微软雅黑"/>
          <w:sz w:val="22"/>
          <w:szCs w:val="22"/>
        </w:rPr>
      </w:pPr>
      <w:r>
        <w:rPr>
          <w:rFonts w:ascii="Times New Roman" w:hAnsi="Times New Roman" w:eastAsia="Times New Roman" w:cs="Times New Roman"/>
          <w:color w:val="231F20"/>
          <w:spacing w:val="1"/>
          <w:sz w:val="22"/>
          <w:szCs w:val="22"/>
        </w:rPr>
        <w:t>20</w:t>
      </w:r>
      <w:r>
        <w:rPr>
          <w:rFonts w:ascii="Times New Roman" w:hAnsi="Times New Roman" w:eastAsia="Times New Roman" w:cs="Times New Roman"/>
          <w:color w:val="231F20"/>
          <w:sz w:val="22"/>
          <w:szCs w:val="22"/>
        </w:rPr>
        <w:t xml:space="preserve">21 </w:t>
      </w:r>
      <w:r>
        <w:rPr>
          <w:rFonts w:ascii="微软雅黑" w:hAnsi="微软雅黑" w:eastAsia="微软雅黑" w:cs="微软雅黑"/>
          <w:color w:val="231F20"/>
          <w:sz w:val="22"/>
          <w:szCs w:val="22"/>
        </w:rPr>
        <w:t xml:space="preserve">年 ，财政部、国家税务总局等相关部门认真贯彻落实党中央、国务院关于积 </w:t>
      </w:r>
      <w:r>
        <w:rPr>
          <w:rFonts w:ascii="微软雅黑" w:hAnsi="微软雅黑" w:eastAsia="微软雅黑" w:cs="微软雅黑"/>
          <w:color w:val="231F20"/>
          <w:spacing w:val="1"/>
          <w:sz w:val="22"/>
          <w:szCs w:val="22"/>
        </w:rPr>
        <w:t>极有效利用外</w:t>
      </w:r>
      <w:r>
        <w:rPr>
          <w:rFonts w:ascii="微软雅黑" w:hAnsi="微软雅黑" w:eastAsia="微软雅黑" w:cs="微软雅黑"/>
          <w:color w:val="231F20"/>
          <w:sz w:val="22"/>
          <w:szCs w:val="22"/>
        </w:rPr>
        <w:t>资的决策部署 ，落细减税降费优惠政策 ，支持企业研发和投资发展。</w:t>
      </w:r>
      <w:r>
        <w:rPr>
          <w:rFonts w:ascii="SimHei" w:hAnsi="SimHei" w:eastAsia="SimHei" w:cs="SimHei"/>
          <w:color w:val="231F20"/>
          <w:sz w:val="22"/>
          <w:szCs w:val="22"/>
        </w:rPr>
        <w:t xml:space="preserve">一 </w:t>
      </w:r>
      <w:r>
        <w:rPr>
          <w:rFonts w:ascii="SimHei" w:hAnsi="SimHei" w:eastAsia="SimHei" w:cs="SimHei"/>
          <w:color w:val="231F20"/>
          <w:spacing w:val="6"/>
          <w:sz w:val="22"/>
          <w:szCs w:val="22"/>
        </w:rPr>
        <w:t>是落实专门针对外资</w:t>
      </w:r>
      <w:r>
        <w:rPr>
          <w:rFonts w:ascii="SimHei" w:hAnsi="SimHei" w:eastAsia="SimHei" w:cs="SimHei"/>
          <w:color w:val="231F20"/>
          <w:spacing w:val="3"/>
          <w:sz w:val="22"/>
          <w:szCs w:val="22"/>
        </w:rPr>
        <w:t>的再投资递延纳税政策。</w:t>
      </w:r>
      <w:r>
        <w:rPr>
          <w:rFonts w:ascii="微软雅黑" w:hAnsi="微软雅黑" w:eastAsia="微软雅黑" w:cs="微软雅黑"/>
          <w:color w:val="231F20"/>
          <w:spacing w:val="3"/>
          <w:sz w:val="22"/>
          <w:szCs w:val="22"/>
        </w:rPr>
        <w:t>对境外投资者从中国境内居民企业分配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的利润，凡</w:t>
      </w:r>
      <w:r>
        <w:rPr>
          <w:rFonts w:ascii="微软雅黑" w:hAnsi="微软雅黑" w:eastAsia="微软雅黑" w:cs="微软雅黑"/>
          <w:color w:val="231F20"/>
          <w:sz w:val="22"/>
          <w:szCs w:val="22"/>
        </w:rPr>
        <w:t xml:space="preserve">直接用于再投资境内项目的 ，暂不缴纳预提所得税 ，有效缓解外资企业资 </w:t>
      </w:r>
      <w:r>
        <w:rPr>
          <w:rFonts w:ascii="微软雅黑" w:hAnsi="微软雅黑" w:eastAsia="微软雅黑" w:cs="微软雅黑"/>
          <w:color w:val="231F20"/>
          <w:spacing w:val="1"/>
          <w:sz w:val="22"/>
          <w:szCs w:val="22"/>
        </w:rPr>
        <w:t>金压力 ，促进外资企业在华再投资持续增长。</w:t>
      </w:r>
      <w:r>
        <w:rPr>
          <w:rFonts w:ascii="SimHei" w:hAnsi="SimHei" w:eastAsia="SimHei" w:cs="SimHei"/>
          <w:color w:val="231F20"/>
          <w:spacing w:val="1"/>
          <w:sz w:val="22"/>
          <w:szCs w:val="22"/>
        </w:rPr>
        <w:t>二是优化支持外资企业研发创新政策。</w:t>
      </w:r>
      <w:r>
        <w:rPr>
          <w:rFonts w:ascii="SimHei" w:hAnsi="SimHei" w:eastAsia="SimHei" w:cs="SimHei"/>
          <w:color w:val="231F20"/>
          <w:sz w:val="22"/>
          <w:szCs w:val="22"/>
        </w:rPr>
        <w:t xml:space="preserve"> </w:t>
      </w:r>
      <w:r>
        <w:rPr>
          <w:rFonts w:ascii="微软雅黑" w:hAnsi="微软雅黑" w:eastAsia="微软雅黑" w:cs="微软雅黑"/>
          <w:color w:val="231F20"/>
          <w:spacing w:val="8"/>
          <w:sz w:val="22"/>
          <w:szCs w:val="22"/>
        </w:rPr>
        <w:t>发布</w:t>
      </w:r>
      <w:r>
        <w:rPr>
          <w:rFonts w:ascii="微软雅黑" w:hAnsi="微软雅黑" w:eastAsia="微软雅黑" w:cs="微软雅黑"/>
          <w:color w:val="231F20"/>
          <w:spacing w:val="5"/>
          <w:sz w:val="22"/>
          <w:szCs w:val="22"/>
        </w:rPr>
        <w:t>《</w:t>
      </w:r>
      <w:r>
        <w:rPr>
          <w:rFonts w:ascii="微软雅黑" w:hAnsi="微软雅黑" w:eastAsia="微软雅黑" w:cs="微软雅黑"/>
          <w:color w:val="231F20"/>
          <w:spacing w:val="4"/>
          <w:sz w:val="22"/>
          <w:szCs w:val="22"/>
        </w:rPr>
        <w:t>关于进一步完善研发费用税前加计扣除政策的公告》   ( 财政部 税务总局公告</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年第 </w:t>
      </w:r>
      <w:r>
        <w:rPr>
          <w:rFonts w:ascii="Times New Roman" w:hAnsi="Times New Roman" w:eastAsia="Times New Roman" w:cs="Times New Roman"/>
          <w:color w:val="231F20"/>
          <w:spacing w:val="2"/>
          <w:sz w:val="22"/>
          <w:szCs w:val="22"/>
        </w:rPr>
        <w:t xml:space="preserve">13 </w:t>
      </w:r>
      <w:r>
        <w:rPr>
          <w:rFonts w:ascii="微软雅黑" w:hAnsi="微软雅黑" w:eastAsia="微软雅黑" w:cs="微软雅黑"/>
          <w:color w:val="231F20"/>
          <w:spacing w:val="2"/>
          <w:sz w:val="22"/>
          <w:szCs w:val="22"/>
        </w:rPr>
        <w:t>号 ) 、《关于“十四五”期间支持科技创新</w:t>
      </w:r>
      <w:r>
        <w:rPr>
          <w:rFonts w:ascii="微软雅黑" w:hAnsi="微软雅黑" w:eastAsia="微软雅黑" w:cs="微软雅黑"/>
          <w:color w:val="231F20"/>
          <w:spacing w:val="1"/>
          <w:sz w:val="22"/>
          <w:szCs w:val="22"/>
        </w:rPr>
        <w:t>进口税收政策的通知》   ( 财</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关税〔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w:t>
      </w:r>
      <w:r>
        <w:rPr>
          <w:rFonts w:ascii="Times New Roman" w:hAnsi="Times New Roman" w:eastAsia="Times New Roman" w:cs="Times New Roman"/>
          <w:color w:val="231F20"/>
          <w:spacing w:val="-1"/>
          <w:sz w:val="22"/>
          <w:szCs w:val="22"/>
        </w:rPr>
        <w:t xml:space="preserve">23 </w:t>
      </w:r>
      <w:r>
        <w:rPr>
          <w:rFonts w:ascii="微软雅黑" w:hAnsi="微软雅黑" w:eastAsia="微软雅黑" w:cs="微软雅黑"/>
          <w:color w:val="231F20"/>
          <w:spacing w:val="-1"/>
          <w:sz w:val="22"/>
          <w:szCs w:val="22"/>
        </w:rPr>
        <w:t>号 ) 和《关于“十四</w:t>
      </w:r>
      <w:r>
        <w:rPr>
          <w:rFonts w:ascii="微软雅黑" w:hAnsi="微软雅黑" w:eastAsia="微软雅黑" w:cs="微软雅黑"/>
          <w:color w:val="231F20"/>
          <w:sz w:val="22"/>
          <w:szCs w:val="22"/>
        </w:rPr>
        <w:t xml:space="preserve">五”期间支持科技创新进口税收的政策管理办法 </w:t>
      </w:r>
      <w:r>
        <w:rPr>
          <w:rFonts w:ascii="微软雅黑" w:hAnsi="微软雅黑" w:eastAsia="微软雅黑" w:cs="微软雅黑"/>
          <w:color w:val="231F20"/>
          <w:spacing w:val="-10"/>
          <w:sz w:val="22"/>
          <w:szCs w:val="22"/>
        </w:rPr>
        <w:t>通知</w:t>
      </w:r>
      <w:r>
        <w:rPr>
          <w:rFonts w:ascii="微软雅黑" w:hAnsi="微软雅黑" w:eastAsia="微软雅黑" w:cs="微软雅黑"/>
          <w:color w:val="231F20"/>
          <w:spacing w:val="-7"/>
          <w:sz w:val="22"/>
          <w:szCs w:val="22"/>
        </w:rPr>
        <w:t>》</w:t>
      </w:r>
      <w:r>
        <w:rPr>
          <w:rFonts w:ascii="微软雅黑" w:hAnsi="微软雅黑" w:eastAsia="微软雅黑" w:cs="微软雅黑"/>
          <w:color w:val="231F20"/>
          <w:spacing w:val="-5"/>
          <w:sz w:val="22"/>
          <w:szCs w:val="22"/>
        </w:rPr>
        <w:t xml:space="preserve">   ( 财关税〔 </w:t>
      </w:r>
      <w:r>
        <w:rPr>
          <w:rFonts w:ascii="Times New Roman" w:hAnsi="Times New Roman" w:eastAsia="Times New Roman" w:cs="Times New Roman"/>
          <w:color w:val="231F20"/>
          <w:spacing w:val="-5"/>
          <w:sz w:val="22"/>
          <w:szCs w:val="22"/>
        </w:rPr>
        <w:t xml:space="preserve">2021 </w:t>
      </w:r>
      <w:r>
        <w:rPr>
          <w:rFonts w:ascii="微软雅黑" w:hAnsi="微软雅黑" w:eastAsia="微软雅黑" w:cs="微软雅黑"/>
          <w:color w:val="231F20"/>
          <w:spacing w:val="-5"/>
          <w:sz w:val="22"/>
          <w:szCs w:val="22"/>
        </w:rPr>
        <w:t>〕</w:t>
      </w:r>
      <w:r>
        <w:rPr>
          <w:rFonts w:ascii="Times New Roman" w:hAnsi="Times New Roman" w:eastAsia="Times New Roman" w:cs="Times New Roman"/>
          <w:color w:val="231F20"/>
          <w:spacing w:val="-5"/>
          <w:sz w:val="22"/>
          <w:szCs w:val="22"/>
        </w:rPr>
        <w:t xml:space="preserve">24 </w:t>
      </w:r>
      <w:r>
        <w:rPr>
          <w:rFonts w:ascii="微软雅黑" w:hAnsi="微软雅黑" w:eastAsia="微软雅黑" w:cs="微软雅黑"/>
          <w:color w:val="231F20"/>
          <w:spacing w:val="-5"/>
          <w:sz w:val="22"/>
          <w:szCs w:val="22"/>
        </w:rPr>
        <w:t>号 ) 等文件 ，落实提前享受研发费用加计扣除政策 ，进一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步激励企业加大研发投入。明确外资研发中心采购进口设备免税资格 ，支持外</w:t>
      </w:r>
      <w:r>
        <w:rPr>
          <w:rFonts w:ascii="微软雅黑" w:hAnsi="微软雅黑" w:eastAsia="微软雅黑" w:cs="微软雅黑"/>
          <w:color w:val="231F20"/>
          <w:spacing w:val="1"/>
          <w:sz w:val="22"/>
          <w:szCs w:val="22"/>
        </w:rPr>
        <w:t>资</w:t>
      </w:r>
      <w:r>
        <w:rPr>
          <w:rFonts w:ascii="微软雅黑" w:hAnsi="微软雅黑" w:eastAsia="微软雅黑" w:cs="微软雅黑"/>
          <w:color w:val="231F20"/>
          <w:sz w:val="22"/>
          <w:szCs w:val="22"/>
        </w:rPr>
        <w:t xml:space="preserve">研发 </w:t>
      </w:r>
      <w:r>
        <w:rPr>
          <w:rFonts w:ascii="微软雅黑" w:hAnsi="微软雅黑" w:eastAsia="微软雅黑" w:cs="微软雅黑"/>
          <w:color w:val="231F20"/>
          <w:spacing w:val="6"/>
          <w:sz w:val="22"/>
          <w:szCs w:val="22"/>
        </w:rPr>
        <w:t>中心发展。</w:t>
      </w:r>
      <w:r>
        <w:rPr>
          <w:rFonts w:ascii="SimHei" w:hAnsi="SimHei" w:eastAsia="SimHei" w:cs="SimHei"/>
          <w:color w:val="231F20"/>
          <w:spacing w:val="6"/>
          <w:sz w:val="22"/>
          <w:szCs w:val="22"/>
        </w:rPr>
        <w:t>三是实</w:t>
      </w:r>
      <w:r>
        <w:rPr>
          <w:rFonts w:ascii="SimHei" w:hAnsi="SimHei" w:eastAsia="SimHei" w:cs="SimHei"/>
          <w:color w:val="231F20"/>
          <w:spacing w:val="3"/>
          <w:sz w:val="22"/>
          <w:szCs w:val="22"/>
        </w:rPr>
        <w:t>施免征重点产业关键产品进口关税政策。</w:t>
      </w:r>
      <w:r>
        <w:rPr>
          <w:rFonts w:ascii="微软雅黑" w:hAnsi="微软雅黑" w:eastAsia="微软雅黑" w:cs="微软雅黑"/>
          <w:color w:val="231F20"/>
          <w:spacing w:val="3"/>
          <w:sz w:val="22"/>
          <w:szCs w:val="22"/>
        </w:rPr>
        <w:t>印发《关于支持集成电路</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产业和</w:t>
      </w:r>
      <w:r>
        <w:rPr>
          <w:rFonts w:ascii="微软雅黑" w:hAnsi="微软雅黑" w:eastAsia="微软雅黑" w:cs="微软雅黑"/>
          <w:color w:val="231F20"/>
          <w:spacing w:val="-5"/>
          <w:sz w:val="22"/>
          <w:szCs w:val="22"/>
        </w:rPr>
        <w:t xml:space="preserve">软件产业发展进口税收政策的通知》   ( 财关税〔 </w:t>
      </w:r>
      <w:r>
        <w:rPr>
          <w:rFonts w:ascii="Times New Roman" w:hAnsi="Times New Roman" w:eastAsia="Times New Roman" w:cs="Times New Roman"/>
          <w:color w:val="231F20"/>
          <w:spacing w:val="-5"/>
          <w:sz w:val="22"/>
          <w:szCs w:val="22"/>
        </w:rPr>
        <w:t xml:space="preserve">2021 </w:t>
      </w:r>
      <w:r>
        <w:rPr>
          <w:rFonts w:ascii="微软雅黑" w:hAnsi="微软雅黑" w:eastAsia="微软雅黑" w:cs="微软雅黑"/>
          <w:color w:val="231F20"/>
          <w:spacing w:val="-5"/>
          <w:sz w:val="22"/>
          <w:szCs w:val="22"/>
        </w:rPr>
        <w:t>〕</w:t>
      </w:r>
      <w:r>
        <w:rPr>
          <w:rFonts w:ascii="Times New Roman" w:hAnsi="Times New Roman" w:eastAsia="Times New Roman" w:cs="Times New Roman"/>
          <w:color w:val="231F20"/>
          <w:spacing w:val="-5"/>
          <w:sz w:val="22"/>
          <w:szCs w:val="22"/>
        </w:rPr>
        <w:t xml:space="preserve">4 </w:t>
      </w:r>
      <w:r>
        <w:rPr>
          <w:rFonts w:ascii="微软雅黑" w:hAnsi="微软雅黑" w:eastAsia="微软雅黑" w:cs="微软雅黑"/>
          <w:color w:val="231F20"/>
          <w:spacing w:val="-5"/>
          <w:sz w:val="22"/>
          <w:szCs w:val="22"/>
        </w:rPr>
        <w:t xml:space="preserve">号 )   《关于 </w:t>
      </w:r>
      <w:r>
        <w:rPr>
          <w:rFonts w:ascii="Times New Roman" w:hAnsi="Times New Roman" w:eastAsia="Times New Roman" w:cs="Times New Roman"/>
          <w:color w:val="231F20"/>
          <w:spacing w:val="-5"/>
          <w:sz w:val="22"/>
          <w:szCs w:val="22"/>
        </w:rPr>
        <w:t>2021-2030</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4"/>
          <w:sz w:val="22"/>
          <w:szCs w:val="22"/>
        </w:rPr>
        <w:t xml:space="preserve">年支持新型显示产业发展进口税收政策的通知》   ( 财关税〔 </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w:t>
      </w:r>
      <w:r>
        <w:rPr>
          <w:rFonts w:ascii="Times New Roman" w:hAnsi="Times New Roman" w:eastAsia="Times New Roman" w:cs="Times New Roman"/>
          <w:color w:val="231F20"/>
          <w:spacing w:val="-4"/>
          <w:sz w:val="22"/>
          <w:szCs w:val="22"/>
        </w:rPr>
        <w:t xml:space="preserve">19 </w:t>
      </w:r>
      <w:r>
        <w:rPr>
          <w:rFonts w:ascii="微软雅黑" w:hAnsi="微软雅黑" w:eastAsia="微软雅黑" w:cs="微软雅黑"/>
          <w:color w:val="231F20"/>
          <w:spacing w:val="-4"/>
          <w:sz w:val="22"/>
          <w:szCs w:val="22"/>
        </w:rPr>
        <w:t>号 ) 等文件 ，</w:t>
      </w:r>
      <w:r>
        <w:rPr>
          <w:rFonts w:ascii="微软雅黑" w:hAnsi="微软雅黑" w:eastAsia="微软雅黑" w:cs="微软雅黑"/>
          <w:color w:val="231F20"/>
          <w:spacing w:val="-3"/>
          <w:sz w:val="22"/>
          <w:szCs w:val="22"/>
        </w:rPr>
        <w:t>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集成电</w:t>
      </w:r>
      <w:r>
        <w:rPr>
          <w:rFonts w:ascii="微软雅黑" w:hAnsi="微软雅黑" w:eastAsia="微软雅黑" w:cs="微软雅黑"/>
          <w:color w:val="231F20"/>
          <w:spacing w:val="1"/>
          <w:sz w:val="22"/>
          <w:szCs w:val="22"/>
        </w:rPr>
        <w:t>路产业和新型显示产业的关键原材料、零配件免征进口关税。</w:t>
      </w:r>
    </w:p>
    <w:p>
      <w:pPr>
        <w:spacing w:before="178" w:line="217" w:lineRule="auto"/>
        <w:ind w:left="2444"/>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4. </w:t>
      </w:r>
      <w:r>
        <w:rPr>
          <w:rFonts w:ascii="KaiTi" w:hAnsi="KaiTi" w:eastAsia="KaiTi" w:cs="KaiTi"/>
          <w:color w:val="015DAC"/>
          <w:spacing w:val="1"/>
          <w:sz w:val="22"/>
          <w:szCs w:val="22"/>
        </w:rPr>
        <w:t>健全外资服务保障机制，提升外商投资服</w:t>
      </w:r>
      <w:r>
        <w:rPr>
          <w:rFonts w:ascii="KaiTi" w:hAnsi="KaiTi" w:eastAsia="KaiTi" w:cs="KaiTi"/>
          <w:color w:val="015DAC"/>
          <w:sz w:val="22"/>
          <w:szCs w:val="22"/>
        </w:rPr>
        <w:t>务能级</w:t>
      </w:r>
    </w:p>
    <w:p>
      <w:pPr>
        <w:spacing w:line="266" w:lineRule="auto"/>
        <w:rPr>
          <w:rFonts w:ascii="Arial"/>
          <w:sz w:val="21"/>
        </w:rPr>
      </w:pPr>
    </w:p>
    <w:p>
      <w:pPr>
        <w:spacing w:before="95" w:line="261" w:lineRule="auto"/>
        <w:ind w:left="1992" w:right="1915" w:firstLine="458"/>
        <w:rPr>
          <w:rFonts w:ascii="微软雅黑" w:hAnsi="微软雅黑" w:eastAsia="微软雅黑" w:cs="微软雅黑"/>
          <w:sz w:val="22"/>
          <w:szCs w:val="22"/>
        </w:rPr>
      </w:pPr>
      <w:r>
        <w:rPr>
          <w:rFonts w:ascii="SimHei" w:hAnsi="SimHei" w:eastAsia="SimHei" w:cs="SimHei"/>
          <w:color w:val="231F20"/>
          <w:spacing w:val="6"/>
          <w:sz w:val="22"/>
          <w:szCs w:val="22"/>
        </w:rPr>
        <w:t>发挥重点外资项目工</w:t>
      </w:r>
      <w:r>
        <w:rPr>
          <w:rFonts w:ascii="SimHei" w:hAnsi="SimHei" w:eastAsia="SimHei" w:cs="SimHei"/>
          <w:color w:val="231F20"/>
          <w:spacing w:val="3"/>
          <w:sz w:val="22"/>
          <w:szCs w:val="22"/>
        </w:rPr>
        <w:t>作专班作用。</w:t>
      </w:r>
      <w:r>
        <w:rPr>
          <w:rFonts w:ascii="微软雅黑" w:hAnsi="微软雅黑" w:eastAsia="微软雅黑" w:cs="微软雅黑"/>
          <w:color w:val="231F20"/>
          <w:spacing w:val="3"/>
          <w:sz w:val="22"/>
          <w:szCs w:val="22"/>
        </w:rPr>
        <w:t>外贸外资协调机制 ( 办公室设在商务部 ) 重点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外资项目工作专班加大对企服务力度，快速响应、</w:t>
      </w:r>
      <w:r>
        <w:rPr>
          <w:rFonts w:ascii="微软雅黑" w:hAnsi="微软雅黑" w:eastAsia="微软雅黑" w:cs="微软雅黑"/>
          <w:color w:val="231F20"/>
          <w:sz w:val="22"/>
          <w:szCs w:val="22"/>
        </w:rPr>
        <w:t xml:space="preserve">及时解决外资企业遇到的困难问题， </w:t>
      </w:r>
      <w:r>
        <w:rPr>
          <w:rFonts w:ascii="微软雅黑" w:hAnsi="微软雅黑" w:eastAsia="微软雅黑" w:cs="微软雅黑"/>
          <w:color w:val="231F20"/>
          <w:spacing w:val="6"/>
          <w:sz w:val="22"/>
          <w:szCs w:val="22"/>
        </w:rPr>
        <w:t>为企业稳定经</w:t>
      </w:r>
      <w:r>
        <w:rPr>
          <w:rFonts w:ascii="微软雅黑" w:hAnsi="微软雅黑" w:eastAsia="微软雅黑" w:cs="微软雅黑"/>
          <w:color w:val="231F20"/>
          <w:spacing w:val="5"/>
          <w:sz w:val="22"/>
          <w:szCs w:val="22"/>
        </w:rPr>
        <w:t>营</w:t>
      </w:r>
      <w:r>
        <w:rPr>
          <w:rFonts w:ascii="微软雅黑" w:hAnsi="微软雅黑" w:eastAsia="微软雅黑" w:cs="微软雅黑"/>
          <w:color w:val="231F20"/>
          <w:spacing w:val="3"/>
          <w:sz w:val="22"/>
          <w:szCs w:val="22"/>
        </w:rPr>
        <w:t>提供服务保障。加强重点外资项目用地、用能、环保、人员出入境等</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方面的保障 ，推动项目早签约、早投产、早达产。协调解</w:t>
      </w:r>
      <w:r>
        <w:rPr>
          <w:rFonts w:ascii="微软雅黑" w:hAnsi="微软雅黑" w:eastAsia="微软雅黑" w:cs="微软雅黑"/>
          <w:color w:val="231F20"/>
          <w:spacing w:val="1"/>
          <w:sz w:val="22"/>
          <w:szCs w:val="22"/>
        </w:rPr>
        <w:t>决外资企业人员入境、货物</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通关、疫苗接种等困难问题 </w:t>
      </w:r>
      <w:r>
        <w:rPr>
          <w:rFonts w:ascii="Times New Roman" w:hAnsi="Times New Roman" w:eastAsia="Times New Roman" w:cs="Times New Roman"/>
          <w:color w:val="231F20"/>
          <w:spacing w:val="-2"/>
          <w:sz w:val="22"/>
          <w:szCs w:val="22"/>
        </w:rPr>
        <w:t>1000</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多项 ，有效稳定了外资企业经营。</w:t>
      </w:r>
    </w:p>
    <w:p>
      <w:pPr>
        <w:spacing w:before="174" w:line="260" w:lineRule="auto"/>
        <w:ind w:left="1991" w:right="1977" w:firstLine="456"/>
        <w:rPr>
          <w:rFonts w:ascii="微软雅黑" w:hAnsi="微软雅黑" w:eastAsia="微软雅黑" w:cs="微软雅黑"/>
          <w:sz w:val="22"/>
          <w:szCs w:val="22"/>
        </w:rPr>
      </w:pPr>
      <w:r>
        <w:rPr>
          <w:rFonts w:ascii="SimHei" w:hAnsi="SimHei" w:eastAsia="SimHei" w:cs="SimHei"/>
          <w:color w:val="231F20"/>
          <w:spacing w:val="6"/>
          <w:sz w:val="22"/>
          <w:szCs w:val="22"/>
        </w:rPr>
        <w:t>加强外资商</w:t>
      </w:r>
      <w:r>
        <w:rPr>
          <w:rFonts w:ascii="SimHei" w:hAnsi="SimHei" w:eastAsia="SimHei" w:cs="SimHei"/>
          <w:color w:val="231F20"/>
          <w:spacing w:val="3"/>
          <w:sz w:val="22"/>
          <w:szCs w:val="22"/>
        </w:rPr>
        <w:t>业、企业协会沟通交流。</w:t>
      </w:r>
      <w:r>
        <w:rPr>
          <w:rFonts w:ascii="微软雅黑" w:hAnsi="微软雅黑" w:eastAsia="微软雅黑" w:cs="微软雅黑"/>
          <w:color w:val="231F20"/>
          <w:spacing w:val="3"/>
          <w:sz w:val="22"/>
          <w:szCs w:val="22"/>
        </w:rPr>
        <w:t>中国政府持续加强与外资企业的沟通交流，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 xml:space="preserve">特别是采取座谈会的方式帮助企业更好理解有关政策 ，并了解企业困难诉求。  自 </w:t>
      </w:r>
      <w:r>
        <w:rPr>
          <w:rFonts w:ascii="Times New Roman" w:hAnsi="Times New Roman" w:eastAsia="Times New Roman" w:cs="Times New Roman"/>
          <w:color w:val="231F20"/>
          <w:spacing w:val="-3"/>
          <w:sz w:val="22"/>
          <w:szCs w:val="22"/>
        </w:rPr>
        <w:t>202</w:t>
      </w:r>
      <w:r>
        <w:rPr>
          <w:rFonts w:ascii="Times New Roman" w:hAnsi="Times New Roman" w:eastAsia="Times New Roman" w:cs="Times New Roman"/>
          <w:color w:val="231F20"/>
          <w:spacing w:val="-1"/>
          <w:sz w:val="22"/>
          <w:szCs w:val="22"/>
        </w:rPr>
        <w:t>0</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2"/>
          <w:sz w:val="22"/>
          <w:szCs w:val="22"/>
        </w:rPr>
        <w:t>年新冠肺炎疫情全球大流行以来 ，商务部已经与外资企业和外国商会开展对话</w:t>
      </w:r>
      <w:r>
        <w:rPr>
          <w:rFonts w:ascii="微软雅黑" w:hAnsi="微软雅黑" w:eastAsia="微软雅黑" w:cs="微软雅黑"/>
          <w:color w:val="231F20"/>
          <w:spacing w:val="1"/>
          <w:sz w:val="22"/>
          <w:szCs w:val="22"/>
        </w:rPr>
        <w:t>交</w:t>
      </w:r>
      <w:r>
        <w:rPr>
          <w:rFonts w:ascii="微软雅黑" w:hAnsi="微软雅黑" w:eastAsia="微软雅黑" w:cs="微软雅黑"/>
          <w:color w:val="231F20"/>
          <w:sz w:val="22"/>
          <w:szCs w:val="22"/>
        </w:rPr>
        <w:t xml:space="preserve">流活 </w:t>
      </w:r>
      <w:r>
        <w:rPr>
          <w:rFonts w:ascii="微软雅黑" w:hAnsi="微软雅黑" w:eastAsia="微软雅黑" w:cs="微软雅黑"/>
          <w:color w:val="231F20"/>
          <w:spacing w:val="-1"/>
          <w:sz w:val="22"/>
          <w:szCs w:val="22"/>
        </w:rPr>
        <w:t xml:space="preserve">动超过 </w:t>
      </w:r>
      <w:r>
        <w:rPr>
          <w:rFonts w:ascii="Times New Roman" w:hAnsi="Times New Roman" w:eastAsia="Times New Roman" w:cs="Times New Roman"/>
          <w:color w:val="231F20"/>
          <w:spacing w:val="-1"/>
          <w:sz w:val="22"/>
          <w:szCs w:val="22"/>
        </w:rPr>
        <w:t xml:space="preserve">100 </w:t>
      </w:r>
      <w:r>
        <w:rPr>
          <w:rFonts w:ascii="微软雅黑" w:hAnsi="微软雅黑" w:eastAsia="微软雅黑" w:cs="微软雅黑"/>
          <w:color w:val="231F20"/>
          <w:spacing w:val="-1"/>
          <w:sz w:val="22"/>
          <w:szCs w:val="22"/>
        </w:rPr>
        <w:t xml:space="preserve">场，  累计参会的外资企业超过了 </w:t>
      </w:r>
      <w:r>
        <w:rPr>
          <w:rFonts w:ascii="Times New Roman" w:hAnsi="Times New Roman" w:eastAsia="Times New Roman" w:cs="Times New Roman"/>
          <w:color w:val="231F20"/>
          <w:spacing w:val="-1"/>
          <w:sz w:val="22"/>
          <w:szCs w:val="22"/>
        </w:rPr>
        <w:t xml:space="preserve">1800 </w:t>
      </w:r>
      <w:r>
        <w:rPr>
          <w:rFonts w:ascii="微软雅黑" w:hAnsi="微软雅黑" w:eastAsia="微软雅黑" w:cs="微软雅黑"/>
          <w:color w:val="231F20"/>
          <w:sz w:val="22"/>
          <w:szCs w:val="22"/>
        </w:rPr>
        <w:t>家。</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年以来 ，商务部先后召开 </w:t>
      </w:r>
      <w:r>
        <w:rPr>
          <w:rFonts w:ascii="微软雅黑" w:hAnsi="微软雅黑" w:eastAsia="微软雅黑" w:cs="微软雅黑"/>
          <w:color w:val="231F20"/>
          <w:spacing w:val="-1"/>
          <w:sz w:val="22"/>
          <w:szCs w:val="22"/>
        </w:rPr>
        <w:t>医药行</w:t>
      </w:r>
      <w:r>
        <w:rPr>
          <w:rFonts w:ascii="微软雅黑" w:hAnsi="微软雅黑" w:eastAsia="微软雅黑" w:cs="微软雅黑"/>
          <w:color w:val="231F20"/>
          <w:sz w:val="22"/>
          <w:szCs w:val="22"/>
        </w:rPr>
        <w:t xml:space="preserve">业外资企业座谈会、汽车产业链外资企业座谈会，  与中国美国商会、中国德国 </w:t>
      </w:r>
      <w:r>
        <w:rPr>
          <w:rFonts w:ascii="微软雅黑" w:hAnsi="微软雅黑" w:eastAsia="微软雅黑" w:cs="微软雅黑"/>
          <w:color w:val="231F20"/>
          <w:spacing w:val="-1"/>
          <w:sz w:val="22"/>
          <w:szCs w:val="22"/>
        </w:rPr>
        <w:t>商会等</w:t>
      </w:r>
      <w:r>
        <w:rPr>
          <w:rFonts w:ascii="微软雅黑" w:hAnsi="微软雅黑" w:eastAsia="微软雅黑" w:cs="微软雅黑"/>
          <w:color w:val="231F20"/>
          <w:sz w:val="22"/>
          <w:szCs w:val="22"/>
        </w:rPr>
        <w:t>开展会谈。</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82208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5"/>
        <w:rPr>
          <w:rFonts w:ascii="Arial" w:hAnsi="Arial" w:eastAsia="Arial" w:cs="Arial"/>
          <w:sz w:val="20"/>
          <w:szCs w:val="20"/>
        </w:rPr>
      </w:pPr>
      <w:bookmarkStart w:id="20" w:name="_bookmark99"/>
      <w:bookmarkEnd w:id="20"/>
      <w:r>
        <w:rPr>
          <w:rFonts w:ascii="SimHei" w:hAnsi="SimHei" w:eastAsia="SimHei" w:cs="SimHei"/>
          <w:color w:val="1A67B3"/>
          <w:spacing w:val="33"/>
          <w:position w:val="1"/>
          <w:sz w:val="21"/>
          <w:szCs w:val="21"/>
          <w14:textOutline w14:w="3175" w14:cap="flat" w14:cmpd="sng">
            <w14:solidFill>
              <w14:srgbClr w14:val="1A67B3"/>
            </w14:solidFill>
            <w14:prstDash w14:val="solid"/>
            <w14:miter w14:val="0"/>
          </w14:textOutline>
        </w:rPr>
        <w:t>综</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合篇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25</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8" w:line="222" w:lineRule="auto"/>
        <w:ind w:left="2462"/>
        <w:rPr>
          <w:rFonts w:ascii="SimHei" w:hAnsi="SimHei" w:eastAsia="SimHei" w:cs="SimHei"/>
          <w:sz w:val="24"/>
          <w:szCs w:val="24"/>
        </w:rPr>
      </w:pPr>
      <w:r>
        <w:rPr>
          <w:rFonts w:ascii="SimHei" w:hAnsi="SimHei" w:eastAsia="SimHei" w:cs="SimHei"/>
          <w:color w:val="015DAC"/>
          <w:spacing w:val="9"/>
          <w:sz w:val="24"/>
          <w:szCs w:val="24"/>
        </w:rPr>
        <w:t>(四) 外商投资保护政</w:t>
      </w:r>
      <w:r>
        <w:rPr>
          <w:rFonts w:ascii="SimHei" w:hAnsi="SimHei" w:eastAsia="SimHei" w:cs="SimHei"/>
          <w:color w:val="015DAC"/>
          <w:spacing w:val="7"/>
          <w:sz w:val="24"/>
          <w:szCs w:val="24"/>
        </w:rPr>
        <w:t>策</w:t>
      </w:r>
    </w:p>
    <w:p>
      <w:pPr>
        <w:spacing w:before="332" w:line="263" w:lineRule="auto"/>
        <w:ind w:left="1984" w:right="1985" w:firstLine="465"/>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为保护外商</w:t>
      </w:r>
      <w:r>
        <w:rPr>
          <w:rFonts w:ascii="微软雅黑" w:hAnsi="微软雅黑" w:eastAsia="微软雅黑" w:cs="微软雅黑"/>
          <w:color w:val="231F20"/>
          <w:spacing w:val="-2"/>
          <w:sz w:val="22"/>
          <w:szCs w:val="22"/>
        </w:rPr>
        <w:t>投资企业合法权益，  国家相关部门和各地出台相关文件 ，严格落实外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资企</w:t>
      </w:r>
      <w:r>
        <w:rPr>
          <w:rFonts w:ascii="微软雅黑" w:hAnsi="微软雅黑" w:eastAsia="微软雅黑" w:cs="微软雅黑"/>
          <w:color w:val="231F20"/>
          <w:sz w:val="22"/>
          <w:szCs w:val="22"/>
        </w:rPr>
        <w:t xml:space="preserve">业公平待遇 ，加强外资企业知识产权保护。同时 ，各地区各部门深入清理与外商 </w:t>
      </w:r>
      <w:r>
        <w:rPr>
          <w:rFonts w:ascii="微软雅黑" w:hAnsi="微软雅黑" w:eastAsia="微软雅黑" w:cs="微软雅黑"/>
          <w:color w:val="231F20"/>
          <w:spacing w:val="-1"/>
          <w:sz w:val="22"/>
          <w:szCs w:val="22"/>
        </w:rPr>
        <w:t xml:space="preserve">投资法不符的法规文件 </w:t>
      </w:r>
      <w:r>
        <w:rPr>
          <w:rFonts w:ascii="微软雅黑" w:hAnsi="微软雅黑" w:eastAsia="微软雅黑" w:cs="微软雅黑"/>
          <w:color w:val="231F20"/>
          <w:sz w:val="22"/>
          <w:szCs w:val="22"/>
        </w:rPr>
        <w:t xml:space="preserve">，制定、修订和废止了 </w:t>
      </w:r>
      <w:r>
        <w:rPr>
          <w:rFonts w:ascii="Times New Roman" w:hAnsi="Times New Roman" w:eastAsia="Times New Roman" w:cs="Times New Roman"/>
          <w:color w:val="231F20"/>
          <w:sz w:val="22"/>
          <w:szCs w:val="22"/>
        </w:rPr>
        <w:t xml:space="preserve">500 </w:t>
      </w:r>
      <w:r>
        <w:rPr>
          <w:rFonts w:ascii="微软雅黑" w:hAnsi="微软雅黑" w:eastAsia="微软雅黑" w:cs="微软雅黑"/>
          <w:color w:val="231F20"/>
          <w:sz w:val="22"/>
          <w:szCs w:val="22"/>
        </w:rPr>
        <w:t xml:space="preserve">多件法规文件 ，进一步提高了外资 </w:t>
      </w:r>
      <w:r>
        <w:rPr>
          <w:rFonts w:ascii="微软雅黑" w:hAnsi="微软雅黑" w:eastAsia="微软雅黑" w:cs="微软雅黑"/>
          <w:color w:val="231F20"/>
          <w:spacing w:val="-1"/>
          <w:sz w:val="22"/>
          <w:szCs w:val="22"/>
        </w:rPr>
        <w:t>政策透</w:t>
      </w:r>
      <w:r>
        <w:rPr>
          <w:rFonts w:ascii="微软雅黑" w:hAnsi="微软雅黑" w:eastAsia="微软雅黑" w:cs="微软雅黑"/>
          <w:color w:val="231F20"/>
          <w:sz w:val="22"/>
          <w:szCs w:val="22"/>
        </w:rPr>
        <w:t>明度。</w:t>
      </w:r>
    </w:p>
    <w:p>
      <w:pPr>
        <w:spacing w:before="179" w:line="217" w:lineRule="auto"/>
        <w:ind w:left="245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1. </w:t>
      </w:r>
      <w:r>
        <w:rPr>
          <w:rFonts w:ascii="KaiTi" w:hAnsi="KaiTi" w:eastAsia="KaiTi" w:cs="KaiTi"/>
          <w:color w:val="015DAC"/>
          <w:spacing w:val="-1"/>
          <w:sz w:val="22"/>
          <w:szCs w:val="22"/>
        </w:rPr>
        <w:t>落实外资企业国民待遇</w:t>
      </w:r>
    </w:p>
    <w:p>
      <w:pPr>
        <w:spacing w:line="270" w:lineRule="auto"/>
        <w:rPr>
          <w:rFonts w:ascii="Arial"/>
          <w:sz w:val="21"/>
        </w:rPr>
      </w:pPr>
    </w:p>
    <w:p>
      <w:pPr>
        <w:spacing w:before="94" w:line="256" w:lineRule="auto"/>
        <w:ind w:left="1985" w:right="1981" w:firstLine="451"/>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全面清理与外商投资法及其实施条例不符的规定，  落实外资企业国民待遇 ，</w:t>
      </w:r>
      <w:r>
        <w:rPr>
          <w:rFonts w:ascii="微软雅黑" w:hAnsi="微软雅黑" w:eastAsia="微软雅黑" w:cs="微软雅黑"/>
          <w:color w:val="231F20"/>
          <w:spacing w:val="1"/>
          <w:sz w:val="22"/>
          <w:szCs w:val="22"/>
        </w:rPr>
        <w:t>促</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进内外资企业公平竞争。</w:t>
      </w:r>
      <w:r>
        <w:rPr>
          <w:rFonts w:ascii="SimHei" w:hAnsi="SimHei" w:eastAsia="SimHei" w:cs="SimHei"/>
          <w:color w:val="231F20"/>
          <w:spacing w:val="3"/>
          <w:sz w:val="22"/>
          <w:szCs w:val="22"/>
        </w:rPr>
        <w:t>一是在政府采购活动中落实平等对待内外资企业有关</w:t>
      </w:r>
      <w:r>
        <w:rPr>
          <w:rFonts w:ascii="SimHei" w:hAnsi="SimHei" w:eastAsia="SimHei" w:cs="SimHei"/>
          <w:color w:val="231F20"/>
          <w:spacing w:val="2"/>
          <w:sz w:val="22"/>
          <w:szCs w:val="22"/>
        </w:rPr>
        <w:t>政</w:t>
      </w:r>
      <w:r>
        <w:rPr>
          <w:rFonts w:ascii="SimHei" w:hAnsi="SimHei" w:eastAsia="SimHei" w:cs="SimHei"/>
          <w:color w:val="231F20"/>
          <w:sz w:val="22"/>
          <w:szCs w:val="22"/>
        </w:rPr>
        <w:t xml:space="preserve">策。 </w:t>
      </w:r>
      <w:r>
        <w:rPr>
          <w:rFonts w:ascii="Times New Roman" w:hAnsi="Times New Roman" w:eastAsia="Times New Roman" w:cs="Times New Roman"/>
          <w:color w:val="231F20"/>
          <w:spacing w:val="8"/>
          <w:sz w:val="22"/>
          <w:szCs w:val="22"/>
        </w:rPr>
        <w:t xml:space="preserve">2021 </w:t>
      </w:r>
      <w:r>
        <w:rPr>
          <w:rFonts w:ascii="微软雅黑" w:hAnsi="微软雅黑" w:eastAsia="微软雅黑" w:cs="微软雅黑"/>
          <w:color w:val="231F20"/>
          <w:spacing w:val="8"/>
          <w:sz w:val="22"/>
          <w:szCs w:val="22"/>
        </w:rPr>
        <w:t xml:space="preserve">年 </w:t>
      </w:r>
      <w:r>
        <w:rPr>
          <w:rFonts w:ascii="Times New Roman" w:hAnsi="Times New Roman" w:eastAsia="Times New Roman" w:cs="Times New Roman"/>
          <w:color w:val="231F20"/>
          <w:spacing w:val="8"/>
          <w:sz w:val="22"/>
          <w:szCs w:val="22"/>
        </w:rPr>
        <w:t>1</w:t>
      </w:r>
      <w:r>
        <w:rPr>
          <w:rFonts w:ascii="Times New Roman" w:hAnsi="Times New Roman" w:eastAsia="Times New Roman" w:cs="Times New Roman"/>
          <w:color w:val="231F20"/>
          <w:spacing w:val="7"/>
          <w:sz w:val="22"/>
          <w:szCs w:val="22"/>
        </w:rPr>
        <w:t>0</w:t>
      </w:r>
      <w:r>
        <w:rPr>
          <w:rFonts w:ascii="Times New Roman" w:hAnsi="Times New Roman" w:eastAsia="Times New Roman" w:cs="Times New Roman"/>
          <w:color w:val="231F20"/>
          <w:spacing w:val="4"/>
          <w:sz w:val="22"/>
          <w:szCs w:val="22"/>
        </w:rPr>
        <w:t xml:space="preserve"> </w:t>
      </w:r>
      <w:r>
        <w:rPr>
          <w:rFonts w:ascii="微软雅黑" w:hAnsi="微软雅黑" w:eastAsia="微软雅黑" w:cs="微软雅黑"/>
          <w:color w:val="231F20"/>
          <w:spacing w:val="4"/>
          <w:sz w:val="22"/>
          <w:szCs w:val="22"/>
        </w:rPr>
        <w:t xml:space="preserve">月 </w:t>
      </w:r>
      <w:r>
        <w:rPr>
          <w:rFonts w:ascii="Times New Roman" w:hAnsi="Times New Roman" w:eastAsia="Times New Roman" w:cs="Times New Roman"/>
          <w:color w:val="231F20"/>
          <w:spacing w:val="4"/>
          <w:sz w:val="22"/>
          <w:szCs w:val="22"/>
        </w:rPr>
        <w:t xml:space="preserve">13 </w:t>
      </w:r>
      <w:r>
        <w:rPr>
          <w:rFonts w:ascii="微软雅黑" w:hAnsi="微软雅黑" w:eastAsia="微软雅黑" w:cs="微软雅黑"/>
          <w:color w:val="231F20"/>
          <w:spacing w:val="4"/>
          <w:sz w:val="22"/>
          <w:szCs w:val="22"/>
        </w:rPr>
        <w:t>日 ，财政部印发《关于在政府采购活动中落实平等对待内外资企业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有关政策的通知》   ( 财库〔</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w:t>
      </w:r>
      <w:r>
        <w:rPr>
          <w:rFonts w:ascii="Times New Roman" w:hAnsi="Times New Roman" w:eastAsia="Times New Roman" w:cs="Times New Roman"/>
          <w:color w:val="231F20"/>
          <w:sz w:val="22"/>
          <w:szCs w:val="22"/>
        </w:rPr>
        <w:t xml:space="preserve">35 </w:t>
      </w:r>
      <w:r>
        <w:rPr>
          <w:rFonts w:ascii="微软雅黑" w:hAnsi="微软雅黑" w:eastAsia="微软雅黑" w:cs="微软雅黑"/>
          <w:color w:val="231F20"/>
          <w:sz w:val="22"/>
          <w:szCs w:val="22"/>
        </w:rPr>
        <w:t xml:space="preserve">号 )  ，要求政府采购依法对内外资企业在中国 </w:t>
      </w:r>
      <w:r>
        <w:rPr>
          <w:rFonts w:ascii="微软雅黑" w:hAnsi="微软雅黑" w:eastAsia="微软雅黑" w:cs="微软雅黑"/>
          <w:color w:val="231F20"/>
          <w:spacing w:val="12"/>
          <w:sz w:val="22"/>
          <w:szCs w:val="22"/>
        </w:rPr>
        <w:t>境</w:t>
      </w:r>
      <w:r>
        <w:rPr>
          <w:rFonts w:ascii="微软雅黑" w:hAnsi="微软雅黑" w:eastAsia="微软雅黑" w:cs="微软雅黑"/>
          <w:color w:val="231F20"/>
          <w:spacing w:val="9"/>
          <w:sz w:val="22"/>
          <w:szCs w:val="22"/>
        </w:rPr>
        <w:t>内</w:t>
      </w:r>
      <w:r>
        <w:rPr>
          <w:rFonts w:ascii="微软雅黑" w:hAnsi="微软雅黑" w:eastAsia="微软雅黑" w:cs="微软雅黑"/>
          <w:color w:val="231F20"/>
          <w:spacing w:val="6"/>
          <w:sz w:val="22"/>
          <w:szCs w:val="22"/>
        </w:rPr>
        <w:t>生产的产品 ( 含服务 ) 平等对待，  除涉及国家安全和国家秘密的采购项目外，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不得区别对待内外资</w:t>
      </w:r>
      <w:r>
        <w:rPr>
          <w:rFonts w:ascii="微软雅黑" w:hAnsi="微软雅黑" w:eastAsia="微软雅黑" w:cs="微软雅黑"/>
          <w:color w:val="231F20"/>
          <w:spacing w:val="3"/>
          <w:sz w:val="22"/>
          <w:szCs w:val="22"/>
        </w:rPr>
        <w:t>企业在中国境内生产的产品。各级预算单位在政府采购活动中，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不</w:t>
      </w:r>
      <w:r>
        <w:rPr>
          <w:rFonts w:ascii="微软雅黑" w:hAnsi="微软雅黑" w:eastAsia="微软雅黑" w:cs="微软雅黑"/>
          <w:color w:val="231F20"/>
          <w:spacing w:val="4"/>
          <w:sz w:val="22"/>
          <w:szCs w:val="22"/>
        </w:rPr>
        <w:t>得在政府采购信息发布 、供应商资格条件确定和资格审查 、评审标准等方面 ，对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内</w:t>
      </w:r>
      <w:r>
        <w:rPr>
          <w:rFonts w:ascii="微软雅黑" w:hAnsi="微软雅黑" w:eastAsia="微软雅黑" w:cs="微软雅黑"/>
          <w:color w:val="231F20"/>
          <w:spacing w:val="7"/>
          <w:sz w:val="22"/>
          <w:szCs w:val="22"/>
        </w:rPr>
        <w:t>资</w:t>
      </w:r>
      <w:r>
        <w:rPr>
          <w:rFonts w:ascii="微软雅黑" w:hAnsi="微软雅黑" w:eastAsia="微软雅黑" w:cs="微软雅黑"/>
          <w:color w:val="231F20"/>
          <w:spacing w:val="4"/>
          <w:sz w:val="22"/>
          <w:szCs w:val="22"/>
        </w:rPr>
        <w:t>企业或外资企业实行差别待遇或者歧视待遇 ，不得以所有制形式 、组织形式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股权结构 、投资者国别 、产品品牌以及其他不合理的条件对供应商予以限定。</w:t>
      </w:r>
      <w:r>
        <w:rPr>
          <w:rFonts w:ascii="SimHei" w:hAnsi="SimHei" w:eastAsia="SimHei" w:cs="SimHei"/>
          <w:color w:val="231F20"/>
          <w:spacing w:val="6"/>
          <w:sz w:val="22"/>
          <w:szCs w:val="22"/>
        </w:rPr>
        <w:t>二</w:t>
      </w:r>
      <w:r>
        <w:rPr>
          <w:rFonts w:ascii="SimHei" w:hAnsi="SimHei" w:eastAsia="SimHei" w:cs="SimHei"/>
          <w:color w:val="231F20"/>
          <w:spacing w:val="5"/>
          <w:sz w:val="22"/>
          <w:szCs w:val="22"/>
        </w:rPr>
        <w:t>是</w:t>
      </w:r>
      <w:r>
        <w:rPr>
          <w:rFonts w:ascii="SimHei" w:hAnsi="SimHei" w:eastAsia="SimHei" w:cs="SimHei"/>
          <w:color w:val="231F20"/>
          <w:sz w:val="22"/>
          <w:szCs w:val="22"/>
        </w:rPr>
        <w:t xml:space="preserve"> </w:t>
      </w:r>
      <w:r>
        <w:rPr>
          <w:rFonts w:ascii="SimHei" w:hAnsi="SimHei" w:eastAsia="SimHei" w:cs="SimHei"/>
          <w:color w:val="231F20"/>
          <w:spacing w:val="4"/>
          <w:sz w:val="22"/>
          <w:szCs w:val="22"/>
        </w:rPr>
        <w:t>推</w:t>
      </w:r>
      <w:r>
        <w:rPr>
          <w:rFonts w:ascii="SimHei" w:hAnsi="SimHei" w:eastAsia="SimHei" w:cs="SimHei"/>
          <w:color w:val="231F20"/>
          <w:spacing w:val="2"/>
          <w:sz w:val="22"/>
          <w:szCs w:val="22"/>
        </w:rPr>
        <w:t>动外资企业平等适用支持企业发展的各项政策。</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8 </w:t>
      </w:r>
      <w:r>
        <w:rPr>
          <w:rFonts w:ascii="微软雅黑" w:hAnsi="微软雅黑" w:eastAsia="微软雅黑" w:cs="微软雅黑"/>
          <w:color w:val="231F20"/>
          <w:spacing w:val="2"/>
          <w:sz w:val="22"/>
          <w:szCs w:val="22"/>
        </w:rPr>
        <w:t xml:space="preserve">月 </w:t>
      </w:r>
      <w:r>
        <w:rPr>
          <w:rFonts w:ascii="Times New Roman" w:hAnsi="Times New Roman" w:eastAsia="Times New Roman" w:cs="Times New Roman"/>
          <w:color w:val="231F20"/>
          <w:spacing w:val="2"/>
          <w:sz w:val="22"/>
          <w:szCs w:val="22"/>
        </w:rPr>
        <w:t xml:space="preserve">24 </w:t>
      </w:r>
      <w:r>
        <w:rPr>
          <w:rFonts w:ascii="微软雅黑" w:hAnsi="微软雅黑" w:eastAsia="微软雅黑" w:cs="微软雅黑"/>
          <w:color w:val="231F20"/>
          <w:spacing w:val="2"/>
          <w:sz w:val="22"/>
          <w:szCs w:val="22"/>
        </w:rPr>
        <w:t xml:space="preserve">日 ，商务部等 </w:t>
      </w:r>
      <w:r>
        <w:rPr>
          <w:rFonts w:ascii="Times New Roman" w:hAnsi="Times New Roman" w:eastAsia="Times New Roman" w:cs="Times New Roman"/>
          <w:color w:val="231F20"/>
          <w:spacing w:val="2"/>
          <w:sz w:val="22"/>
          <w:szCs w:val="22"/>
        </w:rPr>
        <w:t xml:space="preserve">6 </w:t>
      </w:r>
      <w:r>
        <w:rPr>
          <w:rFonts w:ascii="微软雅黑" w:hAnsi="微软雅黑" w:eastAsia="微软雅黑" w:cs="微软雅黑"/>
          <w:color w:val="231F20"/>
          <w:spacing w:val="2"/>
          <w:sz w:val="22"/>
          <w:szCs w:val="22"/>
        </w:rPr>
        <w:t>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门印发《关于支持线下零售 、住宿餐饮 、外资外贸等市场主体纾困发展有关工作</w:t>
      </w:r>
      <w:r>
        <w:rPr>
          <w:rFonts w:ascii="微软雅黑" w:hAnsi="微软雅黑" w:eastAsia="微软雅黑" w:cs="微软雅黑"/>
          <w:color w:val="231F20"/>
          <w:spacing w:val="5"/>
          <w:sz w:val="22"/>
          <w:szCs w:val="22"/>
        </w:rPr>
        <w:t>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 xml:space="preserve">通知》   ( 商财函 </w:t>
      </w:r>
      <w:r>
        <w:rPr>
          <w:rFonts w:ascii="Times New Roman" w:hAnsi="Times New Roman" w:eastAsia="Times New Roman" w:cs="Times New Roman"/>
          <w:color w:val="231F20"/>
          <w:spacing w:val="-3"/>
          <w:sz w:val="22"/>
          <w:szCs w:val="22"/>
        </w:rPr>
        <w:t xml:space="preserve">[2021]442 </w:t>
      </w:r>
      <w:r>
        <w:rPr>
          <w:rFonts w:ascii="微软雅黑" w:hAnsi="微软雅黑" w:eastAsia="微软雅黑" w:cs="微软雅黑"/>
          <w:color w:val="231F20"/>
          <w:spacing w:val="-3"/>
          <w:sz w:val="22"/>
          <w:szCs w:val="22"/>
        </w:rPr>
        <w:t>号 )  ，  明确支持外资外贸企业开展人民币跨境结算 ，支</w:t>
      </w:r>
      <w:r>
        <w:rPr>
          <w:rFonts w:ascii="微软雅黑" w:hAnsi="微软雅黑" w:eastAsia="微软雅黑" w:cs="微软雅黑"/>
          <w:color w:val="231F20"/>
          <w:spacing w:val="-1"/>
          <w:sz w:val="22"/>
          <w:szCs w:val="22"/>
        </w:rPr>
        <w:t>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金融机构在“展业三原则”的基础上 ，进一步简化跨境人民币结算流程 ，优化跨</w:t>
      </w:r>
      <w:r>
        <w:rPr>
          <w:rFonts w:ascii="微软雅黑" w:hAnsi="微软雅黑" w:eastAsia="微软雅黑" w:cs="微软雅黑"/>
          <w:color w:val="231F20"/>
          <w:spacing w:val="4"/>
          <w:sz w:val="22"/>
          <w:szCs w:val="22"/>
        </w:rPr>
        <w:t>境</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人民币业务办理。鼓励利用外经贸发展专项资金为外资外贸企业提供业务培训 、</w:t>
      </w:r>
      <w:r>
        <w:rPr>
          <w:rFonts w:ascii="微软雅黑" w:hAnsi="微软雅黑" w:eastAsia="微软雅黑" w:cs="微软雅黑"/>
          <w:color w:val="231F20"/>
          <w:spacing w:val="3"/>
          <w:sz w:val="22"/>
          <w:szCs w:val="22"/>
        </w:rPr>
        <w:t>风</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险防范与应对 、海外资信调查 、外资投资指引等公共服务。</w:t>
      </w:r>
      <w:r>
        <w:rPr>
          <w:rFonts w:ascii="SimHei" w:hAnsi="SimHei" w:eastAsia="SimHei" w:cs="SimHei"/>
          <w:color w:val="231F20"/>
          <w:spacing w:val="6"/>
          <w:sz w:val="22"/>
          <w:szCs w:val="22"/>
        </w:rPr>
        <w:t>三是支持外资企业平</w:t>
      </w:r>
      <w:r>
        <w:rPr>
          <w:rFonts w:ascii="SimHei" w:hAnsi="SimHei" w:eastAsia="SimHei" w:cs="SimHei"/>
          <w:color w:val="231F20"/>
          <w:spacing w:val="5"/>
          <w:sz w:val="22"/>
          <w:szCs w:val="22"/>
        </w:rPr>
        <w:t>等</w:t>
      </w:r>
      <w:r>
        <w:rPr>
          <w:rFonts w:ascii="SimHei" w:hAnsi="SimHei" w:eastAsia="SimHei" w:cs="SimHei"/>
          <w:color w:val="231F20"/>
          <w:sz w:val="22"/>
          <w:szCs w:val="22"/>
        </w:rPr>
        <w:t xml:space="preserve"> </w:t>
      </w:r>
      <w:r>
        <w:rPr>
          <w:rFonts w:ascii="SimHei" w:hAnsi="SimHei" w:eastAsia="SimHei" w:cs="SimHei"/>
          <w:color w:val="231F20"/>
          <w:spacing w:val="4"/>
          <w:sz w:val="22"/>
          <w:szCs w:val="22"/>
        </w:rPr>
        <w:t>参与标准制定。</w:t>
      </w:r>
      <w:r>
        <w:rPr>
          <w:rFonts w:ascii="Times New Roman" w:hAnsi="Times New Roman" w:eastAsia="Times New Roman" w:cs="Times New Roman"/>
          <w:color w:val="231F20"/>
          <w:spacing w:val="4"/>
          <w:sz w:val="22"/>
          <w:szCs w:val="22"/>
        </w:rPr>
        <w:t>20</w:t>
      </w:r>
      <w:r>
        <w:rPr>
          <w:rFonts w:ascii="Times New Roman" w:hAnsi="Times New Roman" w:eastAsia="Times New Roman" w:cs="Times New Roman"/>
          <w:color w:val="231F20"/>
          <w:spacing w:val="2"/>
          <w:sz w:val="22"/>
          <w:szCs w:val="22"/>
        </w:rPr>
        <w:t xml:space="preserve">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8 </w:t>
      </w:r>
      <w:r>
        <w:rPr>
          <w:rFonts w:ascii="微软雅黑" w:hAnsi="微软雅黑" w:eastAsia="微软雅黑" w:cs="微软雅黑"/>
          <w:color w:val="231F20"/>
          <w:spacing w:val="2"/>
          <w:sz w:val="22"/>
          <w:szCs w:val="22"/>
        </w:rPr>
        <w:t xml:space="preserve">月 </w:t>
      </w:r>
      <w:r>
        <w:rPr>
          <w:rFonts w:ascii="Times New Roman" w:hAnsi="Times New Roman" w:eastAsia="Times New Roman" w:cs="Times New Roman"/>
          <w:color w:val="231F20"/>
          <w:spacing w:val="2"/>
          <w:sz w:val="22"/>
          <w:szCs w:val="22"/>
        </w:rPr>
        <w:t xml:space="preserve">17 </w:t>
      </w:r>
      <w:r>
        <w:rPr>
          <w:rFonts w:ascii="微软雅黑" w:hAnsi="微软雅黑" w:eastAsia="微软雅黑" w:cs="微软雅黑"/>
          <w:color w:val="231F20"/>
          <w:spacing w:val="2"/>
          <w:sz w:val="22"/>
          <w:szCs w:val="22"/>
        </w:rPr>
        <w:t>日 ，商务部发布《关于加强“十四五”时期商务领域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标准化建设的指导意见》  ，  明确要求落实外商投资法等规定</w:t>
      </w:r>
      <w:r>
        <w:rPr>
          <w:rFonts w:ascii="微软雅黑" w:hAnsi="微软雅黑" w:eastAsia="微软雅黑" w:cs="微软雅黑"/>
          <w:color w:val="231F20"/>
          <w:sz w:val="22"/>
          <w:szCs w:val="22"/>
        </w:rPr>
        <w:t xml:space="preserve"> ，保障外资企业平等参 </w:t>
      </w:r>
      <w:r>
        <w:rPr>
          <w:rFonts w:ascii="微软雅黑" w:hAnsi="微软雅黑" w:eastAsia="微软雅黑" w:cs="微软雅黑"/>
          <w:color w:val="231F20"/>
          <w:spacing w:val="3"/>
          <w:sz w:val="22"/>
          <w:szCs w:val="22"/>
        </w:rPr>
        <w:t>与标准化活动</w:t>
      </w:r>
      <w:r>
        <w:rPr>
          <w:rFonts w:ascii="微软雅黑" w:hAnsi="微软雅黑" w:eastAsia="微软雅黑" w:cs="微软雅黑"/>
          <w:color w:val="231F20"/>
          <w:spacing w:val="2"/>
          <w:sz w:val="22"/>
          <w:szCs w:val="22"/>
        </w:rPr>
        <w:t>。</w:t>
      </w:r>
    </w:p>
    <w:p>
      <w:pPr>
        <w:spacing w:before="182" w:line="214"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强化外资企业知</w:t>
      </w:r>
      <w:r>
        <w:rPr>
          <w:rFonts w:ascii="KaiTi" w:hAnsi="KaiTi" w:eastAsia="KaiTi" w:cs="KaiTi"/>
          <w:color w:val="015DAC"/>
          <w:sz w:val="22"/>
          <w:szCs w:val="22"/>
        </w:rPr>
        <w:t>识产权保护</w:t>
      </w:r>
    </w:p>
    <w:p>
      <w:pPr>
        <w:spacing w:line="265" w:lineRule="auto"/>
        <w:rPr>
          <w:rFonts w:ascii="Arial"/>
          <w:sz w:val="21"/>
        </w:rPr>
      </w:pPr>
    </w:p>
    <w:p>
      <w:pPr>
        <w:spacing w:before="95" w:line="265" w:lineRule="auto"/>
        <w:ind w:left="1988" w:right="1984" w:firstLine="454"/>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印发《知识产权强国建设纲要 ( </w:t>
      </w:r>
      <w:r>
        <w:rPr>
          <w:rFonts w:ascii="Times New Roman" w:hAnsi="Times New Roman" w:eastAsia="Times New Roman" w:cs="Times New Roman"/>
          <w:color w:val="231F20"/>
          <w:spacing w:val="-2"/>
          <w:sz w:val="22"/>
          <w:szCs w:val="22"/>
        </w:rPr>
        <w:t>2021</w:t>
      </w:r>
      <w:r>
        <w:rPr>
          <w:rFonts w:ascii="微软雅黑" w:hAnsi="微软雅黑" w:eastAsia="微软雅黑" w:cs="微软雅黑"/>
          <w:color w:val="231F20"/>
          <w:spacing w:val="-2"/>
          <w:sz w:val="22"/>
          <w:szCs w:val="22"/>
        </w:rPr>
        <w:t>—</w:t>
      </w:r>
      <w:r>
        <w:rPr>
          <w:rFonts w:ascii="Times New Roman" w:hAnsi="Times New Roman" w:eastAsia="Times New Roman" w:cs="Times New Roman"/>
          <w:color w:val="231F20"/>
          <w:spacing w:val="-1"/>
          <w:sz w:val="22"/>
          <w:szCs w:val="22"/>
        </w:rPr>
        <w:t xml:space="preserve">2035 </w:t>
      </w:r>
      <w:r>
        <w:rPr>
          <w:rFonts w:ascii="微软雅黑" w:hAnsi="微软雅黑" w:eastAsia="微软雅黑" w:cs="微软雅黑"/>
          <w:color w:val="231F20"/>
          <w:spacing w:val="-1"/>
          <w:sz w:val="22"/>
          <w:szCs w:val="22"/>
        </w:rPr>
        <w:t>年 )  》和《  “十四五”国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家知识</w:t>
      </w:r>
      <w:r>
        <w:rPr>
          <w:rFonts w:ascii="微软雅黑" w:hAnsi="微软雅黑" w:eastAsia="微软雅黑" w:cs="微软雅黑"/>
          <w:color w:val="231F20"/>
          <w:sz w:val="22"/>
          <w:szCs w:val="22"/>
        </w:rPr>
        <w:t xml:space="preserve">产权保护和运用规划》  ，在顶层设计上部署推进外商投资企业知识产权保护工 </w:t>
      </w:r>
      <w:r>
        <w:rPr>
          <w:rFonts w:ascii="微软雅黑" w:hAnsi="微软雅黑" w:eastAsia="微软雅黑" w:cs="微软雅黑"/>
          <w:color w:val="231F20"/>
          <w:spacing w:val="1"/>
          <w:sz w:val="22"/>
          <w:szCs w:val="22"/>
        </w:rPr>
        <w:t xml:space="preserve">作。其中，《知识产权强国建设纲要 ( </w:t>
      </w:r>
      <w:r>
        <w:rPr>
          <w:rFonts w:ascii="Times New Roman" w:hAnsi="Times New Roman" w:eastAsia="Times New Roman" w:cs="Times New Roman"/>
          <w:color w:val="231F20"/>
          <w:spacing w:val="1"/>
          <w:sz w:val="22"/>
          <w:szCs w:val="22"/>
        </w:rPr>
        <w:t>2021</w:t>
      </w:r>
      <w:r>
        <w:rPr>
          <w:rFonts w:ascii="微软雅黑" w:hAnsi="微软雅黑" w:eastAsia="微软雅黑" w:cs="微软雅黑"/>
          <w:color w:val="231F20"/>
          <w:spacing w:val="1"/>
          <w:sz w:val="22"/>
          <w:szCs w:val="22"/>
        </w:rPr>
        <w:t>—</w:t>
      </w:r>
      <w:r>
        <w:rPr>
          <w:rFonts w:ascii="Times New Roman" w:hAnsi="Times New Roman" w:eastAsia="Times New Roman" w:cs="Times New Roman"/>
          <w:color w:val="231F20"/>
          <w:spacing w:val="1"/>
          <w:sz w:val="22"/>
          <w:szCs w:val="22"/>
        </w:rPr>
        <w:t>2035</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年 )  》提出建设支撑国际一流营商</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823104" behindDoc="1" locked="0" layoutInCell="0" allowOverlap="1">
            <wp:simplePos x="0" y="0"/>
            <wp:positionH relativeFrom="page">
              <wp:posOffset>0</wp:posOffset>
            </wp:positionH>
            <wp:positionV relativeFrom="page">
              <wp:posOffset>10052685</wp:posOffset>
            </wp:positionV>
            <wp:extent cx="7705090" cy="42291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74"/>
                    <a:stretch>
                      <a:fillRect/>
                    </a:stretch>
                  </pic:blipFill>
                  <pic:spPr>
                    <a:xfrm>
                      <a:off x="0" y="0"/>
                      <a:ext cx="7704810" cy="422998"/>
                    </a:xfrm>
                    <a:prstGeom prst="rect">
                      <a:avLst/>
                    </a:prstGeom>
                  </pic:spPr>
                </pic:pic>
              </a:graphicData>
            </a:graphic>
          </wp:anchor>
        </w:drawing>
      </w:r>
      <w:r>
        <w:drawing>
          <wp:anchor distT="0" distB="0" distL="0" distR="0" simplePos="0" relativeHeight="251824128" behindDoc="1" locked="0" layoutInCell="0" allowOverlap="1">
            <wp:simplePos x="0" y="0"/>
            <wp:positionH relativeFrom="page">
              <wp:posOffset>7667625</wp:posOffset>
            </wp:positionH>
            <wp:positionV relativeFrom="page">
              <wp:posOffset>0</wp:posOffset>
            </wp:positionV>
            <wp:extent cx="107950" cy="10476230"/>
            <wp:effectExtent l="0" t="0" r="0" b="0"/>
            <wp:wrapNone/>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45"/>
                    <a:stretch>
                      <a:fillRect/>
                    </a:stretch>
                  </pic:blipFill>
                  <pic:spPr>
                    <a:xfrm>
                      <a:off x="0" y="0"/>
                      <a:ext cx="107994" cy="10476001"/>
                    </a:xfrm>
                    <a:prstGeom prst="rect">
                      <a:avLst/>
                    </a:prstGeom>
                  </pic:spPr>
                </pic:pic>
              </a:graphicData>
            </a:graphic>
          </wp:anchor>
        </w:drawing>
      </w:r>
    </w:p>
    <w:p>
      <w:pPr>
        <w:spacing w:line="358" w:lineRule="auto"/>
        <w:rPr>
          <w:rFonts w:ascii="Arial"/>
          <w:sz w:val="21"/>
        </w:rPr>
      </w:pPr>
    </w:p>
    <w:p>
      <w:pPr>
        <w:spacing w:before="68" w:line="239" w:lineRule="auto"/>
        <w:ind w:left="1593"/>
        <w:rPr>
          <w:rFonts w:ascii="SimHei" w:hAnsi="SimHei" w:eastAsia="SimHei" w:cs="SimHei"/>
          <w:sz w:val="21"/>
          <w:szCs w:val="21"/>
        </w:rPr>
      </w:pPr>
      <w:bookmarkStart w:id="21" w:name="_bookmark20"/>
      <w:bookmarkEnd w:id="21"/>
      <w:bookmarkStart w:id="22" w:name="_bookmark100"/>
      <w:bookmarkEnd w:id="22"/>
      <w:r>
        <w:rPr>
          <w:rFonts w:ascii="Arial" w:hAnsi="Arial" w:eastAsia="Arial" w:cs="Arial"/>
          <w:color w:val="231F20"/>
          <w:spacing w:val="22"/>
          <w:sz w:val="20"/>
          <w:szCs w:val="20"/>
        </w:rPr>
        <w:t xml:space="preserve">26  </w:t>
      </w:r>
      <w:r>
        <w:rPr>
          <w:position w:val="-5"/>
          <w:sz w:val="20"/>
          <w:szCs w:val="20"/>
        </w:rPr>
        <w:drawing>
          <wp:inline distT="0" distB="0" distL="0" distR="0">
            <wp:extent cx="3175" cy="14732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2"/>
          <w:sz w:val="20"/>
          <w:szCs w:val="20"/>
        </w:rPr>
        <w:t xml:space="preserve">   </w:t>
      </w:r>
      <w:r>
        <w:rPr>
          <w:rFonts w:ascii="宋体" w:hAnsi="宋体" w:eastAsia="宋体" w:cs="宋体"/>
          <w:color w:val="537DBF"/>
          <w:spacing w:val="22"/>
          <w:sz w:val="21"/>
          <w:szCs w:val="21"/>
        </w:rPr>
        <w:t xml:space="preserve">中国外商投资报告 2022 </w:t>
      </w:r>
      <w:r>
        <w:rPr>
          <w:position w:val="-5"/>
          <w:sz w:val="21"/>
          <w:szCs w:val="21"/>
        </w:rPr>
        <w:drawing>
          <wp:inline distT="0" distB="0" distL="0" distR="0">
            <wp:extent cx="3175" cy="147320"/>
            <wp:effectExtent l="0" t="0" r="0" b="0"/>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2"/>
          <w:sz w:val="21"/>
          <w:szCs w:val="21"/>
        </w:rPr>
        <w:t xml:space="preserve">  </w:t>
      </w:r>
      <w:r>
        <w:rPr>
          <w:rFonts w:ascii="SimHei" w:hAnsi="SimHei" w:eastAsia="SimHei" w:cs="SimHei"/>
          <w:color w:val="1A67B3"/>
          <w:spacing w:val="22"/>
          <w:sz w:val="21"/>
          <w:szCs w:val="21"/>
          <w14:textOutline w14:w="3175" w14:cap="flat" w14:cmpd="sng">
            <w14:solidFill>
              <w14:srgbClr w14:val="1A67B3"/>
            </w14:solidFill>
            <w14:prstDash w14:val="solid"/>
            <w14:miter w14:val="0"/>
          </w14:textOutline>
        </w:rPr>
        <w:t>综合</w:t>
      </w:r>
      <w:r>
        <w:rPr>
          <w:rFonts w:ascii="SimHei" w:hAnsi="SimHei" w:eastAsia="SimHei" w:cs="SimHei"/>
          <w:color w:val="1A67B3"/>
          <w:spacing w:val="18"/>
          <w:sz w:val="21"/>
          <w:szCs w:val="21"/>
          <w14:textOutline w14:w="3175" w14:cap="flat" w14:cmpd="sng">
            <w14:solidFill>
              <w14:srgbClr w14:val="1A67B3"/>
            </w14:solidFill>
            <w14:prstDash w14:val="solid"/>
            <w14:miter w14:val="0"/>
          </w14:textOutline>
        </w:rPr>
        <w:t>篇</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94" w:line="261" w:lineRule="auto"/>
        <w:ind w:left="1991" w:right="1919" w:firstLine="5"/>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环境的知识</w:t>
      </w:r>
      <w:r>
        <w:rPr>
          <w:rFonts w:ascii="微软雅黑" w:hAnsi="微软雅黑" w:eastAsia="微软雅黑" w:cs="微软雅黑"/>
          <w:color w:val="231F20"/>
          <w:spacing w:val="3"/>
          <w:sz w:val="22"/>
          <w:szCs w:val="22"/>
        </w:rPr>
        <w:t>产权保护体系，健全公正高效、管辖科学、权界清晰、系统完备的司法保</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护体制，健全</w:t>
      </w:r>
      <w:r>
        <w:rPr>
          <w:rFonts w:ascii="微软雅黑" w:hAnsi="微软雅黑" w:eastAsia="微软雅黑" w:cs="微软雅黑"/>
          <w:color w:val="231F20"/>
          <w:spacing w:val="3"/>
          <w:sz w:val="22"/>
          <w:szCs w:val="22"/>
        </w:rPr>
        <w:t>便捷高效、严格公正、公开透明的行政保护体系，健全统一领导、衔接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顺畅、</w:t>
      </w:r>
      <w:r>
        <w:rPr>
          <w:rFonts w:ascii="微软雅黑" w:hAnsi="微软雅黑" w:eastAsia="微软雅黑" w:cs="微软雅黑"/>
          <w:color w:val="231F20"/>
          <w:sz w:val="22"/>
          <w:szCs w:val="22"/>
        </w:rPr>
        <w:t xml:space="preserve">快速高效的协同保护格局。《  “十四五”国家知识产权保护和运用规划》提出 </w:t>
      </w:r>
      <w:r>
        <w:rPr>
          <w:rFonts w:ascii="微软雅黑" w:hAnsi="微软雅黑" w:eastAsia="微软雅黑" w:cs="微软雅黑"/>
          <w:color w:val="231F20"/>
          <w:spacing w:val="-12"/>
          <w:sz w:val="22"/>
          <w:szCs w:val="22"/>
        </w:rPr>
        <w:t>完</w:t>
      </w:r>
      <w:r>
        <w:rPr>
          <w:rFonts w:ascii="微软雅黑" w:hAnsi="微软雅黑" w:eastAsia="微软雅黑" w:cs="微软雅黑"/>
          <w:color w:val="231F20"/>
          <w:spacing w:val="-11"/>
          <w:sz w:val="22"/>
          <w:szCs w:val="22"/>
        </w:rPr>
        <w:t>善</w:t>
      </w:r>
      <w:r>
        <w:rPr>
          <w:rFonts w:ascii="微软雅黑" w:hAnsi="微软雅黑" w:eastAsia="微软雅黑" w:cs="微软雅黑"/>
          <w:color w:val="231F20"/>
          <w:spacing w:val="-6"/>
          <w:sz w:val="22"/>
          <w:szCs w:val="22"/>
        </w:rPr>
        <w:t>知识产权法律政策体系，加强知识产权司法保护、行政保护、协同保护和源头保护，</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实施商业秘密保护等工程 ，强有力保护外资企业知识</w:t>
      </w:r>
      <w:r>
        <w:rPr>
          <w:rFonts w:ascii="微软雅黑" w:hAnsi="微软雅黑" w:eastAsia="微软雅黑" w:cs="微软雅黑"/>
          <w:color w:val="231F20"/>
          <w:spacing w:val="-1"/>
          <w:sz w:val="22"/>
          <w:szCs w:val="22"/>
        </w:rPr>
        <w:t>产</w:t>
      </w:r>
      <w:r>
        <w:rPr>
          <w:rFonts w:ascii="微软雅黑" w:hAnsi="微软雅黑" w:eastAsia="微软雅黑" w:cs="微软雅黑"/>
          <w:color w:val="231F20"/>
          <w:sz w:val="22"/>
          <w:szCs w:val="22"/>
        </w:rPr>
        <w:t>权。</w:t>
      </w:r>
    </w:p>
    <w:p>
      <w:pPr>
        <w:spacing w:before="180" w:line="214" w:lineRule="auto"/>
        <w:ind w:left="2443"/>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完善外</w:t>
      </w:r>
      <w:r>
        <w:rPr>
          <w:rFonts w:ascii="KaiTi" w:hAnsi="KaiTi" w:eastAsia="KaiTi" w:cs="KaiTi"/>
          <w:color w:val="015DAC"/>
          <w:sz w:val="22"/>
          <w:szCs w:val="22"/>
        </w:rPr>
        <w:t>资企业投诉工作机制</w:t>
      </w:r>
    </w:p>
    <w:p>
      <w:pPr>
        <w:spacing w:line="269" w:lineRule="auto"/>
        <w:rPr>
          <w:rFonts w:ascii="Arial"/>
          <w:sz w:val="21"/>
        </w:rPr>
      </w:pPr>
    </w:p>
    <w:p>
      <w:pPr>
        <w:spacing w:before="95" w:line="261" w:lineRule="auto"/>
        <w:ind w:left="1991" w:right="1984" w:firstLine="447"/>
        <w:rPr>
          <w:rFonts w:ascii="微软雅黑" w:hAnsi="微软雅黑" w:eastAsia="微软雅黑" w:cs="微软雅黑"/>
          <w:sz w:val="22"/>
          <w:szCs w:val="22"/>
        </w:rPr>
      </w:pPr>
      <w:r>
        <w:rPr>
          <w:rFonts w:ascii="Times New Roman" w:hAnsi="Times New Roman" w:eastAsia="Times New Roman" w:cs="Times New Roman"/>
          <w:color w:val="231F20"/>
          <w:spacing w:val="-6"/>
          <w:sz w:val="22"/>
          <w:szCs w:val="22"/>
        </w:rPr>
        <w:t>20</w:t>
      </w:r>
      <w:r>
        <w:rPr>
          <w:rFonts w:ascii="Times New Roman" w:hAnsi="Times New Roman" w:eastAsia="Times New Roman" w:cs="Times New Roman"/>
          <w:color w:val="231F20"/>
          <w:spacing w:val="-4"/>
          <w:sz w:val="22"/>
          <w:szCs w:val="22"/>
        </w:rPr>
        <w:t>2</w:t>
      </w:r>
      <w:r>
        <w:rPr>
          <w:rFonts w:ascii="Times New Roman" w:hAnsi="Times New Roman" w:eastAsia="Times New Roman" w:cs="Times New Roman"/>
          <w:color w:val="231F20"/>
          <w:spacing w:val="-3"/>
          <w:sz w:val="22"/>
          <w:szCs w:val="22"/>
        </w:rPr>
        <w:t xml:space="preserve">0 </w:t>
      </w:r>
      <w:r>
        <w:rPr>
          <w:rFonts w:ascii="微软雅黑" w:hAnsi="微软雅黑" w:eastAsia="微软雅黑" w:cs="微软雅黑"/>
          <w:color w:val="231F20"/>
          <w:spacing w:val="-3"/>
          <w:sz w:val="22"/>
          <w:szCs w:val="22"/>
        </w:rPr>
        <w:t>年 ，商务部制定出台《外商投资企业投诉工作办法》  ，发布了《全国外商投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资企业投诉中心办事指南》和《全国外商投资企业投诉工作机构名录》</w:t>
      </w:r>
      <w:r>
        <w:rPr>
          <w:rFonts w:ascii="微软雅黑" w:hAnsi="微软雅黑" w:eastAsia="微软雅黑" w:cs="微软雅黑"/>
          <w:color w:val="231F20"/>
          <w:spacing w:val="1"/>
          <w:sz w:val="22"/>
          <w:szCs w:val="22"/>
        </w:rPr>
        <w:t>。</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据《外商投资企业投诉工作办法》要求，  中国各省市结</w:t>
      </w:r>
      <w:r>
        <w:rPr>
          <w:rFonts w:ascii="微软雅黑" w:hAnsi="微软雅黑" w:eastAsia="微软雅黑" w:cs="微软雅黑"/>
          <w:color w:val="231F20"/>
          <w:spacing w:val="-1"/>
          <w:sz w:val="22"/>
          <w:szCs w:val="22"/>
        </w:rPr>
        <w:t>合自身具体情况 ，相继出台本</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地区投诉工作办法。截至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年底 ，全国 </w:t>
      </w:r>
      <w:r>
        <w:rPr>
          <w:rFonts w:ascii="Times New Roman" w:hAnsi="Times New Roman" w:eastAsia="Times New Roman" w:cs="Times New Roman"/>
          <w:color w:val="231F20"/>
          <w:spacing w:val="1"/>
          <w:sz w:val="22"/>
          <w:szCs w:val="22"/>
        </w:rPr>
        <w:t xml:space="preserve">27 </w:t>
      </w:r>
      <w:r>
        <w:rPr>
          <w:rFonts w:ascii="微软雅黑" w:hAnsi="微软雅黑" w:eastAsia="微软雅黑" w:cs="微软雅黑"/>
          <w:color w:val="231F20"/>
          <w:spacing w:val="1"/>
          <w:sz w:val="22"/>
          <w:szCs w:val="22"/>
        </w:rPr>
        <w:t>个省市及新疆生产建设兵团已完成本地</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区外商投诉工作办法的制定或修订 ，地方外商投诉工作机制和制度进一步完备。</w:t>
      </w:r>
    </w:p>
    <w:p>
      <w:pPr>
        <w:sectPr>
          <w:pgSz w:w="12246" w:h="16498"/>
          <w:pgMar w:top="400" w:right="0" w:bottom="400" w:left="0" w:header="0" w:footer="0"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273" w:line="1114" w:lineRule="exact"/>
        <w:ind w:left="4884"/>
        <w:rPr>
          <w:rFonts w:ascii="SimHei" w:hAnsi="SimHei" w:eastAsia="SimHei" w:cs="SimHei"/>
          <w:sz w:val="84"/>
          <w:szCs w:val="84"/>
        </w:rPr>
      </w:pPr>
      <w:bookmarkStart w:id="23" w:name="_bookmark21"/>
      <w:bookmarkEnd w:id="23"/>
      <w:r>
        <w:rPr>
          <w:rFonts w:ascii="SimHei" w:hAnsi="SimHei" w:eastAsia="SimHei" w:cs="SimHei"/>
          <w:color w:val="004876"/>
          <w:spacing w:val="-4"/>
          <w:position w:val="3"/>
          <w:sz w:val="84"/>
          <w:szCs w:val="84"/>
          <w14:textOutline w14:w="12700" w14:cap="flat" w14:cmpd="sng">
            <w14:solidFill>
              <w14:srgbClr w14:val="004876"/>
            </w14:solidFill>
            <w14:prstDash w14:val="solid"/>
            <w14:miter w14:val="0"/>
          </w14:textOutline>
        </w:rPr>
        <w:t>产业篇</w:t>
      </w:r>
    </w:p>
    <w:p>
      <w:pPr>
        <w:sectPr>
          <w:headerReference r:id="rId9" w:type="default"/>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82515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3"/>
        <w:rPr>
          <w:rFonts w:ascii="SimHei" w:hAnsi="SimHei" w:eastAsia="SimHei" w:cs="SimHei"/>
          <w:sz w:val="21"/>
          <w:szCs w:val="21"/>
        </w:rPr>
      </w:pPr>
      <w:r>
        <w:rPr>
          <w:rFonts w:ascii="Arial" w:hAnsi="Arial" w:eastAsia="Arial" w:cs="Arial"/>
          <w:color w:val="231F20"/>
          <w:spacing w:val="22"/>
          <w:sz w:val="20"/>
          <w:szCs w:val="20"/>
        </w:rPr>
        <w:t xml:space="preserve">28  </w:t>
      </w:r>
      <w:r>
        <w:rPr>
          <w:position w:val="-5"/>
          <w:sz w:val="20"/>
          <w:szCs w:val="20"/>
        </w:rPr>
        <w:drawing>
          <wp:inline distT="0" distB="0" distL="0" distR="0">
            <wp:extent cx="3175" cy="14732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2"/>
          <w:sz w:val="20"/>
          <w:szCs w:val="20"/>
        </w:rPr>
        <w:t xml:space="preserve">   </w:t>
      </w:r>
      <w:r>
        <w:rPr>
          <w:rFonts w:ascii="宋体" w:hAnsi="宋体" w:eastAsia="宋体" w:cs="宋体"/>
          <w:color w:val="537DBF"/>
          <w:spacing w:val="22"/>
          <w:sz w:val="21"/>
          <w:szCs w:val="21"/>
        </w:rPr>
        <w:t xml:space="preserve">中国外商投资报告 2022 </w:t>
      </w:r>
      <w:r>
        <w:rPr>
          <w:position w:val="-5"/>
          <w:sz w:val="21"/>
          <w:szCs w:val="21"/>
        </w:rPr>
        <w:drawing>
          <wp:inline distT="0" distB="0" distL="0" distR="0">
            <wp:extent cx="3175" cy="147320"/>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2"/>
          <w:sz w:val="21"/>
          <w:szCs w:val="21"/>
        </w:rPr>
        <w:t xml:space="preserve">  </w:t>
      </w:r>
      <w:r>
        <w:rPr>
          <w:rFonts w:ascii="SimHei" w:hAnsi="SimHei" w:eastAsia="SimHei" w:cs="SimHei"/>
          <w:color w:val="1A67B3"/>
          <w:spacing w:val="22"/>
          <w:sz w:val="21"/>
          <w:szCs w:val="21"/>
          <w14:textOutline w14:w="3175" w14:cap="flat" w14:cmpd="sng">
            <w14:solidFill>
              <w14:srgbClr w14:val="1A67B3"/>
            </w14:solidFill>
            <w14:prstDash w14:val="solid"/>
            <w14:miter w14:val="0"/>
          </w14:textOutline>
        </w:rPr>
        <w:t>产业</w:t>
      </w:r>
      <w:r>
        <w:rPr>
          <w:rFonts w:ascii="SimHei" w:hAnsi="SimHei" w:eastAsia="SimHei" w:cs="SimHei"/>
          <w:color w:val="1A67B3"/>
          <w:spacing w:val="18"/>
          <w:sz w:val="21"/>
          <w:szCs w:val="21"/>
          <w14:textOutline w14:w="3175" w14:cap="flat" w14:cmpd="sng">
            <w14:solidFill>
              <w14:srgbClr w14:val="1A67B3"/>
            </w14:solidFill>
            <w14:prstDash w14:val="solid"/>
            <w14:miter w14:val="0"/>
          </w14:textOutline>
        </w:rPr>
        <w:t>篇</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3680" w:lineRule="exact"/>
        <w:ind w:firstLine="1984"/>
        <w:textAlignment w:val="center"/>
      </w:pPr>
      <w:r>
        <w:pict>
          <v:group id="_x0000_s1185" o:spid="_x0000_s1185" o:spt="203" style="height:184.05pt;width:413.9pt;" coordsize="8277,3681">
            <o:lock v:ext="edit"/>
            <v:rect id="_x0000_s1186" o:spid="_x0000_s1186" o:spt="1" style="position:absolute;left:0;top:124;height:3437;width:8277;" fillcolor="#E5F5FC" filled="t" stroked="f" coordsize="21600,21600">
              <v:path/>
              <v:fill on="t" focussize="0,0"/>
              <v:stroke on="f"/>
              <v:imagedata o:title=""/>
              <o:lock v:ext="edit"/>
            </v:rect>
            <v:shape id="_x0000_s1187" o:spid="_x0000_s1187" o:spt="202" type="#_x0000_t202" style="position:absolute;left:-20;top:-20;height:3721;width:8317;" filled="f" stroked="f" coordsize="21600,21600">
              <v:path/>
              <v:fill on="f" focussize="0,0"/>
              <v:stroke on="f"/>
              <v:imagedata o:title=""/>
              <o:lock v:ext="edit" aspectratio="f"/>
              <v:textbox inset="0mm,0mm,0mm,0mm">
                <w:txbxContent>
                  <w:p>
                    <w:pPr>
                      <w:spacing w:before="20" w:line="39" w:lineRule="exact"/>
                      <w:ind w:firstLine="20"/>
                      <w:textAlignment w:val="center"/>
                    </w:pPr>
                    <w:r>
                      <w:drawing>
                        <wp:inline distT="0" distB="0" distL="0" distR="0">
                          <wp:extent cx="5255895" cy="2476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75"/>
                                  <a:stretch>
                                    <a:fillRect/>
                                  </a:stretch>
                                </pic:blipFill>
                                <pic:spPr>
                                  <a:xfrm>
                                    <a:off x="0" y="0"/>
                                    <a:ext cx="5255996" cy="25399"/>
                                  </a:xfrm>
                                  <a:prstGeom prst="rect">
                                    <a:avLst/>
                                  </a:prstGeom>
                                </pic:spPr>
                              </pic:pic>
                            </a:graphicData>
                          </a:graphic>
                        </wp:inline>
                      </w:drawing>
                    </w:r>
                  </w:p>
                  <w:p>
                    <w:pPr>
                      <w:spacing w:line="249" w:lineRule="auto"/>
                      <w:rPr>
                        <w:rFonts w:ascii="Arial"/>
                        <w:sz w:val="21"/>
                      </w:rPr>
                    </w:pPr>
                  </w:p>
                  <w:p>
                    <w:pPr>
                      <w:spacing w:line="250" w:lineRule="auto"/>
                      <w:rPr>
                        <w:rFonts w:ascii="Arial"/>
                        <w:sz w:val="21"/>
                      </w:rPr>
                    </w:pPr>
                  </w:p>
                  <w:p>
                    <w:pPr>
                      <w:spacing w:before="91" w:line="332" w:lineRule="auto"/>
                      <w:ind w:left="246" w:right="232" w:firstLine="752"/>
                      <w:rPr>
                        <w:rFonts w:ascii="SimHei" w:hAnsi="SimHei" w:eastAsia="SimHei" w:cs="SimHei"/>
                        <w:sz w:val="28"/>
                        <w:szCs w:val="28"/>
                      </w:rPr>
                    </w:pPr>
                    <w:r>
                      <w:rPr>
                        <w:rFonts w:ascii="SimHei" w:hAnsi="SimHei" w:eastAsia="SimHei" w:cs="SimHei"/>
                        <w:color w:val="015DAC"/>
                        <w:spacing w:val="6"/>
                        <w:sz w:val="28"/>
                        <w:szCs w:val="28"/>
                      </w:rPr>
                      <w:t>近年来</w:t>
                    </w:r>
                    <w:r>
                      <w:rPr>
                        <w:rFonts w:ascii="SimHei" w:hAnsi="SimHei" w:eastAsia="SimHei" w:cs="SimHei"/>
                        <w:color w:val="015DAC"/>
                        <w:spacing w:val="3"/>
                        <w:sz w:val="28"/>
                        <w:szCs w:val="28"/>
                      </w:rPr>
                      <w:t>，为推动产业转型升级、促进产业高质量发展，中</w:t>
                    </w:r>
                    <w:r>
                      <w:rPr>
                        <w:rFonts w:ascii="SimHei" w:hAnsi="SimHei" w:eastAsia="SimHei" w:cs="SimHei"/>
                        <w:color w:val="015DAC"/>
                        <w:sz w:val="28"/>
                        <w:szCs w:val="28"/>
                      </w:rPr>
                      <w:t xml:space="preserve"> </w:t>
                    </w:r>
                    <w:r>
                      <w:rPr>
                        <w:rFonts w:ascii="SimHei" w:hAnsi="SimHei" w:eastAsia="SimHei" w:cs="SimHei"/>
                        <w:color w:val="015DAC"/>
                        <w:spacing w:val="18"/>
                        <w:sz w:val="28"/>
                        <w:szCs w:val="28"/>
                      </w:rPr>
                      <w:t>国不</w:t>
                    </w:r>
                    <w:r>
                      <w:rPr>
                        <w:rFonts w:ascii="SimHei" w:hAnsi="SimHei" w:eastAsia="SimHei" w:cs="SimHei"/>
                        <w:color w:val="015DAC"/>
                        <w:spacing w:val="10"/>
                        <w:sz w:val="28"/>
                        <w:szCs w:val="28"/>
                      </w:rPr>
                      <w:t>仅</w:t>
                    </w:r>
                    <w:r>
                      <w:rPr>
                        <w:rFonts w:ascii="SimHei" w:hAnsi="SimHei" w:eastAsia="SimHei" w:cs="SimHei"/>
                        <w:color w:val="015DAC"/>
                        <w:spacing w:val="9"/>
                        <w:sz w:val="28"/>
                        <w:szCs w:val="28"/>
                      </w:rPr>
                      <w:t>实施稳外贸稳外资政策，而且持续在扩大行业开放、完</w:t>
                    </w:r>
                    <w:r>
                      <w:rPr>
                        <w:rFonts w:ascii="SimHei" w:hAnsi="SimHei" w:eastAsia="SimHei" w:cs="SimHei"/>
                        <w:color w:val="015DAC"/>
                        <w:sz w:val="28"/>
                        <w:szCs w:val="28"/>
                      </w:rPr>
                      <w:t xml:space="preserve"> </w:t>
                    </w:r>
                    <w:r>
                      <w:rPr>
                        <w:rFonts w:ascii="SimHei" w:hAnsi="SimHei" w:eastAsia="SimHei" w:cs="SimHei"/>
                        <w:color w:val="015DAC"/>
                        <w:spacing w:val="18"/>
                        <w:sz w:val="28"/>
                        <w:szCs w:val="28"/>
                      </w:rPr>
                      <w:t>善扶</w:t>
                    </w:r>
                    <w:r>
                      <w:rPr>
                        <w:rFonts w:ascii="SimHei" w:hAnsi="SimHei" w:eastAsia="SimHei" w:cs="SimHei"/>
                        <w:color w:val="015DAC"/>
                        <w:spacing w:val="11"/>
                        <w:sz w:val="28"/>
                        <w:szCs w:val="28"/>
                      </w:rPr>
                      <w:t>持</w:t>
                    </w:r>
                    <w:r>
                      <w:rPr>
                        <w:rFonts w:ascii="SimHei" w:hAnsi="SimHei" w:eastAsia="SimHei" w:cs="SimHei"/>
                        <w:color w:val="015DAC"/>
                        <w:spacing w:val="9"/>
                        <w:sz w:val="28"/>
                        <w:szCs w:val="28"/>
                      </w:rPr>
                      <w:t>政策、优化监管制度、深化行业改革等方面出台了一系</w:t>
                    </w:r>
                    <w:r>
                      <w:rPr>
                        <w:rFonts w:ascii="SimHei" w:hAnsi="SimHei" w:eastAsia="SimHei" w:cs="SimHei"/>
                        <w:color w:val="015DAC"/>
                        <w:sz w:val="28"/>
                        <w:szCs w:val="28"/>
                      </w:rPr>
                      <w:t xml:space="preserve"> </w:t>
                    </w:r>
                    <w:r>
                      <w:rPr>
                        <w:rFonts w:ascii="SimHei" w:hAnsi="SimHei" w:eastAsia="SimHei" w:cs="SimHei"/>
                        <w:color w:val="015DAC"/>
                        <w:spacing w:val="9"/>
                        <w:sz w:val="28"/>
                        <w:szCs w:val="28"/>
                      </w:rPr>
                      <w:t>列政策措施，为外商投资企业营造了良好的投资环境，促进</w:t>
                    </w:r>
                    <w:r>
                      <w:rPr>
                        <w:rFonts w:ascii="SimHei" w:hAnsi="SimHei" w:eastAsia="SimHei" w:cs="SimHei"/>
                        <w:color w:val="015DAC"/>
                        <w:spacing w:val="8"/>
                        <w:sz w:val="28"/>
                        <w:szCs w:val="28"/>
                      </w:rPr>
                      <w:t>了</w:t>
                    </w:r>
                    <w:r>
                      <w:rPr>
                        <w:rFonts w:ascii="SimHei" w:hAnsi="SimHei" w:eastAsia="SimHei" w:cs="SimHei"/>
                        <w:color w:val="015DAC"/>
                        <w:sz w:val="28"/>
                        <w:szCs w:val="28"/>
                      </w:rPr>
                      <w:t xml:space="preserve"> </w:t>
                    </w:r>
                    <w:r>
                      <w:rPr>
                        <w:rFonts w:ascii="SimHei" w:hAnsi="SimHei" w:eastAsia="SimHei" w:cs="SimHei"/>
                        <w:color w:val="015DAC"/>
                        <w:spacing w:val="-2"/>
                        <w:sz w:val="28"/>
                        <w:szCs w:val="28"/>
                      </w:rPr>
                      <w:t>重点行业利用外资规模持</w:t>
                    </w:r>
                    <w:r>
                      <w:rPr>
                        <w:rFonts w:ascii="SimHei" w:hAnsi="SimHei" w:eastAsia="SimHei" w:cs="SimHei"/>
                        <w:color w:val="015DAC"/>
                        <w:spacing w:val="-1"/>
                        <w:sz w:val="28"/>
                        <w:szCs w:val="28"/>
                      </w:rPr>
                      <w:t>续增长、在华外资企业经营稳步发展。</w:t>
                    </w:r>
                  </w:p>
                  <w:p>
                    <w:pPr>
                      <w:spacing w:line="243" w:lineRule="auto"/>
                      <w:rPr>
                        <w:rFonts w:ascii="Arial"/>
                        <w:sz w:val="21"/>
                      </w:rPr>
                    </w:pPr>
                  </w:p>
                  <w:p>
                    <w:pPr>
                      <w:spacing w:line="243" w:lineRule="auto"/>
                      <w:rPr>
                        <w:rFonts w:ascii="Arial"/>
                        <w:sz w:val="21"/>
                      </w:rPr>
                    </w:pPr>
                  </w:p>
                  <w:p>
                    <w:pPr>
                      <w:spacing w:line="40" w:lineRule="exact"/>
                      <w:ind w:firstLine="20"/>
                      <w:textAlignment w:val="center"/>
                    </w:pPr>
                    <w:r>
                      <w:drawing>
                        <wp:inline distT="0" distB="0" distL="0" distR="0">
                          <wp:extent cx="5255895" cy="25400"/>
                          <wp:effectExtent l="0" t="0" r="0" b="0"/>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76"/>
                                  <a:stretch>
                                    <a:fillRect/>
                                  </a:stretch>
                                </pic:blipFill>
                                <pic:spPr>
                                  <a:xfrm>
                                    <a:off x="0" y="0"/>
                                    <a:ext cx="5255996" cy="25400"/>
                                  </a:xfrm>
                                  <a:prstGeom prst="rect">
                                    <a:avLst/>
                                  </a:prstGeom>
                                </pic:spPr>
                              </pic:pic>
                            </a:graphicData>
                          </a:graphic>
                        </wp:inline>
                      </w:drawing>
                    </w:r>
                  </w:p>
                </w:txbxContent>
              </v:textbox>
            </v:shape>
            <w10:wrap type="none"/>
            <w10:anchorlock/>
          </v:group>
        </w:pic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91" w:line="455" w:lineRule="exact"/>
        <w:ind w:left="2566"/>
        <w:rPr>
          <w:rFonts w:ascii="SimHei" w:hAnsi="SimHei" w:eastAsia="SimHei" w:cs="SimHei"/>
          <w:sz w:val="28"/>
          <w:szCs w:val="28"/>
        </w:rPr>
      </w:pPr>
      <w:r>
        <w:rPr>
          <w:rFonts w:ascii="SimHei" w:hAnsi="SimHei" w:eastAsia="SimHei" w:cs="SimHei"/>
          <w:color w:val="015DAC"/>
          <w:spacing w:val="-1"/>
          <w:position w:val="3"/>
          <w:sz w:val="28"/>
          <w:szCs w:val="28"/>
        </w:rPr>
        <w:t>一、医药制造业</w:t>
      </w:r>
    </w:p>
    <w:p>
      <w:pPr>
        <w:spacing w:line="242" w:lineRule="auto"/>
        <w:rPr>
          <w:rFonts w:ascii="Arial"/>
          <w:sz w:val="21"/>
        </w:rPr>
      </w:pPr>
    </w:p>
    <w:p>
      <w:pPr>
        <w:spacing w:before="95" w:line="261" w:lineRule="auto"/>
        <w:ind w:left="1990" w:right="1985" w:firstLine="469"/>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医药制造业是中国最早对外开放的行业之一。改革开放后，  中国凭</w:t>
      </w:r>
      <w:r>
        <w:rPr>
          <w:rFonts w:ascii="微软雅黑" w:hAnsi="微软雅黑" w:eastAsia="微软雅黑" w:cs="微软雅黑"/>
          <w:color w:val="231F20"/>
          <w:sz w:val="22"/>
          <w:szCs w:val="22"/>
        </w:rPr>
        <w:t xml:space="preserve">借富有竞争力 </w:t>
      </w:r>
      <w:r>
        <w:rPr>
          <w:rFonts w:ascii="微软雅黑" w:hAnsi="微软雅黑" w:eastAsia="微软雅黑" w:cs="微软雅黑"/>
          <w:color w:val="231F20"/>
          <w:spacing w:val="2"/>
          <w:sz w:val="22"/>
          <w:szCs w:val="22"/>
        </w:rPr>
        <w:t>的劳动力、优惠的产业政策和庞大的消费市场 ，吸引了</w:t>
      </w:r>
      <w:r>
        <w:rPr>
          <w:rFonts w:ascii="微软雅黑" w:hAnsi="微软雅黑" w:eastAsia="微软雅黑" w:cs="微软雅黑"/>
          <w:color w:val="231F20"/>
          <w:spacing w:val="1"/>
          <w:sz w:val="22"/>
          <w:szCs w:val="22"/>
        </w:rPr>
        <w:t>外资医药企业在中国投资和布</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局医药制造</w:t>
      </w:r>
      <w:r>
        <w:rPr>
          <w:rFonts w:ascii="微软雅黑" w:hAnsi="微软雅黑" w:eastAsia="微软雅黑" w:cs="微软雅黑"/>
          <w:color w:val="231F20"/>
          <w:sz w:val="22"/>
          <w:szCs w:val="22"/>
        </w:rPr>
        <w:t xml:space="preserve">业 ，推动中国医药制造业发展水平不断提升。特别是近两年来 ，在国家持 </w:t>
      </w:r>
      <w:r>
        <w:rPr>
          <w:rFonts w:ascii="微软雅黑" w:hAnsi="微软雅黑" w:eastAsia="微软雅黑" w:cs="微软雅黑"/>
          <w:color w:val="231F20"/>
          <w:spacing w:val="2"/>
          <w:sz w:val="22"/>
          <w:szCs w:val="22"/>
        </w:rPr>
        <w:t>续推动医药领域改革和优化产业政策的促进下 ，外资医</w:t>
      </w:r>
      <w:r>
        <w:rPr>
          <w:rFonts w:ascii="微软雅黑" w:hAnsi="微软雅黑" w:eastAsia="微软雅黑" w:cs="微软雅黑"/>
          <w:color w:val="231F20"/>
          <w:spacing w:val="1"/>
          <w:sz w:val="22"/>
          <w:szCs w:val="22"/>
        </w:rPr>
        <w:t>药制造企业在中国实现了稳步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发</w:t>
      </w:r>
      <w:r>
        <w:rPr>
          <w:rFonts w:ascii="微软雅黑" w:hAnsi="微软雅黑" w:eastAsia="微软雅黑" w:cs="微软雅黑"/>
          <w:color w:val="231F20"/>
          <w:spacing w:val="-2"/>
          <w:sz w:val="22"/>
          <w:szCs w:val="22"/>
        </w:rPr>
        <w:t>展。</w:t>
      </w:r>
    </w:p>
    <w:p>
      <w:pPr>
        <w:spacing w:before="177"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0"/>
          <w:sz w:val="24"/>
          <w:szCs w:val="24"/>
        </w:rPr>
        <w:t>一) 行业政策变化</w:t>
      </w:r>
    </w:p>
    <w:p>
      <w:pPr>
        <w:spacing w:before="331" w:line="203" w:lineRule="auto"/>
        <w:ind w:left="2454"/>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近年来，  中国密集出台了一系列推动医药领域</w:t>
      </w:r>
      <w:r>
        <w:rPr>
          <w:rFonts w:ascii="微软雅黑" w:hAnsi="微软雅黑" w:eastAsia="微软雅黑" w:cs="微软雅黑"/>
          <w:color w:val="231F20"/>
          <w:sz w:val="22"/>
          <w:szCs w:val="22"/>
        </w:rPr>
        <w:t>改革和支持规范医药行业发展的政</w:t>
      </w:r>
    </w:p>
    <w:p>
      <w:pPr>
        <w:spacing w:before="82" w:line="202" w:lineRule="auto"/>
        <w:ind w:left="1997"/>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策 ，</w:t>
      </w:r>
      <w:r>
        <w:rPr>
          <w:rFonts w:ascii="微软雅黑" w:hAnsi="微软雅黑" w:eastAsia="微软雅黑" w:cs="微软雅黑"/>
          <w:color w:val="231F20"/>
          <w:spacing w:val="-1"/>
          <w:sz w:val="22"/>
          <w:szCs w:val="22"/>
        </w:rPr>
        <w:t>为医药制造业健康发展和内外资企业公平竞争提供了良好的制度和政策保障。</w:t>
      </w:r>
    </w:p>
    <w:p>
      <w:pPr>
        <w:spacing w:line="244" w:lineRule="auto"/>
        <w:rPr>
          <w:rFonts w:ascii="Arial"/>
          <w:sz w:val="21"/>
        </w:rPr>
      </w:pPr>
    </w:p>
    <w:p>
      <w:pPr>
        <w:spacing w:before="71" w:line="214" w:lineRule="auto"/>
        <w:ind w:left="2464"/>
        <w:rPr>
          <w:rFonts w:ascii="KaiTi" w:hAnsi="KaiTi" w:eastAsia="KaiTi" w:cs="KaiTi"/>
          <w:sz w:val="22"/>
          <w:szCs w:val="22"/>
        </w:rPr>
      </w:pPr>
      <w:r>
        <w:rPr>
          <w:rFonts w:ascii="Times New Roman" w:hAnsi="Times New Roman" w:eastAsia="Times New Roman" w:cs="Times New Roman"/>
          <w:color w:val="015DAC"/>
          <w:spacing w:val="1"/>
          <w:sz w:val="22"/>
          <w:szCs w:val="22"/>
        </w:rPr>
        <w:t>1</w:t>
      </w:r>
      <w:r>
        <w:rPr>
          <w:rFonts w:ascii="Times New Roman" w:hAnsi="Times New Roman" w:eastAsia="Times New Roman" w:cs="Times New Roman"/>
          <w:color w:val="015DAC"/>
          <w:sz w:val="22"/>
          <w:szCs w:val="22"/>
        </w:rPr>
        <w:t xml:space="preserve">. </w:t>
      </w:r>
      <w:r>
        <w:rPr>
          <w:rFonts w:ascii="KaiTi" w:hAnsi="KaiTi" w:eastAsia="KaiTi" w:cs="KaiTi"/>
          <w:color w:val="015DAC"/>
          <w:sz w:val="22"/>
          <w:szCs w:val="22"/>
        </w:rPr>
        <w:t>医药产业政策更趋优化，引领外商投资医药重点领域</w:t>
      </w:r>
    </w:p>
    <w:p>
      <w:pPr>
        <w:spacing w:line="267" w:lineRule="auto"/>
        <w:rPr>
          <w:rFonts w:ascii="Arial"/>
          <w:sz w:val="21"/>
        </w:rPr>
      </w:pPr>
    </w:p>
    <w:p>
      <w:pPr>
        <w:spacing w:before="95" w:line="202" w:lineRule="auto"/>
        <w:ind w:left="2453"/>
        <w:rPr>
          <w:rFonts w:ascii="微软雅黑" w:hAnsi="微软雅黑" w:eastAsia="微软雅黑" w:cs="微软雅黑"/>
          <w:sz w:val="22"/>
          <w:szCs w:val="22"/>
        </w:rPr>
      </w:pPr>
      <w:r>
        <w:rPr>
          <w:rFonts w:ascii="SimHei" w:hAnsi="SimHei" w:eastAsia="SimHei" w:cs="SimHei"/>
          <w:color w:val="231F20"/>
          <w:spacing w:val="6"/>
          <w:sz w:val="22"/>
          <w:szCs w:val="22"/>
        </w:rPr>
        <w:t>强化医药产业发展顶</w:t>
      </w:r>
      <w:r>
        <w:rPr>
          <w:rFonts w:ascii="SimHei" w:hAnsi="SimHei" w:eastAsia="SimHei" w:cs="SimHei"/>
          <w:color w:val="231F20"/>
          <w:spacing w:val="3"/>
          <w:sz w:val="22"/>
          <w:szCs w:val="22"/>
        </w:rPr>
        <w:t>层设计。</w:t>
      </w:r>
      <w:r>
        <w:rPr>
          <w:rFonts w:ascii="微软雅黑" w:hAnsi="微软雅黑" w:eastAsia="微软雅黑" w:cs="微软雅黑"/>
          <w:color w:val="231F20"/>
          <w:spacing w:val="3"/>
          <w:sz w:val="22"/>
          <w:szCs w:val="22"/>
        </w:rPr>
        <w:t>为促进医药产业高质量发展，</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年，  中国发布</w:t>
      </w:r>
    </w:p>
    <w:p>
      <w:pPr>
        <w:sectPr>
          <w:headerReference r:id="rId10" w:type="default"/>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82617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bookmarkStart w:id="24" w:name="_bookmark22"/>
      <w:bookmarkEnd w:id="24"/>
      <w:bookmarkStart w:id="25" w:name="_bookmark103"/>
      <w:bookmarkEnd w:id="25"/>
      <w:r>
        <w:rPr>
          <w:rFonts w:ascii="SimHei" w:hAnsi="SimHei" w:eastAsia="SimHei" w:cs="SimHei"/>
          <w:color w:val="1A67B3"/>
          <w:spacing w:val="38"/>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29</w: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94" w:line="260" w:lineRule="auto"/>
        <w:ind w:left="1969" w:right="1860" w:hanging="109"/>
        <w:rPr>
          <w:rFonts w:ascii="微软雅黑" w:hAnsi="微软雅黑" w:eastAsia="微软雅黑" w:cs="微软雅黑"/>
          <w:sz w:val="22"/>
          <w:szCs w:val="22"/>
        </w:rPr>
      </w:pPr>
      <w:r>
        <w:rPr>
          <w:rFonts w:ascii="微软雅黑" w:hAnsi="微软雅黑" w:eastAsia="微软雅黑" w:cs="微软雅黑"/>
          <w:color w:val="231F20"/>
          <w:spacing w:val="8"/>
          <w:sz w:val="22"/>
          <w:szCs w:val="22"/>
        </w:rPr>
        <w:t>《“十</w:t>
      </w:r>
      <w:r>
        <w:rPr>
          <w:rFonts w:ascii="微软雅黑" w:hAnsi="微软雅黑" w:eastAsia="微软雅黑" w:cs="微软雅黑"/>
          <w:color w:val="231F20"/>
          <w:spacing w:val="4"/>
          <w:sz w:val="22"/>
          <w:szCs w:val="22"/>
        </w:rPr>
        <w:t>四五”医药工业发展规划》《“十四五”国家药品安全及促进高质量发展规划》</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8"/>
          <w:sz w:val="22"/>
          <w:szCs w:val="22"/>
        </w:rPr>
        <w:t>《全</w:t>
      </w:r>
      <w:r>
        <w:rPr>
          <w:rFonts w:ascii="微软雅黑" w:hAnsi="微软雅黑" w:eastAsia="微软雅黑" w:cs="微软雅黑"/>
          <w:color w:val="231F20"/>
          <w:spacing w:val="9"/>
          <w:sz w:val="22"/>
          <w:szCs w:val="22"/>
        </w:rPr>
        <w:t xml:space="preserve">力做大做强医药产业行动计划 ( </w:t>
      </w:r>
      <w:r>
        <w:rPr>
          <w:rFonts w:ascii="Times New Roman" w:hAnsi="Times New Roman" w:eastAsia="Times New Roman" w:cs="Times New Roman"/>
          <w:color w:val="231F20"/>
          <w:spacing w:val="9"/>
          <w:sz w:val="22"/>
          <w:szCs w:val="22"/>
        </w:rPr>
        <w:t xml:space="preserve">2021-2023 </w:t>
      </w:r>
      <w:r>
        <w:rPr>
          <w:rFonts w:ascii="微软雅黑" w:hAnsi="微软雅黑" w:eastAsia="微软雅黑" w:cs="微软雅黑"/>
          <w:color w:val="231F20"/>
          <w:spacing w:val="9"/>
          <w:sz w:val="22"/>
          <w:szCs w:val="22"/>
        </w:rPr>
        <w:t>年 )  》《关于支持医药产业发展若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干措施的通</w:t>
      </w:r>
      <w:r>
        <w:rPr>
          <w:rFonts w:ascii="微软雅黑" w:hAnsi="微软雅黑" w:eastAsia="微软雅黑" w:cs="微软雅黑"/>
          <w:color w:val="231F20"/>
          <w:sz w:val="22"/>
          <w:szCs w:val="22"/>
        </w:rPr>
        <w:t xml:space="preserve">知》 等 一 系列规划和政策文件，  不仅进 一 步明确了产业发展方向，  而  </w:t>
      </w:r>
      <w:r>
        <w:rPr>
          <w:rFonts w:ascii="微软雅黑" w:hAnsi="微软雅黑" w:eastAsia="微软雅黑" w:cs="微软雅黑"/>
          <w:color w:val="231F20"/>
          <w:spacing w:val="24"/>
          <w:sz w:val="22"/>
          <w:szCs w:val="22"/>
        </w:rPr>
        <w:t>且</w:t>
      </w:r>
      <w:r>
        <w:rPr>
          <w:rFonts w:ascii="微软雅黑" w:hAnsi="微软雅黑" w:eastAsia="微软雅黑" w:cs="微软雅黑"/>
          <w:color w:val="231F20"/>
          <w:spacing w:val="18"/>
          <w:sz w:val="22"/>
          <w:szCs w:val="22"/>
        </w:rPr>
        <w:t>提</w:t>
      </w:r>
      <w:r>
        <w:rPr>
          <w:rFonts w:ascii="微软雅黑" w:hAnsi="微软雅黑" w:eastAsia="微软雅黑" w:cs="微软雅黑"/>
          <w:color w:val="231F20"/>
          <w:spacing w:val="12"/>
          <w:sz w:val="22"/>
          <w:szCs w:val="22"/>
        </w:rPr>
        <w:t>出深化产业国际合作 、引导全球创新药品和医疗器械率先在中国注册 、支持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4"/>
          <w:sz w:val="22"/>
          <w:szCs w:val="22"/>
        </w:rPr>
        <w:t>境</w:t>
      </w:r>
      <w:r>
        <w:rPr>
          <w:rFonts w:ascii="微软雅黑" w:hAnsi="微软雅黑" w:eastAsia="微软雅黑" w:cs="微软雅黑"/>
          <w:color w:val="231F20"/>
          <w:spacing w:val="18"/>
          <w:sz w:val="22"/>
          <w:szCs w:val="22"/>
        </w:rPr>
        <w:t>外</w:t>
      </w:r>
      <w:r>
        <w:rPr>
          <w:rFonts w:ascii="微软雅黑" w:hAnsi="微软雅黑" w:eastAsia="微软雅黑" w:cs="微软雅黑"/>
          <w:color w:val="231F20"/>
          <w:spacing w:val="12"/>
          <w:sz w:val="22"/>
          <w:szCs w:val="22"/>
        </w:rPr>
        <w:t>新药和医疗器械在境内同步上市等政策举措，  拓展外资药企在中国发展的市</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场</w:t>
      </w:r>
      <w:r>
        <w:rPr>
          <w:rFonts w:ascii="微软雅黑" w:hAnsi="微软雅黑" w:eastAsia="微软雅黑" w:cs="微软雅黑"/>
          <w:color w:val="231F20"/>
          <w:spacing w:val="9"/>
          <w:sz w:val="22"/>
          <w:szCs w:val="22"/>
        </w:rPr>
        <w:t>空间。</w:t>
      </w:r>
    </w:p>
    <w:p>
      <w:pPr>
        <w:spacing w:before="132" w:line="264" w:lineRule="auto"/>
        <w:ind w:left="1994" w:right="1912" w:firstLine="452"/>
        <w:rPr>
          <w:rFonts w:ascii="微软雅黑" w:hAnsi="微软雅黑" w:eastAsia="微软雅黑" w:cs="微软雅黑"/>
          <w:sz w:val="22"/>
          <w:szCs w:val="22"/>
        </w:rPr>
      </w:pPr>
      <w:r>
        <w:rPr>
          <w:rFonts w:ascii="SimHei" w:hAnsi="SimHei" w:eastAsia="SimHei" w:cs="SimHei"/>
          <w:color w:val="231F20"/>
          <w:spacing w:val="1"/>
          <w:sz w:val="22"/>
          <w:szCs w:val="22"/>
        </w:rPr>
        <w:t>推动原料药产业高质量发展。</w:t>
      </w:r>
      <w:r>
        <w:rPr>
          <w:rFonts w:ascii="微软雅黑" w:hAnsi="微软雅黑" w:eastAsia="微软雅黑" w:cs="微软雅黑"/>
          <w:color w:val="231F20"/>
          <w:spacing w:val="1"/>
          <w:sz w:val="22"/>
          <w:szCs w:val="22"/>
        </w:rPr>
        <w:t xml:space="preserve">中国是全球原料药供应大国，供应全球 </w:t>
      </w:r>
      <w:r>
        <w:rPr>
          <w:rFonts w:ascii="Times New Roman" w:hAnsi="Times New Roman" w:eastAsia="Times New Roman" w:cs="Times New Roman"/>
          <w:color w:val="231F20"/>
          <w:spacing w:val="1"/>
          <w:sz w:val="22"/>
          <w:szCs w:val="22"/>
        </w:rPr>
        <w:t>40</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 xml:space="preserve">以上的 </w:t>
      </w:r>
      <w:r>
        <w:rPr>
          <w:rFonts w:ascii="微软雅黑" w:hAnsi="微软雅黑" w:eastAsia="微软雅黑" w:cs="微软雅黑"/>
          <w:color w:val="231F20"/>
          <w:spacing w:val="2"/>
          <w:sz w:val="22"/>
          <w:szCs w:val="22"/>
        </w:rPr>
        <w:t>原料</w:t>
      </w:r>
      <w:r>
        <w:rPr>
          <w:rFonts w:ascii="微软雅黑" w:hAnsi="微软雅黑" w:eastAsia="微软雅黑" w:cs="微软雅黑"/>
          <w:color w:val="231F20"/>
          <w:spacing w:val="1"/>
          <w:sz w:val="22"/>
          <w:szCs w:val="22"/>
        </w:rPr>
        <w:t>药。为提升原料药国际竞争优势，</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10 </w:t>
      </w:r>
      <w:r>
        <w:rPr>
          <w:rFonts w:ascii="微软雅黑" w:hAnsi="微软雅黑" w:eastAsia="微软雅黑" w:cs="微软雅黑"/>
          <w:color w:val="231F20"/>
          <w:spacing w:val="1"/>
          <w:sz w:val="22"/>
          <w:szCs w:val="22"/>
        </w:rPr>
        <w:t>月，  国家发展改革委、工业和信息</w:t>
      </w:r>
      <w:r>
        <w:rPr>
          <w:rFonts w:ascii="微软雅黑" w:hAnsi="微软雅黑" w:eastAsia="微软雅黑" w:cs="微软雅黑"/>
          <w:color w:val="231F20"/>
          <w:sz w:val="22"/>
          <w:szCs w:val="22"/>
        </w:rPr>
        <w:t xml:space="preserve"> 化部共同出台《关于推动原料药产业高质量发展实施方案》  ，提出大力发展特色原料 </w:t>
      </w:r>
      <w:r>
        <w:rPr>
          <w:rFonts w:ascii="微软雅黑" w:hAnsi="微软雅黑" w:eastAsia="微软雅黑" w:cs="微软雅黑"/>
          <w:color w:val="231F20"/>
          <w:spacing w:val="-2"/>
          <w:sz w:val="22"/>
          <w:szCs w:val="22"/>
        </w:rPr>
        <w:t>药和创新原料药，推动原料药生产规模化、集约化、制</w:t>
      </w:r>
      <w:r>
        <w:rPr>
          <w:rFonts w:ascii="微软雅黑" w:hAnsi="微软雅黑" w:eastAsia="微软雅黑" w:cs="微软雅黑"/>
          <w:color w:val="231F20"/>
          <w:spacing w:val="-1"/>
          <w:sz w:val="22"/>
          <w:szCs w:val="22"/>
        </w:rPr>
        <w:t>剂一体化发展。</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11 </w:t>
      </w:r>
      <w:r>
        <w:rPr>
          <w:rFonts w:ascii="微软雅黑" w:hAnsi="微软雅黑" w:eastAsia="微软雅黑" w:cs="微软雅黑"/>
          <w:color w:val="231F20"/>
          <w:spacing w:val="-1"/>
          <w:sz w:val="22"/>
          <w:szCs w:val="22"/>
        </w:rPr>
        <w:t>月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2"/>
          <w:sz w:val="22"/>
          <w:szCs w:val="22"/>
        </w:rPr>
        <w:t>国</w:t>
      </w:r>
      <w:r>
        <w:rPr>
          <w:rFonts w:ascii="微软雅黑" w:hAnsi="微软雅黑" w:eastAsia="微软雅黑" w:cs="微软雅黑"/>
          <w:color w:val="231F20"/>
          <w:spacing w:val="-9"/>
          <w:sz w:val="22"/>
          <w:szCs w:val="22"/>
        </w:rPr>
        <w:t>务</w:t>
      </w:r>
      <w:r>
        <w:rPr>
          <w:rFonts w:ascii="微软雅黑" w:hAnsi="微软雅黑" w:eastAsia="微软雅黑" w:cs="微软雅黑"/>
          <w:color w:val="231F20"/>
          <w:spacing w:val="-6"/>
          <w:sz w:val="22"/>
          <w:szCs w:val="22"/>
        </w:rPr>
        <w:t>院反垄断委员会发布《关于原料药领域的反垄断指南》，进一步明确市场竞争规则，</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维护原料药领</w:t>
      </w:r>
      <w:r>
        <w:rPr>
          <w:rFonts w:ascii="微软雅黑" w:hAnsi="微软雅黑" w:eastAsia="微软雅黑" w:cs="微软雅黑"/>
          <w:color w:val="231F20"/>
          <w:sz w:val="22"/>
          <w:szCs w:val="22"/>
        </w:rPr>
        <w:t>域市场竞争秩序。</w:t>
      </w:r>
    </w:p>
    <w:p>
      <w:pPr>
        <w:spacing w:before="170" w:line="262" w:lineRule="auto"/>
        <w:ind w:left="1988" w:right="1982" w:firstLine="459"/>
        <w:rPr>
          <w:rFonts w:ascii="微软雅黑" w:hAnsi="微软雅黑" w:eastAsia="微软雅黑" w:cs="微软雅黑"/>
          <w:sz w:val="22"/>
          <w:szCs w:val="22"/>
        </w:rPr>
      </w:pPr>
      <w:r>
        <w:rPr>
          <w:rFonts w:ascii="SimHei" w:hAnsi="SimHei" w:eastAsia="SimHei" w:cs="SimHei"/>
          <w:color w:val="231F20"/>
          <w:spacing w:val="3"/>
          <w:sz w:val="22"/>
          <w:szCs w:val="22"/>
        </w:rPr>
        <w:t>推动中医药特色发展。</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 xml:space="preserve">年 </w:t>
      </w:r>
      <w:r>
        <w:rPr>
          <w:rFonts w:ascii="Times New Roman" w:hAnsi="Times New Roman" w:eastAsia="Times New Roman" w:cs="Times New Roman"/>
          <w:color w:val="231F20"/>
          <w:spacing w:val="3"/>
          <w:sz w:val="22"/>
          <w:szCs w:val="22"/>
        </w:rPr>
        <w:t xml:space="preserve">2 </w:t>
      </w:r>
      <w:r>
        <w:rPr>
          <w:rFonts w:ascii="微软雅黑" w:hAnsi="微软雅黑" w:eastAsia="微软雅黑" w:cs="微软雅黑"/>
          <w:color w:val="231F20"/>
          <w:spacing w:val="3"/>
          <w:sz w:val="22"/>
          <w:szCs w:val="22"/>
        </w:rPr>
        <w:t xml:space="preserve">月 </w:t>
      </w:r>
      <w:r>
        <w:rPr>
          <w:rFonts w:ascii="Times New Roman" w:hAnsi="Times New Roman" w:eastAsia="Times New Roman" w:cs="Times New Roman"/>
          <w:color w:val="231F20"/>
          <w:spacing w:val="3"/>
          <w:sz w:val="22"/>
          <w:szCs w:val="22"/>
        </w:rPr>
        <w:t xml:space="preserve">9 </w:t>
      </w:r>
      <w:r>
        <w:rPr>
          <w:rFonts w:ascii="微软雅黑" w:hAnsi="微软雅黑" w:eastAsia="微软雅黑" w:cs="微软雅黑"/>
          <w:color w:val="231F20"/>
          <w:spacing w:val="3"/>
          <w:sz w:val="22"/>
          <w:szCs w:val="22"/>
        </w:rPr>
        <w:t>日，  国务院办公厅印发《关于加快中医</w:t>
      </w:r>
      <w:r>
        <w:rPr>
          <w:rFonts w:ascii="微软雅黑" w:hAnsi="微软雅黑" w:eastAsia="微软雅黑" w:cs="微软雅黑"/>
          <w:color w:val="231F20"/>
          <w:spacing w:val="1"/>
          <w:sz w:val="22"/>
          <w:szCs w:val="22"/>
        </w:rPr>
        <w:t>药</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特色发展若干政策措施》，  明确要提高中药产业发展</w:t>
      </w:r>
      <w:r>
        <w:rPr>
          <w:rFonts w:ascii="微软雅黑" w:hAnsi="微软雅黑" w:eastAsia="微软雅黑" w:cs="微软雅黑"/>
          <w:color w:val="231F20"/>
          <w:spacing w:val="-1"/>
          <w:sz w:val="22"/>
          <w:szCs w:val="22"/>
        </w:rPr>
        <w:t>活力 ，加快推进中药审评审批机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制改革 ，提升中药注册申请技术指导水平和注册服务能力。同时，  多部委于 </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 </w:t>
      </w:r>
      <w:r>
        <w:rPr>
          <w:rFonts w:ascii="Times New Roman" w:hAnsi="Times New Roman" w:eastAsia="Times New Roman" w:cs="Times New Roman"/>
          <w:color w:val="231F20"/>
          <w:spacing w:val="2"/>
          <w:sz w:val="22"/>
          <w:szCs w:val="22"/>
        </w:rPr>
        <w:t xml:space="preserve">2 </w:t>
      </w:r>
      <w:r>
        <w:rPr>
          <w:rFonts w:ascii="微软雅黑" w:hAnsi="微软雅黑" w:eastAsia="微软雅黑" w:cs="微软雅黑"/>
          <w:color w:val="231F20"/>
          <w:spacing w:val="2"/>
          <w:sz w:val="22"/>
          <w:szCs w:val="22"/>
        </w:rPr>
        <w:t>月联合印发关于结束中药配方颗粒</w:t>
      </w:r>
      <w:r>
        <w:rPr>
          <w:rFonts w:ascii="微软雅黑" w:hAnsi="微软雅黑" w:eastAsia="微软雅黑" w:cs="微软雅黑"/>
          <w:color w:val="231F20"/>
          <w:spacing w:val="1"/>
          <w:sz w:val="22"/>
          <w:szCs w:val="22"/>
        </w:rPr>
        <w:t xml:space="preserve">试点工作的公告 ，结束了长达 </w:t>
      </w:r>
      <w:r>
        <w:rPr>
          <w:rFonts w:ascii="Times New Roman" w:hAnsi="Times New Roman" w:eastAsia="Times New Roman" w:cs="Times New Roman"/>
          <w:color w:val="231F20"/>
          <w:spacing w:val="1"/>
          <w:sz w:val="22"/>
          <w:szCs w:val="22"/>
        </w:rPr>
        <w:t>20</w:t>
      </w:r>
      <w:r>
        <w:rPr>
          <w:rFonts w:ascii="微软雅黑" w:hAnsi="微软雅黑" w:eastAsia="微软雅黑" w:cs="微软雅黑"/>
          <w:color w:val="231F20"/>
          <w:spacing w:val="1"/>
          <w:sz w:val="22"/>
          <w:szCs w:val="22"/>
        </w:rPr>
        <w:t>年的中药配方颗</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粒试点工作，规定了中药配方颗粒品种实施备案</w:t>
      </w:r>
      <w:r>
        <w:rPr>
          <w:rFonts w:ascii="微软雅黑" w:hAnsi="微软雅黑" w:eastAsia="微软雅黑" w:cs="微软雅黑"/>
          <w:color w:val="231F20"/>
          <w:sz w:val="22"/>
          <w:szCs w:val="22"/>
        </w:rPr>
        <w:t>管理。</w:t>
      </w:r>
    </w:p>
    <w:p>
      <w:pPr>
        <w:spacing w:before="177" w:line="214" w:lineRule="auto"/>
        <w:ind w:left="2444"/>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医药投资产业目录范围不断扩大，引导外商投向医药</w:t>
      </w:r>
      <w:r>
        <w:rPr>
          <w:rFonts w:ascii="KaiTi" w:hAnsi="KaiTi" w:eastAsia="KaiTi" w:cs="KaiTi"/>
          <w:color w:val="015DAC"/>
          <w:sz w:val="22"/>
          <w:szCs w:val="22"/>
        </w:rPr>
        <w:t>制造业</w:t>
      </w:r>
    </w:p>
    <w:p>
      <w:pPr>
        <w:spacing w:line="270" w:lineRule="auto"/>
        <w:rPr>
          <w:rFonts w:ascii="Arial"/>
          <w:sz w:val="21"/>
        </w:rPr>
      </w:pPr>
    </w:p>
    <w:p>
      <w:pPr>
        <w:spacing w:before="95" w:line="261" w:lineRule="auto"/>
        <w:ind w:left="1993" w:right="1858" w:firstLine="450"/>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 xml:space="preserve">月实施的《鼓励外商投资产业目录 ( </w:t>
      </w:r>
      <w:r>
        <w:rPr>
          <w:rFonts w:ascii="Times New Roman" w:hAnsi="Times New Roman" w:eastAsia="Times New Roman" w:cs="Times New Roman"/>
          <w:color w:val="231F20"/>
          <w:spacing w:val="1"/>
          <w:sz w:val="22"/>
          <w:szCs w:val="22"/>
        </w:rPr>
        <w:t xml:space="preserve">2020 </w:t>
      </w:r>
      <w:r>
        <w:rPr>
          <w:rFonts w:ascii="微软雅黑" w:hAnsi="微软雅黑" w:eastAsia="微软雅黑" w:cs="微软雅黑"/>
          <w:color w:val="231F20"/>
          <w:spacing w:val="1"/>
          <w:sz w:val="22"/>
          <w:szCs w:val="22"/>
        </w:rPr>
        <w:t>年版 )  》，  医药制造业共包</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 xml:space="preserve">括 </w:t>
      </w:r>
      <w:r>
        <w:rPr>
          <w:rFonts w:ascii="Times New Roman" w:hAnsi="Times New Roman" w:eastAsia="Times New Roman" w:cs="Times New Roman"/>
          <w:color w:val="231F20"/>
          <w:spacing w:val="-4"/>
          <w:sz w:val="22"/>
          <w:szCs w:val="22"/>
        </w:rPr>
        <w:t xml:space="preserve">14 </w:t>
      </w:r>
      <w:r>
        <w:rPr>
          <w:rFonts w:ascii="微软雅黑" w:hAnsi="微软雅黑" w:eastAsia="微软雅黑" w:cs="微软雅黑"/>
          <w:color w:val="231F20"/>
          <w:spacing w:val="-4"/>
          <w:sz w:val="22"/>
          <w:szCs w:val="22"/>
        </w:rPr>
        <w:t>个条目。</w:t>
      </w:r>
      <w:r>
        <w:rPr>
          <w:rFonts w:ascii="Times New Roman" w:hAnsi="Times New Roman" w:eastAsia="Times New Roman" w:cs="Times New Roman"/>
          <w:color w:val="231F20"/>
          <w:spacing w:val="-4"/>
          <w:sz w:val="22"/>
          <w:szCs w:val="22"/>
        </w:rPr>
        <w:t xml:space="preserve">2022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 xml:space="preserve">5 </w:t>
      </w:r>
      <w:r>
        <w:rPr>
          <w:rFonts w:ascii="微软雅黑" w:hAnsi="微软雅黑" w:eastAsia="微软雅黑" w:cs="微软雅黑"/>
          <w:color w:val="231F20"/>
          <w:spacing w:val="-4"/>
          <w:sz w:val="22"/>
          <w:szCs w:val="22"/>
        </w:rPr>
        <w:t xml:space="preserve">月发布的《鼓励外商投资产业目录( </w:t>
      </w:r>
      <w:r>
        <w:rPr>
          <w:rFonts w:ascii="Times New Roman" w:hAnsi="Times New Roman" w:eastAsia="Times New Roman" w:cs="Times New Roman"/>
          <w:color w:val="231F20"/>
          <w:spacing w:val="-4"/>
          <w:sz w:val="22"/>
          <w:szCs w:val="22"/>
        </w:rPr>
        <w:t xml:space="preserve">2022 </w:t>
      </w:r>
      <w:r>
        <w:rPr>
          <w:rFonts w:ascii="微软雅黑" w:hAnsi="微软雅黑" w:eastAsia="微软雅黑" w:cs="微软雅黑"/>
          <w:color w:val="231F20"/>
          <w:spacing w:val="-4"/>
          <w:sz w:val="22"/>
          <w:szCs w:val="22"/>
        </w:rPr>
        <w:t>年版 ) ( 征求意见稿 )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中</w:t>
      </w:r>
      <w:r>
        <w:rPr>
          <w:rFonts w:ascii="微软雅黑" w:hAnsi="微软雅黑" w:eastAsia="微软雅黑" w:cs="微软雅黑"/>
          <w:color w:val="231F20"/>
          <w:spacing w:val="-6"/>
          <w:sz w:val="22"/>
          <w:szCs w:val="22"/>
        </w:rPr>
        <w:t xml:space="preserve">，医药制造业共包括 </w:t>
      </w:r>
      <w:r>
        <w:rPr>
          <w:rFonts w:ascii="Times New Roman" w:hAnsi="Times New Roman" w:eastAsia="Times New Roman" w:cs="Times New Roman"/>
          <w:color w:val="231F20"/>
          <w:spacing w:val="-6"/>
          <w:sz w:val="22"/>
          <w:szCs w:val="22"/>
        </w:rPr>
        <w:t xml:space="preserve">16 </w:t>
      </w:r>
      <w:r>
        <w:rPr>
          <w:rFonts w:ascii="微软雅黑" w:hAnsi="微软雅黑" w:eastAsia="微软雅黑" w:cs="微软雅黑"/>
          <w:color w:val="231F20"/>
          <w:spacing w:val="-6"/>
          <w:sz w:val="22"/>
          <w:szCs w:val="22"/>
        </w:rPr>
        <w:t xml:space="preserve">个条目，新增了 </w:t>
      </w:r>
      <w:r>
        <w:rPr>
          <w:rFonts w:ascii="Times New Roman" w:hAnsi="Times New Roman" w:eastAsia="Times New Roman" w:cs="Times New Roman"/>
          <w:color w:val="231F20"/>
          <w:spacing w:val="-6"/>
          <w:sz w:val="22"/>
          <w:szCs w:val="22"/>
        </w:rPr>
        <w:t>2</w:t>
      </w:r>
      <w:r>
        <w:rPr>
          <w:rFonts w:ascii="微软雅黑" w:hAnsi="微软雅黑" w:eastAsia="微软雅黑" w:cs="微软雅黑"/>
          <w:color w:val="231F20"/>
          <w:spacing w:val="-6"/>
          <w:sz w:val="22"/>
          <w:szCs w:val="22"/>
        </w:rPr>
        <w:t>条：</w:t>
      </w:r>
      <w:r>
        <w:rPr>
          <w:rFonts w:ascii="SimHei" w:hAnsi="SimHei" w:eastAsia="SimHei" w:cs="SimHei"/>
          <w:color w:val="231F20"/>
          <w:spacing w:val="-6"/>
          <w:sz w:val="22"/>
          <w:szCs w:val="22"/>
        </w:rPr>
        <w:t>一是</w:t>
      </w:r>
      <w:r>
        <w:rPr>
          <w:rFonts w:ascii="微软雅黑" w:hAnsi="微软雅黑" w:eastAsia="微软雅黑" w:cs="微软雅黑"/>
          <w:color w:val="231F20"/>
          <w:spacing w:val="-6"/>
          <w:sz w:val="22"/>
          <w:szCs w:val="22"/>
        </w:rPr>
        <w:t>罕见病用药、儿童专科用药的开发、</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生产；</w:t>
      </w:r>
      <w:r>
        <w:rPr>
          <w:rFonts w:ascii="微软雅黑" w:hAnsi="微软雅黑" w:eastAsia="微软雅黑" w:cs="微软雅黑"/>
          <w:color w:val="231F20"/>
          <w:sz w:val="22"/>
          <w:szCs w:val="22"/>
        </w:rPr>
        <w:t xml:space="preserve">  </w:t>
      </w:r>
      <w:r>
        <w:rPr>
          <w:rFonts w:ascii="SimHei" w:hAnsi="SimHei" w:eastAsia="SimHei" w:cs="SimHei"/>
          <w:color w:val="231F20"/>
          <w:sz w:val="22"/>
          <w:szCs w:val="22"/>
        </w:rPr>
        <w:t>二是</w:t>
      </w:r>
      <w:r>
        <w:rPr>
          <w:rFonts w:ascii="微软雅黑" w:hAnsi="微软雅黑" w:eastAsia="微软雅黑" w:cs="微软雅黑"/>
          <w:color w:val="231F20"/>
          <w:sz w:val="22"/>
          <w:szCs w:val="22"/>
        </w:rPr>
        <w:t xml:space="preserve">医药制造业相关耗材：分离纯化介质、固相合成介质、手性拆分介质、药  </w:t>
      </w:r>
      <w:r>
        <w:rPr>
          <w:rFonts w:ascii="微软雅黑" w:hAnsi="微软雅黑" w:eastAsia="微软雅黑" w:cs="微软雅黑"/>
          <w:color w:val="231F20"/>
          <w:spacing w:val="-6"/>
          <w:sz w:val="22"/>
          <w:szCs w:val="22"/>
        </w:rPr>
        <w:t>物</w:t>
      </w:r>
      <w:r>
        <w:rPr>
          <w:rFonts w:ascii="微软雅黑" w:hAnsi="微软雅黑" w:eastAsia="微软雅黑" w:cs="微软雅黑"/>
          <w:color w:val="231F20"/>
          <w:spacing w:val="-5"/>
          <w:sz w:val="22"/>
          <w:szCs w:val="22"/>
        </w:rPr>
        <w:t>杂</w:t>
      </w:r>
      <w:r>
        <w:rPr>
          <w:rFonts w:ascii="微软雅黑" w:hAnsi="微软雅黑" w:eastAsia="微软雅黑" w:cs="微软雅黑"/>
          <w:color w:val="231F20"/>
          <w:spacing w:val="-3"/>
          <w:sz w:val="22"/>
          <w:szCs w:val="22"/>
        </w:rPr>
        <w:t>质控制检测耗材等，  引导外资企业投向医药制造业重点鼓励的领域。</w:t>
      </w:r>
    </w:p>
    <w:p>
      <w:pPr>
        <w:spacing w:before="180" w:line="214"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医药产业链监管体系不断完善，为外资企业</w:t>
      </w:r>
      <w:r>
        <w:rPr>
          <w:rFonts w:ascii="KaiTi" w:hAnsi="KaiTi" w:eastAsia="KaiTi" w:cs="KaiTi"/>
          <w:color w:val="015DAC"/>
          <w:sz w:val="22"/>
          <w:szCs w:val="22"/>
        </w:rPr>
        <w:t>发展提供制度保障</w:t>
      </w:r>
    </w:p>
    <w:p>
      <w:pPr>
        <w:spacing w:line="268" w:lineRule="auto"/>
        <w:rPr>
          <w:rFonts w:ascii="Arial"/>
          <w:sz w:val="21"/>
        </w:rPr>
      </w:pPr>
    </w:p>
    <w:p>
      <w:pPr>
        <w:spacing w:before="94" w:line="263" w:lineRule="auto"/>
        <w:ind w:left="1993" w:right="1899" w:firstLine="449"/>
        <w:rPr>
          <w:rFonts w:ascii="微软雅黑" w:hAnsi="微软雅黑" w:eastAsia="微软雅黑" w:cs="微软雅黑"/>
          <w:sz w:val="22"/>
          <w:szCs w:val="22"/>
        </w:rPr>
      </w:pPr>
      <w:r>
        <w:rPr>
          <w:rFonts w:ascii="Times New Roman" w:hAnsi="Times New Roman" w:eastAsia="Times New Roman" w:cs="Times New Roman"/>
          <w:color w:val="231F20"/>
          <w:spacing w:val="-4"/>
          <w:sz w:val="22"/>
          <w:szCs w:val="22"/>
        </w:rPr>
        <w:t xml:space="preserve">2019 </w:t>
      </w:r>
      <w:r>
        <w:rPr>
          <w:rFonts w:ascii="微软雅黑" w:hAnsi="微软雅黑" w:eastAsia="微软雅黑" w:cs="微软雅黑"/>
          <w:color w:val="231F20"/>
          <w:spacing w:val="-4"/>
          <w:sz w:val="22"/>
          <w:szCs w:val="22"/>
        </w:rPr>
        <w:t>年以来，  中国相继</w:t>
      </w:r>
      <w:r>
        <w:rPr>
          <w:rFonts w:ascii="微软雅黑" w:hAnsi="微软雅黑" w:eastAsia="微软雅黑" w:cs="微软雅黑"/>
          <w:color w:val="231F20"/>
          <w:spacing w:val="-3"/>
          <w:sz w:val="22"/>
          <w:szCs w:val="22"/>
        </w:rPr>
        <w:t>颁</w:t>
      </w:r>
      <w:r>
        <w:rPr>
          <w:rFonts w:ascii="微软雅黑" w:hAnsi="微软雅黑" w:eastAsia="微软雅黑" w:cs="微软雅黑"/>
          <w:color w:val="231F20"/>
          <w:spacing w:val="-2"/>
          <w:sz w:val="22"/>
          <w:szCs w:val="22"/>
        </w:rPr>
        <w:t xml:space="preserve">布新的《药品管理法》   ( </w:t>
      </w:r>
      <w:r>
        <w:rPr>
          <w:rFonts w:ascii="Times New Roman" w:hAnsi="Times New Roman" w:eastAsia="Times New Roman" w:cs="Times New Roman"/>
          <w:color w:val="231F20"/>
          <w:spacing w:val="-2"/>
          <w:sz w:val="22"/>
          <w:szCs w:val="22"/>
        </w:rPr>
        <w:t xml:space="preserve">2019 </w:t>
      </w:r>
      <w:r>
        <w:rPr>
          <w:rFonts w:ascii="微软雅黑" w:hAnsi="微软雅黑" w:eastAsia="微软雅黑" w:cs="微软雅黑"/>
          <w:color w:val="231F20"/>
          <w:spacing w:val="-2"/>
          <w:sz w:val="22"/>
          <w:szCs w:val="22"/>
        </w:rPr>
        <w:t>年修订 )   《医疗器械监</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督管理条例 》   ( </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年国务院令第 </w:t>
      </w:r>
      <w:r>
        <w:rPr>
          <w:rFonts w:ascii="Times New Roman" w:hAnsi="Times New Roman" w:eastAsia="Times New Roman" w:cs="Times New Roman"/>
          <w:color w:val="231F20"/>
          <w:sz w:val="22"/>
          <w:szCs w:val="22"/>
        </w:rPr>
        <w:t xml:space="preserve">739 </w:t>
      </w:r>
      <w:r>
        <w:rPr>
          <w:rFonts w:ascii="微软雅黑" w:hAnsi="微软雅黑" w:eastAsia="微软雅黑" w:cs="微软雅黑"/>
          <w:color w:val="231F20"/>
          <w:sz w:val="22"/>
          <w:szCs w:val="22"/>
        </w:rPr>
        <w:t xml:space="preserve">号 )   《药品注册管理办法》和《药品生产监 </w:t>
      </w:r>
      <w:r>
        <w:rPr>
          <w:rFonts w:ascii="微软雅黑" w:hAnsi="微软雅黑" w:eastAsia="微软雅黑" w:cs="微软雅黑"/>
          <w:color w:val="231F20"/>
          <w:spacing w:val="-5"/>
          <w:sz w:val="22"/>
          <w:szCs w:val="22"/>
        </w:rPr>
        <w:t>督管理办法》  ，并围绕这四部法律法规和部门规章 ，密集出台涉及创新药研发、审评</w:t>
      </w:r>
      <w:r>
        <w:rPr>
          <w:rFonts w:ascii="微软雅黑" w:hAnsi="微软雅黑" w:eastAsia="微软雅黑" w:cs="微软雅黑"/>
          <w:color w:val="231F20"/>
          <w:spacing w:val="-3"/>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注册、生产及上市后的支付等相关规范性文件 ，着</w:t>
      </w:r>
      <w:r>
        <w:rPr>
          <w:rFonts w:ascii="微软雅黑" w:hAnsi="微软雅黑" w:eastAsia="微软雅黑" w:cs="微软雅黑"/>
          <w:color w:val="231F20"/>
          <w:spacing w:val="1"/>
          <w:sz w:val="22"/>
          <w:szCs w:val="22"/>
        </w:rPr>
        <w:t>力通过加强药品研发和生产监督管</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82720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r>
        <w:rPr>
          <w:rFonts w:ascii="Arial" w:hAnsi="Arial" w:eastAsia="Arial" w:cs="Arial"/>
          <w:color w:val="231F20"/>
          <w:spacing w:val="40"/>
          <w:sz w:val="20"/>
          <w:szCs w:val="20"/>
        </w:rPr>
        <w:t>3</w:t>
      </w:r>
      <w:r>
        <w:rPr>
          <w:rFonts w:ascii="Arial" w:hAnsi="Arial" w:eastAsia="Arial" w:cs="Arial"/>
          <w:color w:val="231F20"/>
          <w:spacing w:val="21"/>
          <w:sz w:val="20"/>
          <w:szCs w:val="20"/>
        </w:rPr>
        <w:t xml:space="preserve">0  </w:t>
      </w:r>
      <w:r>
        <w:rPr>
          <w:position w:val="-5"/>
          <w:sz w:val="20"/>
          <w:szCs w:val="20"/>
        </w:rPr>
        <w:drawing>
          <wp:inline distT="0" distB="0" distL="0" distR="0">
            <wp:extent cx="3175" cy="14732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产业篇</w:t>
      </w: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95" w:line="272" w:lineRule="auto"/>
        <w:ind w:left="1988" w:right="1987" w:firstLine="3"/>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理，优化</w:t>
      </w:r>
      <w:r>
        <w:rPr>
          <w:rFonts w:ascii="微软雅黑" w:hAnsi="微软雅黑" w:eastAsia="微软雅黑" w:cs="微软雅黑"/>
          <w:color w:val="231F20"/>
          <w:sz w:val="22"/>
          <w:szCs w:val="22"/>
        </w:rPr>
        <w:t xml:space="preserve">审评审批流程 ，完善药品上市许可持有人制度等 ，构建与国际接轨的医药全 </w:t>
      </w:r>
      <w:r>
        <w:rPr>
          <w:rFonts w:ascii="微软雅黑" w:hAnsi="微软雅黑" w:eastAsia="微软雅黑" w:cs="微软雅黑"/>
          <w:color w:val="231F20"/>
          <w:spacing w:val="-1"/>
          <w:sz w:val="22"/>
          <w:szCs w:val="22"/>
        </w:rPr>
        <w:t>产业</w:t>
      </w:r>
      <w:r>
        <w:rPr>
          <w:rFonts w:ascii="微软雅黑" w:hAnsi="微软雅黑" w:eastAsia="微软雅黑" w:cs="微软雅黑"/>
          <w:color w:val="231F20"/>
          <w:sz w:val="22"/>
          <w:szCs w:val="22"/>
        </w:rPr>
        <w:t>链管理制度。</w:t>
      </w:r>
    </w:p>
    <w:p>
      <w:pPr>
        <w:spacing w:before="167" w:line="258" w:lineRule="auto"/>
        <w:ind w:left="1988" w:right="1986" w:firstLine="452"/>
        <w:rPr>
          <w:rFonts w:ascii="微软雅黑" w:hAnsi="微软雅黑" w:eastAsia="微软雅黑" w:cs="微软雅黑"/>
          <w:sz w:val="22"/>
          <w:szCs w:val="22"/>
        </w:rPr>
      </w:pPr>
      <w:r>
        <w:rPr>
          <w:rFonts w:ascii="SimHei" w:hAnsi="SimHei" w:eastAsia="SimHei" w:cs="SimHei"/>
          <w:color w:val="231F20"/>
          <w:spacing w:val="6"/>
          <w:sz w:val="22"/>
          <w:szCs w:val="22"/>
        </w:rPr>
        <w:t>在药品</w:t>
      </w:r>
      <w:r>
        <w:rPr>
          <w:rFonts w:ascii="SimHei" w:hAnsi="SimHei" w:eastAsia="SimHei" w:cs="SimHei"/>
          <w:color w:val="231F20"/>
          <w:spacing w:val="5"/>
          <w:sz w:val="22"/>
          <w:szCs w:val="22"/>
        </w:rPr>
        <w:t>研</w:t>
      </w:r>
      <w:r>
        <w:rPr>
          <w:rFonts w:ascii="SimHei" w:hAnsi="SimHei" w:eastAsia="SimHei" w:cs="SimHei"/>
          <w:color w:val="231F20"/>
          <w:spacing w:val="3"/>
          <w:sz w:val="22"/>
          <w:szCs w:val="22"/>
        </w:rPr>
        <w:t>发方面，</w:t>
      </w:r>
      <w:r>
        <w:rPr>
          <w:rFonts w:ascii="微软雅黑" w:hAnsi="微软雅黑" w:eastAsia="微软雅黑" w:cs="微软雅黑"/>
          <w:color w:val="231F20"/>
          <w:spacing w:val="3"/>
          <w:sz w:val="22"/>
          <w:szCs w:val="22"/>
        </w:rPr>
        <w:t>针对创新药开发中存在的靶点扎堆、疗效平平、投资无序、简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单重复等乱象，</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11 </w:t>
      </w:r>
      <w:r>
        <w:rPr>
          <w:rFonts w:ascii="微软雅黑" w:hAnsi="微软雅黑" w:eastAsia="微软雅黑" w:cs="微软雅黑"/>
          <w:color w:val="231F20"/>
          <w:spacing w:val="-2"/>
          <w:sz w:val="22"/>
          <w:szCs w:val="22"/>
        </w:rPr>
        <w:t xml:space="preserve">月 </w:t>
      </w:r>
      <w:r>
        <w:rPr>
          <w:rFonts w:ascii="Times New Roman" w:hAnsi="Times New Roman" w:eastAsia="Times New Roman" w:cs="Times New Roman"/>
          <w:color w:val="231F20"/>
          <w:spacing w:val="-2"/>
          <w:sz w:val="22"/>
          <w:szCs w:val="22"/>
        </w:rPr>
        <w:t xml:space="preserve">19 </w:t>
      </w:r>
      <w:r>
        <w:rPr>
          <w:rFonts w:ascii="微软雅黑" w:hAnsi="微软雅黑" w:eastAsia="微软雅黑" w:cs="微软雅黑"/>
          <w:color w:val="231F20"/>
          <w:spacing w:val="-2"/>
          <w:sz w:val="22"/>
          <w:szCs w:val="22"/>
        </w:rPr>
        <w:t>日，  国家药监局</w:t>
      </w:r>
      <w:r>
        <w:rPr>
          <w:rFonts w:ascii="微软雅黑" w:hAnsi="微软雅黑" w:eastAsia="微软雅黑" w:cs="微软雅黑"/>
          <w:color w:val="231F20"/>
          <w:spacing w:val="-1"/>
          <w:sz w:val="22"/>
          <w:szCs w:val="22"/>
        </w:rPr>
        <w:t>发布《以临床价值为导向的抗肿瘤药</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物</w:t>
      </w:r>
      <w:r>
        <w:rPr>
          <w:rFonts w:ascii="微软雅黑" w:hAnsi="微软雅黑" w:eastAsia="微软雅黑" w:cs="微软雅黑"/>
          <w:color w:val="231F20"/>
          <w:sz w:val="22"/>
          <w:szCs w:val="22"/>
        </w:rPr>
        <w:t xml:space="preserve">临床研发指导原则》  ，在抗肿瘤药物领域确立了以临床价值为导向的药物研发技术 原则。同时，  国家药监局还发布了生物类似药、化学新药、基因治疗、细胞治疗、溶 </w:t>
      </w:r>
      <w:r>
        <w:rPr>
          <w:rFonts w:ascii="微软雅黑" w:hAnsi="微软雅黑" w:eastAsia="微软雅黑" w:cs="微软雅黑"/>
          <w:color w:val="231F20"/>
          <w:spacing w:val="6"/>
          <w:sz w:val="22"/>
          <w:szCs w:val="22"/>
        </w:rPr>
        <w:t>瘤病毒、纳米</w:t>
      </w:r>
      <w:r>
        <w:rPr>
          <w:rFonts w:ascii="微软雅黑" w:hAnsi="微软雅黑" w:eastAsia="微软雅黑" w:cs="微软雅黑"/>
          <w:color w:val="231F20"/>
          <w:spacing w:val="4"/>
          <w:sz w:val="22"/>
          <w:szCs w:val="22"/>
        </w:rPr>
        <w:t>药</w:t>
      </w:r>
      <w:r>
        <w:rPr>
          <w:rFonts w:ascii="微软雅黑" w:hAnsi="微软雅黑" w:eastAsia="微软雅黑" w:cs="微软雅黑"/>
          <w:color w:val="231F20"/>
          <w:spacing w:val="3"/>
          <w:sz w:val="22"/>
          <w:szCs w:val="22"/>
        </w:rPr>
        <w:t>物、新冠化学药以及新冠中成药等多个领域和多个药物种类的指导原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则及技术要求。出</w:t>
      </w:r>
      <w:r>
        <w:rPr>
          <w:rFonts w:ascii="微软雅黑" w:hAnsi="微软雅黑" w:eastAsia="微软雅黑" w:cs="微软雅黑"/>
          <w:color w:val="231F20"/>
          <w:spacing w:val="5"/>
          <w:sz w:val="22"/>
          <w:szCs w:val="22"/>
        </w:rPr>
        <w:t>台</w:t>
      </w:r>
      <w:r>
        <w:rPr>
          <w:rFonts w:ascii="微软雅黑" w:hAnsi="微软雅黑" w:eastAsia="微软雅黑" w:cs="微软雅黑"/>
          <w:color w:val="231F20"/>
          <w:spacing w:val="3"/>
          <w:sz w:val="22"/>
          <w:szCs w:val="22"/>
        </w:rPr>
        <w:t>了中国首部专利链接制度《药品纠纷早期解决机制实施办法 ( 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行 )  》 </w:t>
      </w:r>
      <w:r>
        <w:rPr>
          <w:rFonts w:ascii="微软雅黑" w:hAnsi="微软雅黑" w:eastAsia="微软雅黑" w:cs="微软雅黑"/>
          <w:color w:val="231F20"/>
          <w:spacing w:val="-1"/>
          <w:sz w:val="22"/>
          <w:szCs w:val="22"/>
        </w:rPr>
        <w:t xml:space="preserve"> ，在保障药品专利不受侵害的同时鼓励仿制药的创新。建立了中国上市药品专</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利信息</w:t>
      </w:r>
      <w:r>
        <w:rPr>
          <w:rFonts w:ascii="微软雅黑" w:hAnsi="微软雅黑" w:eastAsia="微软雅黑" w:cs="微软雅黑"/>
          <w:color w:val="231F20"/>
          <w:spacing w:val="-5"/>
          <w:sz w:val="22"/>
          <w:szCs w:val="22"/>
        </w:rPr>
        <w:t>登</w:t>
      </w:r>
      <w:r>
        <w:rPr>
          <w:rFonts w:ascii="微软雅黑" w:hAnsi="微软雅黑" w:eastAsia="微软雅黑" w:cs="微软雅黑"/>
          <w:color w:val="231F20"/>
          <w:spacing w:val="-3"/>
          <w:sz w:val="22"/>
          <w:szCs w:val="22"/>
        </w:rPr>
        <w:t>记平台，  明确了药品专利信息登记范围 ，对药品审评审批实施分类处理 ，加</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大了对仿制药</w:t>
      </w:r>
      <w:r>
        <w:rPr>
          <w:rFonts w:ascii="微软雅黑" w:hAnsi="微软雅黑" w:eastAsia="微软雅黑" w:cs="微软雅黑"/>
          <w:color w:val="231F20"/>
          <w:spacing w:val="3"/>
          <w:sz w:val="22"/>
          <w:szCs w:val="22"/>
        </w:rPr>
        <w:t>专利挑战的鼓励力度。这对引领外资药企加快前沿生物医疗技术开发和</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推动仿制药创新</w:t>
      </w:r>
      <w:r>
        <w:rPr>
          <w:rFonts w:ascii="微软雅黑" w:hAnsi="微软雅黑" w:eastAsia="微软雅黑" w:cs="微软雅黑"/>
          <w:color w:val="231F20"/>
          <w:sz w:val="22"/>
          <w:szCs w:val="22"/>
        </w:rPr>
        <w:t>起到了重要作用。</w:t>
      </w:r>
    </w:p>
    <w:p>
      <w:pPr>
        <w:spacing w:before="170" w:line="258" w:lineRule="auto"/>
        <w:ind w:left="1986" w:right="1984" w:firstLine="455"/>
        <w:rPr>
          <w:rFonts w:ascii="微软雅黑" w:hAnsi="微软雅黑" w:eastAsia="微软雅黑" w:cs="微软雅黑"/>
          <w:sz w:val="22"/>
          <w:szCs w:val="22"/>
        </w:rPr>
      </w:pPr>
      <w:r>
        <w:rPr>
          <w:rFonts w:ascii="SimHei" w:hAnsi="SimHei" w:eastAsia="SimHei" w:cs="SimHei"/>
          <w:color w:val="231F20"/>
          <w:spacing w:val="-2"/>
          <w:sz w:val="22"/>
          <w:szCs w:val="22"/>
        </w:rPr>
        <w:t>在药品注册审批方面，</w:t>
      </w:r>
      <w:r>
        <w:rPr>
          <w:rFonts w:ascii="微软雅黑" w:hAnsi="微软雅黑" w:eastAsia="微软雅黑" w:cs="微软雅黑"/>
          <w:color w:val="231F20"/>
          <w:spacing w:val="-2"/>
          <w:sz w:val="22"/>
          <w:szCs w:val="22"/>
        </w:rPr>
        <w:t>近年来，  中国对药品注册审批进行全面改革 ，包括加速审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评审批 、为临床急需药品提供有条件批准上市等。</w:t>
      </w:r>
      <w:r>
        <w:rPr>
          <w:rFonts w:ascii="Times New Roman" w:hAnsi="Times New Roman" w:eastAsia="Times New Roman" w:cs="Times New Roman"/>
          <w:color w:val="231F20"/>
          <w:spacing w:val="2"/>
          <w:sz w:val="22"/>
          <w:szCs w:val="22"/>
        </w:rPr>
        <w:t xml:space="preserve">2020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7 </w:t>
      </w:r>
      <w:r>
        <w:rPr>
          <w:rFonts w:ascii="微软雅黑" w:hAnsi="微软雅黑" w:eastAsia="微软雅黑" w:cs="微软雅黑"/>
          <w:color w:val="231F20"/>
          <w:spacing w:val="2"/>
          <w:sz w:val="22"/>
          <w:szCs w:val="22"/>
        </w:rPr>
        <w:t xml:space="preserve">月 </w:t>
      </w:r>
      <w:r>
        <w:rPr>
          <w:rFonts w:ascii="Times New Roman" w:hAnsi="Times New Roman" w:eastAsia="Times New Roman" w:cs="Times New Roman"/>
          <w:color w:val="231F20"/>
          <w:spacing w:val="2"/>
          <w:sz w:val="22"/>
          <w:szCs w:val="22"/>
        </w:rPr>
        <w:t xml:space="preserve">1 </w:t>
      </w:r>
      <w:r>
        <w:rPr>
          <w:rFonts w:ascii="微软雅黑" w:hAnsi="微软雅黑" w:eastAsia="微软雅黑" w:cs="微软雅黑"/>
          <w:color w:val="231F20"/>
          <w:spacing w:val="2"/>
          <w:sz w:val="22"/>
          <w:szCs w:val="22"/>
        </w:rPr>
        <w:t>日，  国家</w:t>
      </w:r>
      <w:r>
        <w:rPr>
          <w:rFonts w:ascii="微软雅黑" w:hAnsi="微软雅黑" w:eastAsia="微软雅黑" w:cs="微软雅黑"/>
          <w:color w:val="231F20"/>
          <w:sz w:val="22"/>
          <w:szCs w:val="22"/>
        </w:rPr>
        <w:t xml:space="preserve">药监局颁 </w:t>
      </w:r>
      <w:r>
        <w:rPr>
          <w:rFonts w:ascii="微软雅黑" w:hAnsi="微软雅黑" w:eastAsia="微软雅黑" w:cs="微软雅黑"/>
          <w:color w:val="231F20"/>
          <w:spacing w:val="4"/>
          <w:sz w:val="22"/>
          <w:szCs w:val="22"/>
        </w:rPr>
        <w:t>布的《药品注</w:t>
      </w:r>
      <w:r>
        <w:rPr>
          <w:rFonts w:ascii="微软雅黑" w:hAnsi="微软雅黑" w:eastAsia="微软雅黑" w:cs="微软雅黑"/>
          <w:color w:val="231F20"/>
          <w:spacing w:val="2"/>
          <w:sz w:val="22"/>
          <w:szCs w:val="22"/>
        </w:rPr>
        <w:t>册管理办法》 正式实施，  明确提出建立药品上市注册制度 ，对符合条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件的药品注册申请，   申请人可以申请适用突破性治疗药物</w:t>
      </w:r>
      <w:r>
        <w:rPr>
          <w:rFonts w:ascii="微软雅黑" w:hAnsi="微软雅黑" w:eastAsia="微软雅黑" w:cs="微软雅黑"/>
          <w:color w:val="231F20"/>
          <w:sz w:val="22"/>
          <w:szCs w:val="22"/>
        </w:rPr>
        <w:t xml:space="preserve"> 、附条件批准 、优先审评 </w:t>
      </w:r>
      <w:r>
        <w:rPr>
          <w:rFonts w:ascii="微软雅黑" w:hAnsi="微软雅黑" w:eastAsia="微软雅黑" w:cs="微软雅黑"/>
          <w:color w:val="231F20"/>
          <w:spacing w:val="1"/>
          <w:sz w:val="22"/>
          <w:szCs w:val="22"/>
        </w:rPr>
        <w:t>审批及特别审批程序。</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 xml:space="preserve">月 </w:t>
      </w:r>
      <w:r>
        <w:rPr>
          <w:rFonts w:ascii="Times New Roman" w:hAnsi="Times New Roman" w:eastAsia="Times New Roman" w:cs="Times New Roman"/>
          <w:color w:val="231F20"/>
          <w:spacing w:val="1"/>
          <w:sz w:val="22"/>
          <w:szCs w:val="22"/>
        </w:rPr>
        <w:t xml:space="preserve">13 </w:t>
      </w:r>
      <w:r>
        <w:rPr>
          <w:rFonts w:ascii="微软雅黑" w:hAnsi="微软雅黑" w:eastAsia="微软雅黑" w:cs="微软雅黑"/>
          <w:color w:val="231F20"/>
          <w:spacing w:val="1"/>
          <w:sz w:val="22"/>
          <w:szCs w:val="22"/>
        </w:rPr>
        <w:t>日，  国家药监局发布《</w:t>
      </w:r>
      <w:r>
        <w:rPr>
          <w:rFonts w:ascii="微软雅黑" w:hAnsi="微软雅黑" w:eastAsia="微软雅黑" w:cs="微软雅黑"/>
          <w:color w:val="231F20"/>
          <w:sz w:val="22"/>
          <w:szCs w:val="22"/>
        </w:rPr>
        <w:t xml:space="preserve">药品上市后变更管理办 </w:t>
      </w:r>
      <w:r>
        <w:rPr>
          <w:rFonts w:ascii="微软雅黑" w:hAnsi="微软雅黑" w:eastAsia="微软雅黑" w:cs="微软雅黑"/>
          <w:color w:val="231F20"/>
          <w:spacing w:val="2"/>
          <w:sz w:val="22"/>
          <w:szCs w:val="22"/>
        </w:rPr>
        <w:t xml:space="preserve">法 ( 试行 )  》 </w:t>
      </w:r>
      <w:r>
        <w:rPr>
          <w:rFonts w:ascii="微软雅黑" w:hAnsi="微软雅黑" w:eastAsia="微软雅黑" w:cs="微软雅黑"/>
          <w:color w:val="231F20"/>
          <w:spacing w:val="1"/>
          <w:sz w:val="22"/>
          <w:szCs w:val="22"/>
        </w:rPr>
        <w:t xml:space="preserve"> ，规范药品上市许可持有人药品上市后变更行为，  随后在药品变更受</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理审查 、药品注册核查 、药物警戒等方面相继发布了一 系列规范性文件。这些法律</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法</w:t>
      </w:r>
      <w:r>
        <w:rPr>
          <w:rFonts w:ascii="微软雅黑" w:hAnsi="微软雅黑" w:eastAsia="微软雅黑" w:cs="微软雅黑"/>
          <w:color w:val="231F20"/>
          <w:spacing w:val="4"/>
          <w:sz w:val="22"/>
          <w:szCs w:val="22"/>
        </w:rPr>
        <w:t>规和规范性文件的出台 ，有利于减少药械注册申报 、化妆品注册备案步骤 ，提高</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注册审批效率，  加快</w:t>
      </w:r>
      <w:r>
        <w:rPr>
          <w:rFonts w:ascii="微软雅黑" w:hAnsi="微软雅黑" w:eastAsia="微软雅黑" w:cs="微软雅黑"/>
          <w:color w:val="231F20"/>
          <w:spacing w:val="-5"/>
          <w:sz w:val="22"/>
          <w:szCs w:val="22"/>
        </w:rPr>
        <w:t>药</w:t>
      </w:r>
      <w:r>
        <w:rPr>
          <w:rFonts w:ascii="微软雅黑" w:hAnsi="微软雅黑" w:eastAsia="微软雅黑" w:cs="微软雅黑"/>
          <w:color w:val="231F20"/>
          <w:spacing w:val="-3"/>
          <w:sz w:val="22"/>
          <w:szCs w:val="22"/>
        </w:rPr>
        <w:t>品 、药械 、药妆的上市速度。  目前，  中国药品注册所需的时</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间已</w:t>
      </w:r>
      <w:r>
        <w:rPr>
          <w:rFonts w:ascii="微软雅黑" w:hAnsi="微软雅黑" w:eastAsia="微软雅黑" w:cs="微软雅黑"/>
          <w:color w:val="231F20"/>
          <w:spacing w:val="3"/>
          <w:sz w:val="22"/>
          <w:szCs w:val="22"/>
        </w:rPr>
        <w:t>经接近美国和欧洲水平。</w:t>
      </w:r>
    </w:p>
    <w:p>
      <w:pPr>
        <w:spacing w:before="171" w:line="263" w:lineRule="auto"/>
        <w:ind w:left="1989" w:right="1984" w:firstLine="454"/>
        <w:rPr>
          <w:rFonts w:ascii="微软雅黑" w:hAnsi="微软雅黑" w:eastAsia="微软雅黑" w:cs="微软雅黑"/>
          <w:sz w:val="22"/>
          <w:szCs w:val="22"/>
        </w:rPr>
      </w:pPr>
      <w:r>
        <w:rPr>
          <w:rFonts w:ascii="SimHei" w:hAnsi="SimHei" w:eastAsia="SimHei" w:cs="SimHei"/>
          <w:color w:val="231F20"/>
          <w:spacing w:val="-1"/>
          <w:sz w:val="22"/>
          <w:szCs w:val="22"/>
        </w:rPr>
        <w:t>在药品生产方面，</w:t>
      </w:r>
      <w:r>
        <w:rPr>
          <w:rFonts w:ascii="Times New Roman" w:hAnsi="Times New Roman" w:eastAsia="Times New Roman" w:cs="Times New Roman"/>
          <w:color w:val="231F20"/>
          <w:spacing w:val="-1"/>
          <w:sz w:val="22"/>
          <w:szCs w:val="22"/>
        </w:rPr>
        <w:t xml:space="preserve">2020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7 </w:t>
      </w:r>
      <w:r>
        <w:rPr>
          <w:rFonts w:ascii="微软雅黑" w:hAnsi="微软雅黑" w:eastAsia="微软雅黑" w:cs="微软雅黑"/>
          <w:color w:val="231F20"/>
          <w:spacing w:val="-1"/>
          <w:sz w:val="22"/>
          <w:szCs w:val="22"/>
        </w:rPr>
        <w:t xml:space="preserve">月 </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日，</w:t>
      </w:r>
      <w:r>
        <w:rPr>
          <w:rFonts w:ascii="微软雅黑" w:hAnsi="微软雅黑" w:eastAsia="微软雅黑" w:cs="微软雅黑"/>
          <w:color w:val="231F20"/>
          <w:sz w:val="22"/>
          <w:szCs w:val="22"/>
        </w:rPr>
        <w:t xml:space="preserve">《药品生产监督管理办法》正式实施 ，办法 </w:t>
      </w:r>
      <w:r>
        <w:rPr>
          <w:rFonts w:ascii="微软雅黑" w:hAnsi="微软雅黑" w:eastAsia="微软雅黑" w:cs="微软雅黑"/>
          <w:color w:val="231F20"/>
          <w:spacing w:val="-1"/>
          <w:sz w:val="22"/>
          <w:szCs w:val="22"/>
        </w:rPr>
        <w:t>规定</w:t>
      </w:r>
      <w:r>
        <w:rPr>
          <w:rFonts w:ascii="微软雅黑" w:hAnsi="微软雅黑" w:eastAsia="微软雅黑" w:cs="微软雅黑"/>
          <w:color w:val="231F20"/>
          <w:sz w:val="22"/>
          <w:szCs w:val="22"/>
        </w:rPr>
        <w:t xml:space="preserve">了药品生产许可申报资料提交、许可受理、审查发证程序和要求，  以及药品生产 </w:t>
      </w:r>
      <w:r>
        <w:rPr>
          <w:rFonts w:ascii="微软雅黑" w:hAnsi="微软雅黑" w:eastAsia="微软雅黑" w:cs="微软雅黑"/>
          <w:color w:val="231F20"/>
          <w:spacing w:val="2"/>
          <w:sz w:val="22"/>
          <w:szCs w:val="22"/>
        </w:rPr>
        <w:t>许可证的有关管理要求 ，并要求药品上市许可持有人、药品生</w:t>
      </w:r>
      <w:r>
        <w:rPr>
          <w:rFonts w:ascii="微软雅黑" w:hAnsi="微软雅黑" w:eastAsia="微软雅黑" w:cs="微软雅黑"/>
          <w:color w:val="231F20"/>
          <w:spacing w:val="1"/>
          <w:sz w:val="22"/>
          <w:szCs w:val="22"/>
        </w:rPr>
        <w:t>产企业应当建立并实施</w:t>
      </w:r>
      <w:r>
        <w:rPr>
          <w:rFonts w:ascii="微软雅黑" w:hAnsi="微软雅黑" w:eastAsia="微软雅黑" w:cs="微软雅黑"/>
          <w:color w:val="231F20"/>
          <w:sz w:val="22"/>
          <w:szCs w:val="22"/>
        </w:rPr>
        <w:t xml:space="preserve"> 药品追溯制度。</w:t>
      </w:r>
    </w:p>
    <w:p>
      <w:pPr>
        <w:spacing w:before="171" w:line="272" w:lineRule="auto"/>
        <w:ind w:left="1993" w:right="1896" w:firstLine="450"/>
        <w:rPr>
          <w:rFonts w:ascii="微软雅黑" w:hAnsi="微软雅黑" w:eastAsia="微软雅黑" w:cs="微软雅黑"/>
          <w:sz w:val="22"/>
          <w:szCs w:val="22"/>
        </w:rPr>
      </w:pPr>
      <w:r>
        <w:rPr>
          <w:rFonts w:ascii="SimHei" w:hAnsi="SimHei" w:eastAsia="SimHei" w:cs="SimHei"/>
          <w:color w:val="231F20"/>
          <w:spacing w:val="1"/>
          <w:sz w:val="22"/>
          <w:szCs w:val="22"/>
        </w:rPr>
        <w:t>在药品上市方面，</w:t>
      </w:r>
      <w:r>
        <w:rPr>
          <w:rFonts w:ascii="Times New Roman" w:hAnsi="Times New Roman" w:eastAsia="Times New Roman" w:cs="Times New Roman"/>
          <w:color w:val="231F20"/>
          <w:spacing w:val="1"/>
          <w:sz w:val="22"/>
          <w:szCs w:val="22"/>
        </w:rPr>
        <w:t xml:space="preserve">2019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12 </w:t>
      </w:r>
      <w:r>
        <w:rPr>
          <w:rFonts w:ascii="微软雅黑" w:hAnsi="微软雅黑" w:eastAsia="微软雅黑" w:cs="微软雅黑"/>
          <w:color w:val="231F20"/>
          <w:spacing w:val="1"/>
          <w:sz w:val="22"/>
          <w:szCs w:val="22"/>
        </w:rPr>
        <w:t xml:space="preserve">月 </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日</w:t>
      </w:r>
      <w:r>
        <w:rPr>
          <w:rFonts w:ascii="微软雅黑" w:hAnsi="微软雅黑" w:eastAsia="微软雅黑" w:cs="微软雅黑"/>
          <w:color w:val="231F20"/>
          <w:sz w:val="22"/>
          <w:szCs w:val="22"/>
        </w:rPr>
        <w:t xml:space="preserve">生效的《药品管理法》规定，  国家对药品管 </w:t>
      </w:r>
      <w:r>
        <w:rPr>
          <w:rFonts w:ascii="微软雅黑" w:hAnsi="微软雅黑" w:eastAsia="微软雅黑" w:cs="微软雅黑"/>
          <w:color w:val="231F20"/>
          <w:spacing w:val="-10"/>
          <w:sz w:val="22"/>
          <w:szCs w:val="22"/>
        </w:rPr>
        <w:t>理实行药品上</w:t>
      </w:r>
      <w:r>
        <w:rPr>
          <w:rFonts w:ascii="微软雅黑" w:hAnsi="微软雅黑" w:eastAsia="微软雅黑" w:cs="微软雅黑"/>
          <w:color w:val="231F20"/>
          <w:spacing w:val="-5"/>
          <w:sz w:val="22"/>
          <w:szCs w:val="22"/>
        </w:rPr>
        <w:t>市许可人制度，建立药物临床试验默示许可、附条件批准、优先审评审批、</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82822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bookmarkStart w:id="26" w:name="_bookmark101"/>
      <w:bookmarkEnd w:id="26"/>
      <w:bookmarkStart w:id="27" w:name="_bookmark102"/>
      <w:bookmarkEnd w:id="27"/>
      <w:r>
        <w:rPr>
          <w:rFonts w:ascii="SimHei" w:hAnsi="SimHei" w:eastAsia="SimHei" w:cs="SimHei"/>
          <w:color w:val="1A67B3"/>
          <w:spacing w:val="39"/>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31</w:t>
      </w: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95" w:line="263" w:lineRule="auto"/>
        <w:ind w:left="1988" w:right="1898" w:firstLine="9"/>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上市后变更分类管</w:t>
      </w:r>
      <w:r>
        <w:rPr>
          <w:rFonts w:ascii="微软雅黑" w:hAnsi="微软雅黑" w:eastAsia="微软雅黑" w:cs="微软雅黑"/>
          <w:color w:val="231F20"/>
          <w:sz w:val="22"/>
          <w:szCs w:val="22"/>
        </w:rPr>
        <w:t xml:space="preserve">理等一系列管理制度 ，并要求完善药品审评审批工作制度 ，优化审 </w:t>
      </w:r>
      <w:r>
        <w:rPr>
          <w:rFonts w:ascii="微软雅黑" w:hAnsi="微软雅黑" w:eastAsia="微软雅黑" w:cs="微软雅黑"/>
          <w:color w:val="231F20"/>
          <w:spacing w:val="2"/>
          <w:sz w:val="22"/>
          <w:szCs w:val="22"/>
        </w:rPr>
        <w:t>评审批流程 ，提高审评审批效率。与之前实行的药品上市许可与</w:t>
      </w:r>
      <w:r>
        <w:rPr>
          <w:rFonts w:ascii="微软雅黑" w:hAnsi="微软雅黑" w:eastAsia="微软雅黑" w:cs="微软雅黑"/>
          <w:color w:val="231F20"/>
          <w:spacing w:val="1"/>
          <w:sz w:val="22"/>
          <w:szCs w:val="22"/>
        </w:rPr>
        <w:t>生产许可捆绑的模式</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相比</w:t>
      </w:r>
      <w:r>
        <w:rPr>
          <w:rFonts w:ascii="微软雅黑" w:hAnsi="微软雅黑" w:eastAsia="微软雅黑" w:cs="微软雅黑"/>
          <w:color w:val="231F20"/>
          <w:sz w:val="22"/>
          <w:szCs w:val="22"/>
        </w:rPr>
        <w:t xml:space="preserve">，药品上市许可持有人制度使得上市许可与生产许可分离，对鼓励药物研发创新、 </w:t>
      </w:r>
      <w:r>
        <w:rPr>
          <w:rFonts w:ascii="微软雅黑" w:hAnsi="微软雅黑" w:eastAsia="微软雅黑" w:cs="微软雅黑"/>
          <w:color w:val="231F20"/>
          <w:spacing w:val="1"/>
          <w:sz w:val="22"/>
          <w:szCs w:val="22"/>
        </w:rPr>
        <w:t>保障药品供应、促进生物医药产业发展具有</w:t>
      </w:r>
      <w:r>
        <w:rPr>
          <w:rFonts w:ascii="微软雅黑" w:hAnsi="微软雅黑" w:eastAsia="微软雅黑" w:cs="微软雅黑"/>
          <w:color w:val="231F20"/>
          <w:sz w:val="22"/>
          <w:szCs w:val="22"/>
        </w:rPr>
        <w:t>重要作用。</w:t>
      </w:r>
    </w:p>
    <w:p>
      <w:pPr>
        <w:spacing w:before="170" w:line="266" w:lineRule="auto"/>
        <w:ind w:left="1998" w:right="1891" w:firstLine="445"/>
        <w:rPr>
          <w:rFonts w:ascii="微软雅黑" w:hAnsi="微软雅黑" w:eastAsia="微软雅黑" w:cs="微软雅黑"/>
          <w:sz w:val="22"/>
          <w:szCs w:val="22"/>
        </w:rPr>
      </w:pPr>
      <w:r>
        <w:rPr>
          <w:rFonts w:ascii="SimHei" w:hAnsi="SimHei" w:eastAsia="SimHei" w:cs="SimHei"/>
          <w:color w:val="231F20"/>
          <w:spacing w:val="-8"/>
          <w:sz w:val="22"/>
          <w:szCs w:val="22"/>
        </w:rPr>
        <w:t>在药品监</w:t>
      </w:r>
      <w:r>
        <w:rPr>
          <w:rFonts w:ascii="SimHei" w:hAnsi="SimHei" w:eastAsia="SimHei" w:cs="SimHei"/>
          <w:color w:val="231F20"/>
          <w:spacing w:val="-5"/>
          <w:sz w:val="22"/>
          <w:szCs w:val="22"/>
        </w:rPr>
        <w:t>管</w:t>
      </w:r>
      <w:r>
        <w:rPr>
          <w:rFonts w:ascii="SimHei" w:hAnsi="SimHei" w:eastAsia="SimHei" w:cs="SimHei"/>
          <w:color w:val="231F20"/>
          <w:spacing w:val="-4"/>
          <w:sz w:val="22"/>
          <w:szCs w:val="22"/>
        </w:rPr>
        <w:t>方面，</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 xml:space="preserve">5 </w:t>
      </w:r>
      <w:r>
        <w:rPr>
          <w:rFonts w:ascii="微软雅黑" w:hAnsi="微软雅黑" w:eastAsia="微软雅黑" w:cs="微软雅黑"/>
          <w:color w:val="231F20"/>
          <w:spacing w:val="-4"/>
          <w:sz w:val="22"/>
          <w:szCs w:val="22"/>
        </w:rPr>
        <w:t xml:space="preserve">月 </w:t>
      </w:r>
      <w:r>
        <w:rPr>
          <w:rFonts w:ascii="Times New Roman" w:hAnsi="Times New Roman" w:eastAsia="Times New Roman" w:cs="Times New Roman"/>
          <w:color w:val="231F20"/>
          <w:spacing w:val="-4"/>
          <w:sz w:val="22"/>
          <w:szCs w:val="22"/>
        </w:rPr>
        <w:t xml:space="preserve">10 </w:t>
      </w:r>
      <w:r>
        <w:rPr>
          <w:rFonts w:ascii="微软雅黑" w:hAnsi="微软雅黑" w:eastAsia="微软雅黑" w:cs="微软雅黑"/>
          <w:color w:val="231F20"/>
          <w:spacing w:val="-4"/>
          <w:sz w:val="22"/>
          <w:szCs w:val="22"/>
        </w:rPr>
        <w:t>日，  国务院办公厅发布《关于全面加强药品监管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能力建设的实施意见》</w:t>
      </w:r>
      <w:r>
        <w:rPr>
          <w:rFonts w:ascii="微软雅黑" w:hAnsi="微软雅黑" w:eastAsia="微软雅黑" w:cs="微软雅黑"/>
          <w:color w:val="231F20"/>
          <w:spacing w:val="-2"/>
          <w:sz w:val="22"/>
          <w:szCs w:val="22"/>
        </w:rPr>
        <w:t>，提出要提高药品审评能力、完善应急管理、药品实行信息化追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溯以及强化执</w:t>
      </w:r>
      <w:r>
        <w:rPr>
          <w:rFonts w:ascii="微软雅黑" w:hAnsi="微软雅黑" w:eastAsia="微软雅黑" w:cs="微软雅黑"/>
          <w:color w:val="231F20"/>
          <w:spacing w:val="-5"/>
          <w:sz w:val="22"/>
          <w:szCs w:val="22"/>
        </w:rPr>
        <w:t>法等内容，对于规范药品监管、促进医药制造业健康发展起到了重要作用。</w:t>
      </w:r>
    </w:p>
    <w:p>
      <w:pPr>
        <w:spacing w:before="173" w:line="261" w:lineRule="auto"/>
        <w:ind w:left="1991" w:right="1858" w:firstLine="454"/>
        <w:rPr>
          <w:rFonts w:ascii="微软雅黑" w:hAnsi="微软雅黑" w:eastAsia="微软雅黑" w:cs="微软雅黑"/>
          <w:sz w:val="22"/>
          <w:szCs w:val="22"/>
        </w:rPr>
      </w:pPr>
      <w:r>
        <w:rPr>
          <w:rFonts w:ascii="SimHei" w:hAnsi="SimHei" w:eastAsia="SimHei" w:cs="SimHei"/>
          <w:color w:val="231F20"/>
          <w:spacing w:val="-6"/>
          <w:sz w:val="22"/>
          <w:szCs w:val="22"/>
        </w:rPr>
        <w:t xml:space="preserve">在医疗器械监管方面， </w:t>
      </w:r>
      <w:r>
        <w:rPr>
          <w:rFonts w:ascii="Times New Roman" w:hAnsi="Times New Roman" w:eastAsia="Times New Roman" w:cs="Times New Roman"/>
          <w:color w:val="231F20"/>
          <w:spacing w:val="-3"/>
          <w:sz w:val="22"/>
          <w:szCs w:val="22"/>
        </w:rPr>
        <w:t xml:space="preserve">2022 </w:t>
      </w:r>
      <w:r>
        <w:rPr>
          <w:rFonts w:ascii="微软雅黑" w:hAnsi="微软雅黑" w:eastAsia="微软雅黑" w:cs="微软雅黑"/>
          <w:color w:val="231F20"/>
          <w:spacing w:val="-3"/>
          <w:sz w:val="22"/>
          <w:szCs w:val="22"/>
        </w:rPr>
        <w:t xml:space="preserve">年 </w:t>
      </w:r>
      <w:r>
        <w:rPr>
          <w:rFonts w:ascii="Times New Roman" w:hAnsi="Times New Roman" w:eastAsia="Times New Roman" w:cs="Times New Roman"/>
          <w:color w:val="231F20"/>
          <w:spacing w:val="-3"/>
          <w:sz w:val="22"/>
          <w:szCs w:val="22"/>
        </w:rPr>
        <w:t xml:space="preserve">5 </w:t>
      </w:r>
      <w:r>
        <w:rPr>
          <w:rFonts w:ascii="微软雅黑" w:hAnsi="微软雅黑" w:eastAsia="微软雅黑" w:cs="微软雅黑"/>
          <w:color w:val="231F20"/>
          <w:spacing w:val="-3"/>
          <w:sz w:val="22"/>
          <w:szCs w:val="22"/>
        </w:rPr>
        <w:t xml:space="preserve">月 </w:t>
      </w:r>
      <w:r>
        <w:rPr>
          <w:rFonts w:ascii="Times New Roman" w:hAnsi="Times New Roman" w:eastAsia="Times New Roman" w:cs="Times New Roman"/>
          <w:color w:val="231F20"/>
          <w:spacing w:val="-3"/>
          <w:sz w:val="22"/>
          <w:szCs w:val="22"/>
        </w:rPr>
        <w:t xml:space="preserve">1 </w:t>
      </w:r>
      <w:r>
        <w:rPr>
          <w:rFonts w:ascii="微软雅黑" w:hAnsi="微软雅黑" w:eastAsia="微软雅黑" w:cs="微软雅黑"/>
          <w:color w:val="231F20"/>
          <w:spacing w:val="-3"/>
          <w:sz w:val="22"/>
          <w:szCs w:val="22"/>
        </w:rPr>
        <w:t>日，修订后的《医疗器械生产监督管理办法》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和《医疗器械经营监督管理办法》生效实施 ，相关办法全</w:t>
      </w:r>
      <w:r>
        <w:rPr>
          <w:rFonts w:ascii="微软雅黑" w:hAnsi="微软雅黑" w:eastAsia="微软雅黑" w:cs="微软雅黑"/>
          <w:color w:val="231F20"/>
          <w:spacing w:val="1"/>
          <w:sz w:val="22"/>
          <w:szCs w:val="22"/>
        </w:rPr>
        <w:t>面落实医疗器械注册人备案</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人制</w:t>
      </w:r>
      <w:r>
        <w:rPr>
          <w:rFonts w:ascii="微软雅黑" w:hAnsi="微软雅黑" w:eastAsia="微软雅黑" w:cs="微软雅黑"/>
          <w:color w:val="231F20"/>
          <w:spacing w:val="-4"/>
          <w:sz w:val="22"/>
          <w:szCs w:val="22"/>
        </w:rPr>
        <w:t>度</w:t>
      </w:r>
      <w:r>
        <w:rPr>
          <w:rFonts w:ascii="微软雅黑" w:hAnsi="微软雅黑" w:eastAsia="微软雅黑" w:cs="微软雅黑"/>
          <w:color w:val="231F20"/>
          <w:spacing w:val="-3"/>
          <w:sz w:val="22"/>
          <w:szCs w:val="22"/>
        </w:rPr>
        <w:t xml:space="preserve"> ，优化行政许可办理流程 ，强化监督检查措施 ，完善监督检查手段 ，夯实企业</w:t>
      </w:r>
      <w:r>
        <w:rPr>
          <w:rFonts w:ascii="微软雅黑" w:hAnsi="微软雅黑" w:eastAsia="微软雅黑" w:cs="微软雅黑"/>
          <w:color w:val="231F20"/>
          <w:sz w:val="22"/>
          <w:szCs w:val="22"/>
        </w:rPr>
        <w:t xml:space="preserve">  主体责任 ，并进一步加大对违法行为的处罚力度 ，对于促进医疗器械合法合规生产经  </w:t>
      </w:r>
      <w:r>
        <w:rPr>
          <w:rFonts w:ascii="微软雅黑" w:hAnsi="微软雅黑" w:eastAsia="微软雅黑" w:cs="微软雅黑"/>
          <w:color w:val="231F20"/>
          <w:spacing w:val="-1"/>
          <w:sz w:val="22"/>
          <w:szCs w:val="22"/>
        </w:rPr>
        <w:t>营</w:t>
      </w:r>
      <w:r>
        <w:rPr>
          <w:rFonts w:ascii="微软雅黑" w:hAnsi="微软雅黑" w:eastAsia="微软雅黑" w:cs="微软雅黑"/>
          <w:color w:val="231F20"/>
          <w:sz w:val="22"/>
          <w:szCs w:val="22"/>
        </w:rPr>
        <w:t>具有重要作用。</w:t>
      </w:r>
    </w:p>
    <w:p>
      <w:pPr>
        <w:spacing w:before="179" w:line="215"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4. </w:t>
      </w:r>
      <w:r>
        <w:rPr>
          <w:rFonts w:ascii="KaiTi" w:hAnsi="KaiTi" w:eastAsia="KaiTi" w:cs="KaiTi"/>
          <w:color w:val="015DAC"/>
          <w:spacing w:val="1"/>
          <w:sz w:val="22"/>
          <w:szCs w:val="22"/>
        </w:rPr>
        <w:t>集中带量采购常态化和制度化，推动外资企业集采参与度不</w:t>
      </w:r>
      <w:r>
        <w:rPr>
          <w:rFonts w:ascii="KaiTi" w:hAnsi="KaiTi" w:eastAsia="KaiTi" w:cs="KaiTi"/>
          <w:color w:val="015DAC"/>
          <w:sz w:val="22"/>
          <w:szCs w:val="22"/>
        </w:rPr>
        <w:t>断提升</w:t>
      </w:r>
    </w:p>
    <w:p>
      <w:pPr>
        <w:spacing w:line="263" w:lineRule="auto"/>
        <w:rPr>
          <w:rFonts w:ascii="Arial"/>
          <w:sz w:val="21"/>
        </w:rPr>
      </w:pPr>
    </w:p>
    <w:p>
      <w:pPr>
        <w:spacing w:before="95" w:line="259" w:lineRule="auto"/>
        <w:ind w:left="1983" w:right="1986" w:firstLine="464"/>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在前期试</w:t>
      </w:r>
      <w:r>
        <w:rPr>
          <w:rFonts w:ascii="微软雅黑" w:hAnsi="微软雅黑" w:eastAsia="微软雅黑" w:cs="微软雅黑"/>
          <w:color w:val="231F20"/>
          <w:spacing w:val="4"/>
          <w:sz w:val="22"/>
          <w:szCs w:val="22"/>
        </w:rPr>
        <w:t>点</w:t>
      </w:r>
      <w:r>
        <w:rPr>
          <w:rFonts w:ascii="微软雅黑" w:hAnsi="微软雅黑" w:eastAsia="微软雅黑" w:cs="微软雅黑"/>
          <w:color w:val="231F20"/>
          <w:spacing w:val="3"/>
          <w:sz w:val="22"/>
          <w:szCs w:val="22"/>
        </w:rPr>
        <w:t>和全国推广药品集中带量采购工作的基础上，</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 xml:space="preserve">年 </w:t>
      </w:r>
      <w:r>
        <w:rPr>
          <w:rFonts w:ascii="Times New Roman" w:hAnsi="Times New Roman" w:eastAsia="Times New Roman" w:cs="Times New Roman"/>
          <w:color w:val="231F20"/>
          <w:spacing w:val="3"/>
          <w:sz w:val="22"/>
          <w:szCs w:val="22"/>
        </w:rPr>
        <w:t xml:space="preserve">1 </w:t>
      </w:r>
      <w:r>
        <w:rPr>
          <w:rFonts w:ascii="微软雅黑" w:hAnsi="微软雅黑" w:eastAsia="微软雅黑" w:cs="微软雅黑"/>
          <w:color w:val="231F20"/>
          <w:spacing w:val="3"/>
          <w:sz w:val="22"/>
          <w:szCs w:val="22"/>
        </w:rPr>
        <w:t>月，  国务院</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办公厅印发《</w:t>
      </w:r>
      <w:r>
        <w:rPr>
          <w:rFonts w:ascii="微软雅黑" w:hAnsi="微软雅黑" w:eastAsia="微软雅黑" w:cs="微软雅黑"/>
          <w:color w:val="231F20"/>
          <w:spacing w:val="2"/>
          <w:sz w:val="22"/>
          <w:szCs w:val="22"/>
        </w:rPr>
        <w:t>关于推动药品集中带量采购工作常态化制度化开展的意见》  ，  明确将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基</w:t>
      </w:r>
      <w:r>
        <w:rPr>
          <w:rFonts w:ascii="微软雅黑" w:hAnsi="微软雅黑" w:eastAsia="微软雅黑" w:cs="微软雅黑"/>
          <w:color w:val="231F20"/>
          <w:spacing w:val="4"/>
          <w:sz w:val="22"/>
          <w:szCs w:val="22"/>
        </w:rPr>
        <w:t>本医保药品目录内用量大 、采购金额高的药品纳入采购范围，  引导药品价格回归</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合理水平。</w:t>
      </w:r>
      <w:r>
        <w:rPr>
          <w:rFonts w:ascii="Times New Roman" w:hAnsi="Times New Roman" w:eastAsia="Times New Roman" w:cs="Times New Roman"/>
          <w:color w:val="231F20"/>
          <w:spacing w:val="6"/>
          <w:sz w:val="22"/>
          <w:szCs w:val="22"/>
        </w:rPr>
        <w:t xml:space="preserve">2021 </w:t>
      </w:r>
      <w:r>
        <w:rPr>
          <w:rFonts w:ascii="微软雅黑" w:hAnsi="微软雅黑" w:eastAsia="微软雅黑" w:cs="微软雅黑"/>
          <w:color w:val="231F20"/>
          <w:spacing w:val="3"/>
          <w:sz w:val="22"/>
          <w:szCs w:val="22"/>
        </w:rPr>
        <w:t xml:space="preserve">年 </w:t>
      </w:r>
      <w:r>
        <w:rPr>
          <w:rFonts w:ascii="Times New Roman" w:hAnsi="Times New Roman" w:eastAsia="Times New Roman" w:cs="Times New Roman"/>
          <w:color w:val="231F20"/>
          <w:spacing w:val="3"/>
          <w:sz w:val="22"/>
          <w:szCs w:val="22"/>
        </w:rPr>
        <w:t xml:space="preserve">6 </w:t>
      </w:r>
      <w:r>
        <w:rPr>
          <w:rFonts w:ascii="微软雅黑" w:hAnsi="微软雅黑" w:eastAsia="微软雅黑" w:cs="微软雅黑"/>
          <w:color w:val="231F20"/>
          <w:spacing w:val="3"/>
          <w:sz w:val="22"/>
          <w:szCs w:val="22"/>
        </w:rPr>
        <w:t>月，  国家医保局等八个部门印发《关于开展国家组织高值医用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耗材集中带量</w:t>
      </w:r>
      <w:r>
        <w:rPr>
          <w:rFonts w:ascii="微软雅黑" w:hAnsi="微软雅黑" w:eastAsia="微软雅黑" w:cs="微软雅黑"/>
          <w:color w:val="231F20"/>
          <w:spacing w:val="2"/>
          <w:sz w:val="22"/>
          <w:szCs w:val="22"/>
        </w:rPr>
        <w:t>采购和使用的指导意见》  ，将部分临床用量较大 、采购金额较高 、临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床使用较成熟 、市场竞争较充分 、同质化水平较高的高值医用耗材纳入采购范围</w:t>
      </w:r>
      <w:r>
        <w:rPr>
          <w:rFonts w:ascii="微软雅黑" w:hAnsi="微软雅黑" w:eastAsia="微软雅黑" w:cs="微软雅黑"/>
          <w:color w:val="231F20"/>
          <w:spacing w:val="3"/>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4"/>
          <w:sz w:val="22"/>
          <w:szCs w:val="22"/>
        </w:rPr>
        <w:t>在药品</w:t>
      </w:r>
      <w:r>
        <w:rPr>
          <w:rFonts w:ascii="微软雅黑" w:hAnsi="微软雅黑" w:eastAsia="微软雅黑" w:cs="微软雅黑"/>
          <w:color w:val="231F20"/>
          <w:spacing w:val="9"/>
          <w:sz w:val="22"/>
          <w:szCs w:val="22"/>
        </w:rPr>
        <w:t>和</w:t>
      </w:r>
      <w:r>
        <w:rPr>
          <w:rFonts w:ascii="微软雅黑" w:hAnsi="微软雅黑" w:eastAsia="微软雅黑" w:cs="微软雅黑"/>
          <w:color w:val="231F20"/>
          <w:spacing w:val="7"/>
          <w:sz w:val="22"/>
          <w:szCs w:val="22"/>
        </w:rPr>
        <w:t>医疗器械集中带量采购工作常态化机制下，</w:t>
      </w:r>
      <w:r>
        <w:rPr>
          <w:rFonts w:ascii="Times New Roman" w:hAnsi="Times New Roman" w:eastAsia="Times New Roman" w:cs="Times New Roman"/>
          <w:color w:val="231F20"/>
          <w:spacing w:val="7"/>
          <w:sz w:val="22"/>
          <w:szCs w:val="22"/>
        </w:rPr>
        <w:t xml:space="preserve">2021 </w:t>
      </w:r>
      <w:r>
        <w:rPr>
          <w:rFonts w:ascii="微软雅黑" w:hAnsi="微软雅黑" w:eastAsia="微软雅黑" w:cs="微软雅黑"/>
          <w:color w:val="231F20"/>
          <w:spacing w:val="7"/>
          <w:sz w:val="22"/>
          <w:szCs w:val="22"/>
        </w:rPr>
        <w:t>年外资企业集采参与度有</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所提升 ，药</w:t>
      </w:r>
      <w:r>
        <w:rPr>
          <w:rFonts w:ascii="微软雅黑" w:hAnsi="微软雅黑" w:eastAsia="微软雅黑" w:cs="微软雅黑"/>
          <w:color w:val="231F20"/>
          <w:spacing w:val="-2"/>
          <w:sz w:val="22"/>
          <w:szCs w:val="22"/>
        </w:rPr>
        <w:t xml:space="preserve">品纳入集中采购的外资企业达到 </w:t>
      </w:r>
      <w:r>
        <w:rPr>
          <w:rFonts w:ascii="Times New Roman" w:hAnsi="Times New Roman" w:eastAsia="Times New Roman" w:cs="Times New Roman"/>
          <w:color w:val="231F20"/>
          <w:spacing w:val="-2"/>
          <w:sz w:val="22"/>
          <w:szCs w:val="22"/>
        </w:rPr>
        <w:t xml:space="preserve">11 </w:t>
      </w:r>
      <w:r>
        <w:rPr>
          <w:rFonts w:ascii="微软雅黑" w:hAnsi="微软雅黑" w:eastAsia="微软雅黑" w:cs="微软雅黑"/>
          <w:color w:val="231F20"/>
          <w:spacing w:val="-2"/>
          <w:sz w:val="22"/>
          <w:szCs w:val="22"/>
        </w:rPr>
        <w:t xml:space="preserve">家，  比 </w:t>
      </w:r>
      <w:r>
        <w:rPr>
          <w:rFonts w:ascii="Times New Roman" w:hAnsi="Times New Roman" w:eastAsia="Times New Roman" w:cs="Times New Roman"/>
          <w:color w:val="231F20"/>
          <w:spacing w:val="-2"/>
          <w:sz w:val="22"/>
          <w:szCs w:val="22"/>
        </w:rPr>
        <w:t xml:space="preserve">2020 </w:t>
      </w:r>
      <w:r>
        <w:rPr>
          <w:rFonts w:ascii="微软雅黑" w:hAnsi="微软雅黑" w:eastAsia="微软雅黑" w:cs="微软雅黑"/>
          <w:color w:val="231F20"/>
          <w:spacing w:val="-2"/>
          <w:sz w:val="22"/>
          <w:szCs w:val="22"/>
        </w:rPr>
        <w:t xml:space="preserve">年增加 </w:t>
      </w:r>
      <w:r>
        <w:rPr>
          <w:rFonts w:ascii="Times New Roman" w:hAnsi="Times New Roman" w:eastAsia="Times New Roman" w:cs="Times New Roman"/>
          <w:color w:val="231F20"/>
          <w:spacing w:val="-2"/>
          <w:sz w:val="22"/>
          <w:szCs w:val="22"/>
        </w:rPr>
        <w:t xml:space="preserve">3 </w:t>
      </w:r>
      <w:r>
        <w:rPr>
          <w:rFonts w:ascii="微软雅黑" w:hAnsi="微软雅黑" w:eastAsia="微软雅黑" w:cs="微软雅黑"/>
          <w:color w:val="231F20"/>
          <w:spacing w:val="-2"/>
          <w:sz w:val="22"/>
          <w:szCs w:val="22"/>
        </w:rPr>
        <w:t>家。</w:t>
      </w:r>
    </w:p>
    <w:p>
      <w:pPr>
        <w:spacing w:before="180" w:line="218"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5. </w:t>
      </w:r>
      <w:r>
        <w:rPr>
          <w:rFonts w:ascii="KaiTi" w:hAnsi="KaiTi" w:eastAsia="KaiTi" w:cs="KaiTi"/>
          <w:color w:val="015DAC"/>
          <w:spacing w:val="1"/>
          <w:sz w:val="22"/>
          <w:szCs w:val="22"/>
        </w:rPr>
        <w:t>医保目录持续动态调整，推动外资企</w:t>
      </w:r>
      <w:r>
        <w:rPr>
          <w:rFonts w:ascii="KaiTi" w:hAnsi="KaiTi" w:eastAsia="KaiTi" w:cs="KaiTi"/>
          <w:color w:val="015DAC"/>
          <w:sz w:val="22"/>
          <w:szCs w:val="22"/>
        </w:rPr>
        <w:t>业产品享受政策红利</w:t>
      </w:r>
    </w:p>
    <w:p>
      <w:pPr>
        <w:spacing w:line="266" w:lineRule="auto"/>
        <w:rPr>
          <w:rFonts w:ascii="Arial"/>
          <w:sz w:val="21"/>
        </w:rPr>
      </w:pPr>
    </w:p>
    <w:p>
      <w:pPr>
        <w:spacing w:before="95" w:line="260" w:lineRule="auto"/>
        <w:ind w:left="1989" w:right="1761" w:firstLine="458"/>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近年来中国医保改革的全面深化 ，不仅加速了新药</w:t>
      </w:r>
      <w:r>
        <w:rPr>
          <w:rFonts w:ascii="微软雅黑" w:hAnsi="微软雅黑" w:eastAsia="微软雅黑" w:cs="微软雅黑"/>
          <w:color w:val="231F20"/>
          <w:sz w:val="22"/>
          <w:szCs w:val="22"/>
        </w:rPr>
        <w:t xml:space="preserve">上市的步伐 ，也不断加快其被   </w:t>
      </w:r>
      <w:r>
        <w:rPr>
          <w:rFonts w:ascii="微软雅黑" w:hAnsi="微软雅黑" w:eastAsia="微软雅黑" w:cs="微软雅黑"/>
          <w:color w:val="231F20"/>
          <w:spacing w:val="-1"/>
          <w:sz w:val="22"/>
          <w:szCs w:val="22"/>
        </w:rPr>
        <w:t>纳入医保目录的速度。</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1</w:t>
      </w:r>
      <w:r>
        <w:rPr>
          <w:rFonts w:ascii="Times New Roman" w:hAnsi="Times New Roman" w:eastAsia="Times New Roman" w:cs="Times New Roman"/>
          <w:color w:val="231F20"/>
          <w:sz w:val="22"/>
          <w:szCs w:val="22"/>
        </w:rPr>
        <w:t xml:space="preserve">2 </w:t>
      </w:r>
      <w:r>
        <w:rPr>
          <w:rFonts w:ascii="微软雅黑" w:hAnsi="微软雅黑" w:eastAsia="微软雅黑" w:cs="微软雅黑"/>
          <w:color w:val="231F20"/>
          <w:sz w:val="22"/>
          <w:szCs w:val="22"/>
        </w:rPr>
        <w:t xml:space="preserve">月，  国家医保局 、人社部公布的最新版国家医保药   </w:t>
      </w:r>
      <w:r>
        <w:rPr>
          <w:rFonts w:ascii="微软雅黑" w:hAnsi="微软雅黑" w:eastAsia="微软雅黑" w:cs="微软雅黑"/>
          <w:color w:val="231F20"/>
          <w:spacing w:val="-1"/>
          <w:sz w:val="22"/>
          <w:szCs w:val="22"/>
        </w:rPr>
        <w:t xml:space="preserve">品目录中 ，共计 </w:t>
      </w:r>
      <w:r>
        <w:rPr>
          <w:rFonts w:ascii="Times New Roman" w:hAnsi="Times New Roman" w:eastAsia="Times New Roman" w:cs="Times New Roman"/>
          <w:color w:val="231F20"/>
          <w:spacing w:val="-1"/>
          <w:sz w:val="22"/>
          <w:szCs w:val="22"/>
        </w:rPr>
        <w:t xml:space="preserve">74 </w:t>
      </w:r>
      <w:r>
        <w:rPr>
          <w:rFonts w:ascii="微软雅黑" w:hAnsi="微软雅黑" w:eastAsia="微软雅黑" w:cs="微软雅黑"/>
          <w:color w:val="231F20"/>
          <w:spacing w:val="-1"/>
          <w:sz w:val="22"/>
          <w:szCs w:val="22"/>
        </w:rPr>
        <w:t>种药品新</w:t>
      </w:r>
      <w:r>
        <w:rPr>
          <w:rFonts w:ascii="微软雅黑" w:hAnsi="微软雅黑" w:eastAsia="微软雅黑" w:cs="微软雅黑"/>
          <w:color w:val="231F20"/>
          <w:sz w:val="22"/>
          <w:szCs w:val="22"/>
        </w:rPr>
        <w:t xml:space="preserve">增进入目录，  </w:t>
      </w:r>
      <w:r>
        <w:rPr>
          <w:rFonts w:ascii="Times New Roman" w:hAnsi="Times New Roman" w:eastAsia="Times New Roman" w:cs="Times New Roman"/>
          <w:color w:val="231F20"/>
          <w:sz w:val="22"/>
          <w:szCs w:val="22"/>
        </w:rPr>
        <w:t xml:space="preserve">11 </w:t>
      </w:r>
      <w:r>
        <w:rPr>
          <w:rFonts w:ascii="微软雅黑" w:hAnsi="微软雅黑" w:eastAsia="微软雅黑" w:cs="微软雅黑"/>
          <w:color w:val="231F20"/>
          <w:sz w:val="22"/>
          <w:szCs w:val="22"/>
        </w:rPr>
        <w:t xml:space="preserve">种药品被调出目录。随着医保目录动态   </w:t>
      </w:r>
      <w:r>
        <w:rPr>
          <w:rFonts w:ascii="微软雅黑" w:hAnsi="微软雅黑" w:eastAsia="微软雅黑" w:cs="微软雅黑"/>
          <w:color w:val="231F20"/>
          <w:spacing w:val="6"/>
          <w:sz w:val="22"/>
          <w:szCs w:val="22"/>
        </w:rPr>
        <w:t>调整和准入谈</w:t>
      </w:r>
      <w:r>
        <w:rPr>
          <w:rFonts w:ascii="微软雅黑" w:hAnsi="微软雅黑" w:eastAsia="微软雅黑" w:cs="微软雅黑"/>
          <w:color w:val="231F20"/>
          <w:spacing w:val="5"/>
          <w:sz w:val="22"/>
          <w:szCs w:val="22"/>
        </w:rPr>
        <w:t>判</w:t>
      </w:r>
      <w:r>
        <w:rPr>
          <w:rFonts w:ascii="微软雅黑" w:hAnsi="微软雅黑" w:eastAsia="微软雅黑" w:cs="微软雅黑"/>
          <w:color w:val="231F20"/>
          <w:spacing w:val="3"/>
          <w:sz w:val="22"/>
          <w:szCs w:val="22"/>
        </w:rPr>
        <w:t>进入常态化，外资药企已享受到药品审批与医保目录纳入“无缝衔接”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 xml:space="preserve">的红利。如随着一线治疗 </w:t>
      </w:r>
      <w:r>
        <w:rPr>
          <w:rFonts w:ascii="Times New Roman" w:hAnsi="Times New Roman" w:eastAsia="Times New Roman" w:cs="Times New Roman"/>
          <w:color w:val="231F20"/>
          <w:sz w:val="22"/>
          <w:szCs w:val="22"/>
        </w:rPr>
        <w:t>EGFR</w:t>
      </w:r>
      <w:r>
        <w:rPr>
          <w:rFonts w:ascii="Times New Roman" w:hAnsi="Times New Roman" w:eastAsia="Times New Roman" w:cs="Times New Roman"/>
          <w:color w:val="231F20"/>
          <w:spacing w:val="3"/>
          <w:sz w:val="22"/>
          <w:szCs w:val="22"/>
        </w:rPr>
        <w:t xml:space="preserve"> </w:t>
      </w:r>
      <w:r>
        <w:rPr>
          <w:rFonts w:ascii="微软雅黑" w:hAnsi="微软雅黑" w:eastAsia="微软雅黑" w:cs="微软雅黑"/>
          <w:color w:val="231F20"/>
          <w:spacing w:val="3"/>
          <w:sz w:val="22"/>
          <w:szCs w:val="22"/>
        </w:rPr>
        <w:t xml:space="preserve">突变阳性晚期或转移性非小细胞肺癌 ( </w:t>
      </w:r>
      <w:r>
        <w:rPr>
          <w:rFonts w:ascii="Times New Roman" w:hAnsi="Times New Roman" w:eastAsia="Times New Roman" w:cs="Times New Roman"/>
          <w:color w:val="231F20"/>
          <w:sz w:val="22"/>
          <w:szCs w:val="22"/>
        </w:rPr>
        <w:t>NSCLC</w:t>
      </w:r>
      <w:r>
        <w:rPr>
          <w:rFonts w:ascii="Times New Roman" w:hAnsi="Times New Roman" w:eastAsia="Times New Roman" w:cs="Times New Roman"/>
          <w:color w:val="231F20"/>
          <w:spacing w:val="3"/>
          <w:sz w:val="22"/>
          <w:szCs w:val="22"/>
        </w:rPr>
        <w:t xml:space="preserve"> </w:t>
      </w:r>
      <w:r>
        <w:rPr>
          <w:rFonts w:ascii="微软雅黑" w:hAnsi="微软雅黑" w:eastAsia="微软雅黑" w:cs="微软雅黑"/>
          <w:color w:val="231F20"/>
          <w:spacing w:val="3"/>
          <w:sz w:val="22"/>
          <w:szCs w:val="22"/>
        </w:rPr>
        <w:t xml:space="preserve">) </w:t>
      </w:r>
      <w:r>
        <w:rPr>
          <w:rFonts w:ascii="微软雅黑" w:hAnsi="微软雅黑" w:eastAsia="微软雅黑" w:cs="微软雅黑"/>
          <w:color w:val="231F20"/>
          <w:spacing w:val="1"/>
          <w:sz w:val="22"/>
          <w:szCs w:val="22"/>
        </w:rPr>
        <w:t>被</w:t>
      </w:r>
      <w:r>
        <w:rPr>
          <w:rFonts w:ascii="微软雅黑" w:hAnsi="微软雅黑" w:eastAsia="微软雅黑" w:cs="微软雅黑"/>
          <w:color w:val="231F20"/>
          <w:sz w:val="22"/>
          <w:szCs w:val="22"/>
        </w:rPr>
        <w:t>纳</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82924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bookmarkStart w:id="28" w:name="_bookmark29"/>
      <w:bookmarkEnd w:id="28"/>
      <w:bookmarkStart w:id="29" w:name="_bookmark30"/>
      <w:bookmarkEnd w:id="29"/>
      <w:bookmarkStart w:id="30" w:name="_bookmark23"/>
      <w:bookmarkEnd w:id="30"/>
      <w:bookmarkStart w:id="31" w:name="_bookmark24"/>
      <w:bookmarkEnd w:id="31"/>
      <w:r>
        <w:rPr>
          <w:rFonts w:ascii="Arial" w:hAnsi="Arial" w:eastAsia="Arial" w:cs="Arial"/>
          <w:color w:val="231F20"/>
          <w:spacing w:val="40"/>
          <w:sz w:val="20"/>
          <w:szCs w:val="20"/>
        </w:rPr>
        <w:t>3</w:t>
      </w:r>
      <w:r>
        <w:rPr>
          <w:rFonts w:ascii="Arial" w:hAnsi="Arial" w:eastAsia="Arial" w:cs="Arial"/>
          <w:color w:val="231F20"/>
          <w:spacing w:val="21"/>
          <w:sz w:val="20"/>
          <w:szCs w:val="20"/>
        </w:rPr>
        <w:t xml:space="preserve">2  </w:t>
      </w:r>
      <w:r>
        <w:rPr>
          <w:position w:val="-5"/>
          <w:sz w:val="20"/>
          <w:szCs w:val="20"/>
        </w:rPr>
        <w:drawing>
          <wp:inline distT="0" distB="0" distL="0" distR="0">
            <wp:extent cx="3175" cy="14732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产业篇</w:t>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95" w:line="272" w:lineRule="auto"/>
        <w:ind w:left="1994" w:right="1917" w:hanging="7"/>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 xml:space="preserve">入 </w:t>
      </w:r>
      <w:r>
        <w:rPr>
          <w:rFonts w:ascii="Times New Roman" w:hAnsi="Times New Roman" w:eastAsia="Times New Roman" w:cs="Times New Roman"/>
          <w:color w:val="231F20"/>
          <w:spacing w:val="-3"/>
          <w:sz w:val="22"/>
          <w:szCs w:val="22"/>
        </w:rPr>
        <w:t>2</w:t>
      </w:r>
      <w:r>
        <w:rPr>
          <w:rFonts w:ascii="Times New Roman" w:hAnsi="Times New Roman" w:eastAsia="Times New Roman" w:cs="Times New Roman"/>
          <w:color w:val="231F20"/>
          <w:spacing w:val="-2"/>
          <w:sz w:val="22"/>
          <w:szCs w:val="22"/>
        </w:rPr>
        <w:t xml:space="preserve">021 </w:t>
      </w:r>
      <w:r>
        <w:rPr>
          <w:rFonts w:ascii="微软雅黑" w:hAnsi="微软雅黑" w:eastAsia="微软雅黑" w:cs="微软雅黑"/>
          <w:color w:val="231F20"/>
          <w:spacing w:val="-2"/>
          <w:sz w:val="22"/>
          <w:szCs w:val="22"/>
        </w:rPr>
        <w:t xml:space="preserve">年医保目录，二线治疗 </w:t>
      </w:r>
      <w:r>
        <w:rPr>
          <w:rFonts w:ascii="Times New Roman" w:hAnsi="Times New Roman" w:eastAsia="Times New Roman" w:cs="Times New Roman"/>
          <w:color w:val="231F20"/>
          <w:spacing w:val="-2"/>
          <w:sz w:val="22"/>
          <w:szCs w:val="22"/>
        </w:rPr>
        <w:t xml:space="preserve">NSCLC </w:t>
      </w:r>
      <w:r>
        <w:rPr>
          <w:rFonts w:ascii="微软雅黑" w:hAnsi="微软雅黑" w:eastAsia="微软雅黑" w:cs="微软雅黑"/>
          <w:color w:val="231F20"/>
          <w:spacing w:val="-2"/>
          <w:sz w:val="22"/>
          <w:szCs w:val="22"/>
        </w:rPr>
        <w:t xml:space="preserve">获得医保续签 ，以及辅助治疗 </w:t>
      </w:r>
      <w:r>
        <w:rPr>
          <w:rFonts w:ascii="Times New Roman" w:hAnsi="Times New Roman" w:eastAsia="Times New Roman" w:cs="Times New Roman"/>
          <w:color w:val="231F20"/>
          <w:spacing w:val="-2"/>
          <w:sz w:val="22"/>
          <w:szCs w:val="22"/>
        </w:rPr>
        <w:t xml:space="preserve">NSCLC </w:t>
      </w:r>
      <w:r>
        <w:rPr>
          <w:rFonts w:ascii="微软雅黑" w:hAnsi="微软雅黑" w:eastAsia="微软雅黑" w:cs="微软雅黑"/>
          <w:color w:val="231F20"/>
          <w:spacing w:val="-2"/>
          <w:sz w:val="22"/>
          <w:szCs w:val="22"/>
        </w:rPr>
        <w:t>的批准，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奥希替尼已成为一些外资药企</w:t>
      </w:r>
      <w:r>
        <w:rPr>
          <w:rFonts w:ascii="微软雅黑" w:hAnsi="微软雅黑" w:eastAsia="微软雅黑" w:cs="微软雅黑"/>
          <w:color w:val="231F20"/>
          <w:spacing w:val="1"/>
          <w:sz w:val="22"/>
          <w:szCs w:val="22"/>
        </w:rPr>
        <w:t>在中国收入的主要来源。</w:t>
      </w:r>
    </w:p>
    <w:p>
      <w:pPr>
        <w:spacing w:before="180" w:line="214"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6. </w:t>
      </w:r>
      <w:r>
        <w:rPr>
          <w:rFonts w:ascii="KaiTi" w:hAnsi="KaiTi" w:eastAsia="KaiTi" w:cs="KaiTi"/>
          <w:color w:val="015DAC"/>
          <w:spacing w:val="1"/>
          <w:sz w:val="22"/>
          <w:szCs w:val="22"/>
        </w:rPr>
        <w:t>强化外资药企服务工作，更好促进</w:t>
      </w:r>
      <w:r>
        <w:rPr>
          <w:rFonts w:ascii="KaiTi" w:hAnsi="KaiTi" w:eastAsia="KaiTi" w:cs="KaiTi"/>
          <w:color w:val="015DAC"/>
          <w:sz w:val="22"/>
          <w:szCs w:val="22"/>
        </w:rPr>
        <w:t>外资企业在华发展</w:t>
      </w:r>
    </w:p>
    <w:p>
      <w:pPr>
        <w:spacing w:line="269" w:lineRule="auto"/>
        <w:rPr>
          <w:rFonts w:ascii="Arial"/>
          <w:sz w:val="21"/>
        </w:rPr>
      </w:pPr>
    </w:p>
    <w:p>
      <w:pPr>
        <w:spacing w:before="94" w:line="260" w:lineRule="auto"/>
        <w:ind w:left="1993" w:right="1894" w:firstLine="448"/>
        <w:rPr>
          <w:rFonts w:ascii="微软雅黑" w:hAnsi="微软雅黑" w:eastAsia="微软雅黑" w:cs="微软雅黑"/>
          <w:sz w:val="22"/>
          <w:szCs w:val="22"/>
        </w:rPr>
      </w:pPr>
      <w:r>
        <w:rPr>
          <w:rFonts w:ascii="Times New Roman" w:hAnsi="Times New Roman" w:eastAsia="Times New Roman" w:cs="Times New Roman"/>
          <w:color w:val="231F20"/>
          <w:spacing w:val="-6"/>
          <w:sz w:val="22"/>
          <w:szCs w:val="22"/>
        </w:rPr>
        <w:t>20</w:t>
      </w:r>
      <w:r>
        <w:rPr>
          <w:rFonts w:ascii="Times New Roman" w:hAnsi="Times New Roman" w:eastAsia="Times New Roman" w:cs="Times New Roman"/>
          <w:color w:val="231F20"/>
          <w:spacing w:val="-3"/>
          <w:sz w:val="22"/>
          <w:szCs w:val="22"/>
        </w:rPr>
        <w:t xml:space="preserve">21 </w:t>
      </w:r>
      <w:r>
        <w:rPr>
          <w:rFonts w:ascii="微软雅黑" w:hAnsi="微软雅黑" w:eastAsia="微软雅黑" w:cs="微软雅黑"/>
          <w:color w:val="231F20"/>
          <w:spacing w:val="-3"/>
          <w:sz w:val="22"/>
          <w:szCs w:val="22"/>
        </w:rPr>
        <w:t>年以来 ，商务部、国家药监局先后组织召开医药行业外资企业座谈会，  听取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外资药企在华经营发展面临的问题</w:t>
      </w:r>
      <w:r>
        <w:rPr>
          <w:rFonts w:ascii="微软雅黑" w:hAnsi="微软雅黑" w:eastAsia="微软雅黑" w:cs="微软雅黑"/>
          <w:color w:val="231F20"/>
          <w:spacing w:val="1"/>
          <w:sz w:val="22"/>
          <w:szCs w:val="22"/>
        </w:rPr>
        <w:t>和困难 ，采取有力措施纾难解困。同时，</w:t>
      </w:r>
      <w:r>
        <w:rPr>
          <w:rFonts w:ascii="Times New Roman" w:hAnsi="Times New Roman" w:eastAsia="Times New Roman" w:cs="Times New Roman"/>
          <w:color w:val="231F20"/>
          <w:spacing w:val="1"/>
          <w:sz w:val="22"/>
          <w:szCs w:val="22"/>
        </w:rPr>
        <w:t xml:space="preserve">2022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6</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6"/>
          <w:sz w:val="22"/>
          <w:szCs w:val="22"/>
        </w:rPr>
        <w:t>月，  国家</w:t>
      </w:r>
      <w:r>
        <w:rPr>
          <w:rFonts w:ascii="微软雅黑" w:hAnsi="微软雅黑" w:eastAsia="微软雅黑" w:cs="微软雅黑"/>
          <w:color w:val="231F20"/>
          <w:spacing w:val="-5"/>
          <w:sz w:val="22"/>
          <w:szCs w:val="22"/>
        </w:rPr>
        <w:t>药</w:t>
      </w:r>
      <w:r>
        <w:rPr>
          <w:rFonts w:ascii="微软雅黑" w:hAnsi="微软雅黑" w:eastAsia="微软雅黑" w:cs="微软雅黑"/>
          <w:color w:val="231F20"/>
          <w:spacing w:val="-3"/>
          <w:sz w:val="22"/>
          <w:szCs w:val="22"/>
        </w:rPr>
        <w:t>监局发布《关于进一步加强外资企业服务工作的通知》   ( 药监综科外函〔</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8"/>
          <w:sz w:val="22"/>
          <w:szCs w:val="22"/>
        </w:rPr>
        <w:t xml:space="preserve">2022 </w:t>
      </w:r>
      <w:r>
        <w:rPr>
          <w:rFonts w:ascii="微软雅黑" w:hAnsi="微软雅黑" w:eastAsia="微软雅黑" w:cs="微软雅黑"/>
          <w:color w:val="231F20"/>
          <w:spacing w:val="-6"/>
          <w:sz w:val="22"/>
          <w:szCs w:val="22"/>
        </w:rPr>
        <w:t>〕</w:t>
      </w:r>
      <w:r>
        <w:rPr>
          <w:rFonts w:ascii="Times New Roman" w:hAnsi="Times New Roman" w:eastAsia="Times New Roman" w:cs="Times New Roman"/>
          <w:color w:val="231F20"/>
          <w:spacing w:val="-4"/>
          <w:sz w:val="22"/>
          <w:szCs w:val="22"/>
        </w:rPr>
        <w:t xml:space="preserve">361 </w:t>
      </w:r>
      <w:r>
        <w:rPr>
          <w:rFonts w:ascii="微软雅黑" w:hAnsi="微软雅黑" w:eastAsia="微软雅黑" w:cs="微软雅黑"/>
          <w:color w:val="231F20"/>
          <w:spacing w:val="-4"/>
          <w:sz w:val="22"/>
          <w:szCs w:val="22"/>
        </w:rPr>
        <w:t>号 ) ，专门针对外资药品生产和医疗器械企业，提出在药品和医疗器械监管、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药品上市审评审批、</w:t>
      </w:r>
      <w:r>
        <w:rPr>
          <w:rFonts w:ascii="微软雅黑" w:hAnsi="微软雅黑" w:eastAsia="微软雅黑" w:cs="微软雅黑"/>
          <w:color w:val="231F20"/>
          <w:sz w:val="22"/>
          <w:szCs w:val="22"/>
        </w:rPr>
        <w:t xml:space="preserve">国际规则转化等 </w:t>
      </w:r>
      <w:r>
        <w:rPr>
          <w:rFonts w:ascii="Times New Roman" w:hAnsi="Times New Roman" w:eastAsia="Times New Roman" w:cs="Times New Roman"/>
          <w:color w:val="231F20"/>
          <w:sz w:val="22"/>
          <w:szCs w:val="22"/>
        </w:rPr>
        <w:t xml:space="preserve">8 </w:t>
      </w:r>
      <w:r>
        <w:rPr>
          <w:rFonts w:ascii="微软雅黑" w:hAnsi="微软雅黑" w:eastAsia="微软雅黑" w:cs="微软雅黑"/>
          <w:color w:val="231F20"/>
          <w:sz w:val="22"/>
          <w:szCs w:val="22"/>
        </w:rPr>
        <w:t>个方面 ，强化为外资企业服务工作 ，促进外资 药企在华发展。</w:t>
      </w:r>
    </w:p>
    <w:p>
      <w:pPr>
        <w:spacing w:before="177"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0"/>
          <w:sz w:val="24"/>
          <w:szCs w:val="24"/>
        </w:rPr>
        <w:t>二) 利用外资情况</w:t>
      </w:r>
    </w:p>
    <w:p>
      <w:pPr>
        <w:spacing w:before="332" w:line="266" w:lineRule="auto"/>
        <w:ind w:left="2005" w:right="1979" w:firstLine="441"/>
        <w:rPr>
          <w:rFonts w:ascii="微软雅黑" w:hAnsi="微软雅黑" w:eastAsia="微软雅黑" w:cs="微软雅黑"/>
          <w:sz w:val="22"/>
          <w:szCs w:val="22"/>
        </w:rPr>
      </w:pPr>
      <w:r>
        <w:rPr>
          <w:rFonts w:ascii="微软雅黑" w:hAnsi="微软雅黑" w:eastAsia="微软雅黑" w:cs="微软雅黑"/>
          <w:color w:val="231F20"/>
          <w:spacing w:val="10"/>
          <w:sz w:val="22"/>
          <w:szCs w:val="22"/>
        </w:rPr>
        <w:t>在全球疫情</w:t>
      </w:r>
      <w:r>
        <w:rPr>
          <w:rFonts w:ascii="微软雅黑" w:hAnsi="微软雅黑" w:eastAsia="微软雅黑" w:cs="微软雅黑"/>
          <w:color w:val="231F20"/>
          <w:spacing w:val="7"/>
          <w:sz w:val="22"/>
          <w:szCs w:val="22"/>
        </w:rPr>
        <w:t>反</w:t>
      </w:r>
      <w:r>
        <w:rPr>
          <w:rFonts w:ascii="微软雅黑" w:hAnsi="微软雅黑" w:eastAsia="微软雅黑" w:cs="微软雅黑"/>
          <w:color w:val="231F20"/>
          <w:spacing w:val="5"/>
          <w:sz w:val="22"/>
          <w:szCs w:val="22"/>
        </w:rPr>
        <w:t>复和地缘政治风险加剧的背景下，  受中国庞大的人口红利以及人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口老龄化等因素驱动</w:t>
      </w:r>
      <w:r>
        <w:rPr>
          <w:rFonts w:ascii="微软雅黑" w:hAnsi="微软雅黑" w:eastAsia="微软雅黑" w:cs="微软雅黑"/>
          <w:color w:val="231F20"/>
          <w:spacing w:val="4"/>
          <w:sz w:val="22"/>
          <w:szCs w:val="22"/>
        </w:rPr>
        <w:t>，</w:t>
      </w:r>
      <w:r>
        <w:rPr>
          <w:rFonts w:ascii="微软雅黑" w:hAnsi="微软雅黑" w:eastAsia="微软雅黑" w:cs="微软雅黑"/>
          <w:color w:val="231F20"/>
          <w:spacing w:val="3"/>
          <w:sz w:val="22"/>
          <w:szCs w:val="22"/>
        </w:rPr>
        <w:t xml:space="preserve">  医药制造业对跨国企业投资的吸引力较强 ，成为中国吸收外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9"/>
          <w:sz w:val="22"/>
          <w:szCs w:val="22"/>
        </w:rPr>
        <w:t>资</w:t>
      </w:r>
      <w:r>
        <w:rPr>
          <w:rFonts w:ascii="微软雅黑" w:hAnsi="微软雅黑" w:eastAsia="微软雅黑" w:cs="微软雅黑"/>
          <w:color w:val="231F20"/>
          <w:spacing w:val="5"/>
          <w:sz w:val="22"/>
          <w:szCs w:val="22"/>
        </w:rPr>
        <w:t>的主要增长点之一。</w:t>
      </w:r>
    </w:p>
    <w:p>
      <w:pPr>
        <w:spacing w:before="179" w:line="217" w:lineRule="auto"/>
        <w:ind w:left="2468"/>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1. </w:t>
      </w:r>
      <w:r>
        <w:rPr>
          <w:rFonts w:ascii="KaiTi" w:hAnsi="KaiTi" w:eastAsia="KaiTi" w:cs="KaiTi"/>
          <w:color w:val="015DAC"/>
          <w:spacing w:val="-1"/>
          <w:sz w:val="22"/>
          <w:szCs w:val="22"/>
        </w:rPr>
        <w:t>外资药企加大本土化</w:t>
      </w:r>
      <w:r>
        <w:rPr>
          <w:rFonts w:ascii="KaiTi" w:hAnsi="KaiTi" w:eastAsia="KaiTi" w:cs="KaiTi"/>
          <w:color w:val="015DAC"/>
          <w:sz w:val="22"/>
          <w:szCs w:val="22"/>
        </w:rPr>
        <w:t>步伐</w:t>
      </w:r>
    </w:p>
    <w:p>
      <w:pPr>
        <w:spacing w:line="264" w:lineRule="auto"/>
        <w:rPr>
          <w:rFonts w:ascii="Arial"/>
          <w:sz w:val="21"/>
        </w:rPr>
      </w:pPr>
    </w:p>
    <w:p>
      <w:pPr>
        <w:spacing w:before="95" w:line="266" w:lineRule="auto"/>
        <w:ind w:left="1989" w:right="1984" w:firstLine="469"/>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近年来 ，在中国鼓励医药行业发展相关政策的促进下 ，一些外资</w:t>
      </w:r>
      <w:r>
        <w:rPr>
          <w:rFonts w:ascii="微软雅黑" w:hAnsi="微软雅黑" w:eastAsia="微软雅黑" w:cs="微软雅黑"/>
          <w:color w:val="231F20"/>
          <w:sz w:val="22"/>
          <w:szCs w:val="22"/>
        </w:rPr>
        <w:t xml:space="preserve">企业积极投资医 药制造业 ，一些生产和研发项目纷纷落地。同时 ，外资药企加速推进本地化战略，从 </w:t>
      </w:r>
      <w:r>
        <w:rPr>
          <w:rFonts w:ascii="微软雅黑" w:hAnsi="微软雅黑" w:eastAsia="微软雅黑" w:cs="微软雅黑"/>
          <w:color w:val="231F20"/>
          <w:spacing w:val="-2"/>
          <w:sz w:val="22"/>
          <w:szCs w:val="22"/>
        </w:rPr>
        <w:t>研</w:t>
      </w:r>
      <w:r>
        <w:rPr>
          <w:rFonts w:ascii="微软雅黑" w:hAnsi="微软雅黑" w:eastAsia="微软雅黑" w:cs="微软雅黑"/>
          <w:color w:val="231F20"/>
          <w:spacing w:val="-1"/>
          <w:sz w:val="22"/>
          <w:szCs w:val="22"/>
        </w:rPr>
        <w:t>发到生产制造 ，甚至供应链都转向本土化，推动在华医药产业链优化升级。</w:t>
      </w:r>
    </w:p>
    <w:p>
      <w:pPr>
        <w:spacing w:before="179" w:line="217"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外资药企营</w:t>
      </w:r>
      <w:r>
        <w:rPr>
          <w:rFonts w:ascii="KaiTi" w:hAnsi="KaiTi" w:eastAsia="KaiTi" w:cs="KaiTi"/>
          <w:color w:val="015DAC"/>
          <w:sz w:val="22"/>
          <w:szCs w:val="22"/>
        </w:rPr>
        <w:t>收稳步增长</w:t>
      </w:r>
    </w:p>
    <w:p>
      <w:pPr>
        <w:spacing w:line="268" w:lineRule="auto"/>
        <w:rPr>
          <w:rFonts w:ascii="Arial"/>
          <w:sz w:val="21"/>
        </w:rPr>
      </w:pPr>
    </w:p>
    <w:p>
      <w:pPr>
        <w:spacing w:before="95" w:line="257" w:lineRule="auto"/>
        <w:ind w:left="1986" w:right="1985" w:firstLine="460"/>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在华外资医药制造企业经营状况持</w:t>
      </w:r>
      <w:r>
        <w:rPr>
          <w:rFonts w:ascii="微软雅黑" w:hAnsi="微软雅黑" w:eastAsia="微软雅黑" w:cs="微软雅黑"/>
          <w:color w:val="231F20"/>
          <w:sz w:val="22"/>
          <w:szCs w:val="22"/>
        </w:rPr>
        <w:t>续向好。国家统计局数据显示，</w:t>
      </w:r>
      <w:r>
        <w:rPr>
          <w:rFonts w:ascii="Times New Roman" w:hAnsi="Times New Roman" w:eastAsia="Times New Roman" w:cs="Times New Roman"/>
          <w:color w:val="231F20"/>
          <w:sz w:val="22"/>
          <w:szCs w:val="22"/>
        </w:rPr>
        <w:t xml:space="preserve">2016-2020 </w:t>
      </w:r>
      <w:r>
        <w:rPr>
          <w:rFonts w:ascii="微软雅黑" w:hAnsi="微软雅黑" w:eastAsia="微软雅黑" w:cs="微软雅黑"/>
          <w:color w:val="231F20"/>
          <w:sz w:val="22"/>
          <w:szCs w:val="22"/>
        </w:rPr>
        <w:t xml:space="preserve">年， </w:t>
      </w:r>
      <w:r>
        <w:rPr>
          <w:rFonts w:ascii="微软雅黑" w:hAnsi="微软雅黑" w:eastAsia="微软雅黑" w:cs="微软雅黑"/>
          <w:color w:val="231F20"/>
          <w:spacing w:val="6"/>
          <w:sz w:val="22"/>
          <w:szCs w:val="22"/>
        </w:rPr>
        <w:t>规模以上外</w:t>
      </w:r>
      <w:r>
        <w:rPr>
          <w:rFonts w:ascii="微软雅黑" w:hAnsi="微软雅黑" w:eastAsia="微软雅黑" w:cs="微软雅黑"/>
          <w:color w:val="231F20"/>
          <w:spacing w:val="3"/>
          <w:sz w:val="22"/>
          <w:szCs w:val="22"/>
        </w:rPr>
        <w:t xml:space="preserve">资医药制造企业营业收入从 </w:t>
      </w:r>
      <w:r>
        <w:rPr>
          <w:rFonts w:ascii="Times New Roman" w:hAnsi="Times New Roman" w:eastAsia="Times New Roman" w:cs="Times New Roman"/>
          <w:color w:val="231F20"/>
          <w:spacing w:val="3"/>
          <w:sz w:val="22"/>
          <w:szCs w:val="22"/>
        </w:rPr>
        <w:t xml:space="preserve">5219.7 </w:t>
      </w:r>
      <w:r>
        <w:rPr>
          <w:rFonts w:ascii="微软雅黑" w:hAnsi="微软雅黑" w:eastAsia="微软雅黑" w:cs="微软雅黑"/>
          <w:color w:val="231F20"/>
          <w:spacing w:val="3"/>
          <w:sz w:val="22"/>
          <w:szCs w:val="22"/>
        </w:rPr>
        <w:t xml:space="preserve">亿元增长到 </w:t>
      </w:r>
      <w:r>
        <w:rPr>
          <w:rFonts w:ascii="Times New Roman" w:hAnsi="Times New Roman" w:eastAsia="Times New Roman" w:cs="Times New Roman"/>
          <w:color w:val="231F20"/>
          <w:spacing w:val="3"/>
          <w:sz w:val="22"/>
          <w:szCs w:val="22"/>
        </w:rPr>
        <w:t xml:space="preserve">5652.6 </w:t>
      </w:r>
      <w:r>
        <w:rPr>
          <w:rFonts w:ascii="微软雅黑" w:hAnsi="微软雅黑" w:eastAsia="微软雅黑" w:cs="微软雅黑"/>
          <w:color w:val="231F20"/>
          <w:spacing w:val="3"/>
          <w:sz w:val="22"/>
          <w:szCs w:val="22"/>
        </w:rPr>
        <w:t>亿元 ，利润总额从</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1"/>
          <w:sz w:val="22"/>
          <w:szCs w:val="22"/>
        </w:rPr>
        <w:t xml:space="preserve">652. 1 </w:t>
      </w:r>
      <w:r>
        <w:rPr>
          <w:rFonts w:ascii="微软雅黑" w:hAnsi="微软雅黑" w:eastAsia="微软雅黑" w:cs="微软雅黑"/>
          <w:color w:val="231F20"/>
          <w:spacing w:val="1"/>
          <w:sz w:val="22"/>
          <w:szCs w:val="22"/>
        </w:rPr>
        <w:t>亿元增长到</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901.6 </w:t>
      </w:r>
      <w:r>
        <w:rPr>
          <w:rFonts w:ascii="微软雅黑" w:hAnsi="微软雅黑" w:eastAsia="微软雅黑" w:cs="微软雅黑"/>
          <w:color w:val="231F20"/>
          <w:sz w:val="22"/>
          <w:szCs w:val="22"/>
        </w:rPr>
        <w:t xml:space="preserve">亿元。从营收利润率来看，规模以上外资医药制造企业营收利 </w:t>
      </w:r>
      <w:r>
        <w:rPr>
          <w:rFonts w:ascii="微软雅黑" w:hAnsi="微软雅黑" w:eastAsia="微软雅黑" w:cs="微软雅黑"/>
          <w:color w:val="231F20"/>
          <w:spacing w:val="-1"/>
          <w:sz w:val="22"/>
          <w:szCs w:val="22"/>
        </w:rPr>
        <w:t xml:space="preserve">润率从 </w:t>
      </w:r>
      <w:r>
        <w:rPr>
          <w:rFonts w:ascii="Times New Roman" w:hAnsi="Times New Roman" w:eastAsia="Times New Roman" w:cs="Times New Roman"/>
          <w:color w:val="231F20"/>
          <w:spacing w:val="-1"/>
          <w:sz w:val="22"/>
          <w:szCs w:val="22"/>
        </w:rPr>
        <w:t xml:space="preserve">2016 </w:t>
      </w:r>
      <w:r>
        <w:rPr>
          <w:rFonts w:ascii="微软雅黑" w:hAnsi="微软雅黑" w:eastAsia="微软雅黑" w:cs="微软雅黑"/>
          <w:color w:val="231F20"/>
          <w:spacing w:val="-1"/>
          <w:sz w:val="22"/>
          <w:szCs w:val="22"/>
        </w:rPr>
        <w:t xml:space="preserve">年的 </w:t>
      </w:r>
      <w:r>
        <w:rPr>
          <w:rFonts w:ascii="Times New Roman" w:hAnsi="Times New Roman" w:eastAsia="Times New Roman" w:cs="Times New Roman"/>
          <w:color w:val="231F20"/>
          <w:spacing w:val="-1"/>
          <w:sz w:val="22"/>
          <w:szCs w:val="22"/>
        </w:rPr>
        <w:t xml:space="preserve">12.5% </w:t>
      </w:r>
      <w:r>
        <w:rPr>
          <w:rFonts w:ascii="微软雅黑" w:hAnsi="微软雅黑" w:eastAsia="微软雅黑" w:cs="微软雅黑"/>
          <w:color w:val="231F20"/>
          <w:spacing w:val="-1"/>
          <w:sz w:val="22"/>
          <w:szCs w:val="22"/>
        </w:rPr>
        <w:t>上</w:t>
      </w:r>
      <w:r>
        <w:rPr>
          <w:rFonts w:ascii="微软雅黑" w:hAnsi="微软雅黑" w:eastAsia="微软雅黑" w:cs="微软雅黑"/>
          <w:color w:val="231F20"/>
          <w:sz w:val="22"/>
          <w:szCs w:val="22"/>
        </w:rPr>
        <w:t xml:space="preserve">升至 </w:t>
      </w:r>
      <w:r>
        <w:rPr>
          <w:rFonts w:ascii="Times New Roman" w:hAnsi="Times New Roman" w:eastAsia="Times New Roman" w:cs="Times New Roman"/>
          <w:color w:val="231F20"/>
          <w:sz w:val="22"/>
          <w:szCs w:val="22"/>
        </w:rPr>
        <w:t xml:space="preserve">2020 </w:t>
      </w:r>
      <w:r>
        <w:rPr>
          <w:rFonts w:ascii="微软雅黑" w:hAnsi="微软雅黑" w:eastAsia="微软雅黑" w:cs="微软雅黑"/>
          <w:color w:val="231F20"/>
          <w:sz w:val="22"/>
          <w:szCs w:val="22"/>
        </w:rPr>
        <w:t xml:space="preserve">年的 </w:t>
      </w:r>
      <w:r>
        <w:rPr>
          <w:rFonts w:ascii="Times New Roman" w:hAnsi="Times New Roman" w:eastAsia="Times New Roman" w:cs="Times New Roman"/>
          <w:color w:val="231F20"/>
          <w:sz w:val="22"/>
          <w:szCs w:val="22"/>
        </w:rPr>
        <w:t>16.0%</w:t>
      </w:r>
      <w:r>
        <w:rPr>
          <w:rFonts w:ascii="微软雅黑" w:hAnsi="微软雅黑" w:eastAsia="微软雅黑" w:cs="微软雅黑"/>
          <w:color w:val="231F20"/>
          <w:sz w:val="22"/>
          <w:szCs w:val="22"/>
        </w:rPr>
        <w:t xml:space="preserve">，  明显高于全国水平。从人均营业收 </w:t>
      </w:r>
      <w:r>
        <w:rPr>
          <w:rFonts w:ascii="微软雅黑" w:hAnsi="微软雅黑" w:eastAsia="微软雅黑" w:cs="微软雅黑"/>
          <w:color w:val="231F20"/>
          <w:spacing w:val="4"/>
          <w:sz w:val="22"/>
          <w:szCs w:val="22"/>
        </w:rPr>
        <w:t>入来看</w:t>
      </w:r>
      <w:r>
        <w:rPr>
          <w:rFonts w:ascii="微软雅黑" w:hAnsi="微软雅黑" w:eastAsia="微软雅黑" w:cs="微软雅黑"/>
          <w:color w:val="231F20"/>
          <w:spacing w:val="2"/>
          <w:sz w:val="22"/>
          <w:szCs w:val="22"/>
        </w:rPr>
        <w:t xml:space="preserve">，规模以上外资医药制造企业人均营业收入持续增长，从 </w:t>
      </w:r>
      <w:r>
        <w:rPr>
          <w:rFonts w:ascii="Times New Roman" w:hAnsi="Times New Roman" w:eastAsia="Times New Roman" w:cs="Times New Roman"/>
          <w:color w:val="231F20"/>
          <w:spacing w:val="2"/>
          <w:sz w:val="22"/>
          <w:szCs w:val="22"/>
        </w:rPr>
        <w:t xml:space="preserve">2016 </w:t>
      </w:r>
      <w:r>
        <w:rPr>
          <w:rFonts w:ascii="微软雅黑" w:hAnsi="微软雅黑" w:eastAsia="微软雅黑" w:cs="微软雅黑"/>
          <w:color w:val="231F20"/>
          <w:spacing w:val="2"/>
          <w:sz w:val="22"/>
          <w:szCs w:val="22"/>
        </w:rPr>
        <w:t xml:space="preserve">年的 </w:t>
      </w:r>
      <w:r>
        <w:rPr>
          <w:rFonts w:ascii="Times New Roman" w:hAnsi="Times New Roman" w:eastAsia="Times New Roman" w:cs="Times New Roman"/>
          <w:color w:val="231F20"/>
          <w:spacing w:val="2"/>
          <w:sz w:val="22"/>
          <w:szCs w:val="22"/>
        </w:rPr>
        <w:t xml:space="preserve">130 </w:t>
      </w:r>
      <w:r>
        <w:rPr>
          <w:rFonts w:ascii="微软雅黑" w:hAnsi="微软雅黑" w:eastAsia="微软雅黑" w:cs="微软雅黑"/>
          <w:color w:val="231F20"/>
          <w:spacing w:val="2"/>
          <w:sz w:val="22"/>
          <w:szCs w:val="22"/>
        </w:rPr>
        <w:t xml:space="preserve">万元 </w:t>
      </w:r>
      <w:r>
        <w:rPr>
          <w:rFonts w:ascii="Times New Roman" w:hAnsi="Times New Roman" w:eastAsia="Times New Roman" w:cs="Times New Roman"/>
          <w:color w:val="231F20"/>
          <w:spacing w:val="2"/>
          <w:sz w:val="22"/>
          <w:szCs w:val="22"/>
        </w:rPr>
        <w:t>/</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1"/>
          <w:sz w:val="22"/>
          <w:szCs w:val="22"/>
        </w:rPr>
        <w:t xml:space="preserve">人增长到 </w:t>
      </w:r>
      <w:r>
        <w:rPr>
          <w:rFonts w:ascii="Times New Roman" w:hAnsi="Times New Roman" w:eastAsia="Times New Roman" w:cs="Times New Roman"/>
          <w:color w:val="231F20"/>
          <w:spacing w:val="1"/>
          <w:sz w:val="22"/>
          <w:szCs w:val="22"/>
        </w:rPr>
        <w:t xml:space="preserve">2020 </w:t>
      </w:r>
      <w:r>
        <w:rPr>
          <w:rFonts w:ascii="微软雅黑" w:hAnsi="微软雅黑" w:eastAsia="微软雅黑" w:cs="微软雅黑"/>
          <w:color w:val="231F20"/>
          <w:spacing w:val="1"/>
          <w:sz w:val="22"/>
          <w:szCs w:val="22"/>
        </w:rPr>
        <w:t xml:space="preserve">年的 </w:t>
      </w:r>
      <w:r>
        <w:rPr>
          <w:rFonts w:ascii="Times New Roman" w:hAnsi="Times New Roman" w:eastAsia="Times New Roman" w:cs="Times New Roman"/>
          <w:color w:val="231F20"/>
          <w:spacing w:val="1"/>
          <w:sz w:val="22"/>
          <w:szCs w:val="22"/>
        </w:rPr>
        <w:t xml:space="preserve">151.5 </w:t>
      </w:r>
      <w:r>
        <w:rPr>
          <w:rFonts w:ascii="微软雅黑" w:hAnsi="微软雅黑" w:eastAsia="微软雅黑" w:cs="微软雅黑"/>
          <w:color w:val="231F20"/>
          <w:spacing w:val="1"/>
          <w:sz w:val="22"/>
          <w:szCs w:val="22"/>
        </w:rPr>
        <w:t xml:space="preserve">万元 </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人 ，而全国</w:t>
      </w:r>
      <w:r>
        <w:rPr>
          <w:rFonts w:ascii="微软雅黑" w:hAnsi="微软雅黑" w:eastAsia="微软雅黑" w:cs="微软雅黑"/>
          <w:color w:val="231F20"/>
          <w:sz w:val="22"/>
          <w:szCs w:val="22"/>
        </w:rPr>
        <w:t xml:space="preserve">规模以上医药制造企业人均营业收入保持 </w:t>
      </w:r>
      <w:r>
        <w:rPr>
          <w:rFonts w:ascii="微软雅黑" w:hAnsi="微软雅黑" w:eastAsia="微软雅黑" w:cs="微软雅黑"/>
          <w:color w:val="231F20"/>
          <w:spacing w:val="-2"/>
          <w:sz w:val="22"/>
          <w:szCs w:val="22"/>
        </w:rPr>
        <w:t>相对稳定</w:t>
      </w:r>
      <w:r>
        <w:rPr>
          <w:rFonts w:ascii="微软雅黑" w:hAnsi="微软雅黑" w:eastAsia="微软雅黑" w:cs="微软雅黑"/>
          <w:color w:val="231F20"/>
          <w:spacing w:val="-1"/>
          <w:sz w:val="22"/>
          <w:szCs w:val="22"/>
        </w:rPr>
        <w:t xml:space="preserve"> ，表明外资医药制造企业盈利能力较强。</w:t>
      </w:r>
    </w:p>
    <w:p>
      <w:pPr>
        <w:sectPr>
          <w:pgSz w:w="12246" w:h="16498"/>
          <w:pgMar w:top="400" w:right="0" w:bottom="400" w:left="0" w:header="0" w:footer="0" w:gutter="0"/>
          <w:cols w:space="720" w:num="1"/>
        </w:sectPr>
      </w:pPr>
    </w:p>
    <w:p>
      <w:pPr>
        <w:spacing w:line="241" w:lineRule="auto"/>
        <w:rPr>
          <w:rFonts w:ascii="Arial"/>
          <w:sz w:val="21"/>
        </w:rPr>
      </w:pPr>
      <w:r>
        <w:pict>
          <v:rect id="_x0000_s1188" o:spid="_x0000_s1188" o:spt="1" style="position:absolute;left:0pt;margin-left:137.15pt;margin-top:314.2pt;height:13.5pt;width:347.15pt;mso-position-horizontal-relative:page;mso-position-vertical-relative:page;z-index:251859968;mso-width-relative:page;mso-height-relative:page;" fillcolor="#FFFFFF" filled="t" stroked="f" coordsize="21600,21600" o:allowincell="f">
            <v:path/>
            <v:fill on="t" focussize="0,0"/>
            <v:stroke on="f"/>
            <v:imagedata o:title=""/>
            <o:lock v:ext="edit"/>
          </v:rect>
        </w:pict>
      </w:r>
      <w:r>
        <w:pict>
          <v:rect id="_x0000_s1189" o:spid="_x0000_s1189" o:spt="1" style="position:absolute;left:0pt;margin-left:138.55pt;margin-top:470.4pt;height:150.05pt;width:0.3pt;mso-position-horizontal-relative:page;mso-position-vertical-relative:page;z-index:251858944;mso-width-relative:page;mso-height-relative:page;" fillcolor="#231F20" filled="t" stroked="f" coordsize="21600,21600" o:allowincell="f">
            <v:path/>
            <v:fill on="t" focussize="0,0"/>
            <v:stroke on="f"/>
            <v:imagedata o:title=""/>
            <o:lock v:ext="edit"/>
          </v:rect>
        </w:pict>
      </w:r>
      <w:r>
        <w:pict>
          <v:rect id="_x0000_s1190" o:spid="_x0000_s1190" o:spt="1" style="position:absolute;left:0pt;margin-left:140.85pt;margin-top:617.1pt;height:6.25pt;width:367.95pt;mso-position-horizontal-relative:page;mso-position-vertical-relative:page;z-index:251855872;mso-width-relative:page;mso-height-relative:page;" fillcolor="#FFFFFF" filled="t" stroked="f" coordsize="21600,21600" o:allowincell="f">
            <v:path/>
            <v:fill on="t" focussize="0,0"/>
            <v:stroke on="f"/>
            <v:imagedata o:title=""/>
            <o:lock v:ext="edit"/>
          </v:rect>
        </w:pict>
      </w:r>
      <w:r>
        <w:drawing>
          <wp:anchor distT="0" distB="0" distL="0" distR="0" simplePos="0" relativeHeight="251834368" behindDoc="0" locked="0" layoutInCell="0" allowOverlap="1">
            <wp:simplePos x="0" y="0"/>
            <wp:positionH relativeFrom="page">
              <wp:posOffset>1826895</wp:posOffset>
            </wp:positionH>
            <wp:positionV relativeFrom="page">
              <wp:posOffset>6066790</wp:posOffset>
            </wp:positionV>
            <wp:extent cx="4491990" cy="9525"/>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77"/>
                    <a:stretch>
                      <a:fillRect/>
                    </a:stretch>
                  </pic:blipFill>
                  <pic:spPr>
                    <a:xfrm>
                      <a:off x="0" y="0"/>
                      <a:ext cx="4491737" cy="9516"/>
                    </a:xfrm>
                    <a:prstGeom prst="rect">
                      <a:avLst/>
                    </a:prstGeom>
                  </pic:spPr>
                </pic:pic>
              </a:graphicData>
            </a:graphic>
          </wp:anchor>
        </w:drawing>
      </w:r>
      <w:r>
        <w:pict>
          <v:shape id="_x0000_s1191" o:spid="_x0000_s1191" style="position:absolute;left:0pt;margin-left:136.45pt;margin-top:477.8pt;height:0.3pt;width:2.1pt;mso-position-horizontal-relative:page;mso-position-vertical-relative:page;z-index:251840512;mso-width-relative:page;mso-height-relative:page;" filled="f" stroked="t" coordsize="41,6" o:allowincell="f" path="m0,2l41,2e">
            <v:fill on="f" focussize="0,0"/>
            <v:stroke weight="0.28pt" color="#231F20" miterlimit="4" joinstyle="miter"/>
            <v:imagedata o:title=""/>
            <o:lock v:ext="edit"/>
          </v:shape>
        </w:pict>
      </w:r>
      <w:r>
        <w:drawing>
          <wp:anchor distT="0" distB="0" distL="0" distR="0" simplePos="0" relativeHeight="251835392" behindDoc="0" locked="0" layoutInCell="0" allowOverlap="1">
            <wp:simplePos x="0" y="0"/>
            <wp:positionH relativeFrom="page">
              <wp:posOffset>1826895</wp:posOffset>
            </wp:positionH>
            <wp:positionV relativeFrom="page">
              <wp:posOffset>6289675</wp:posOffset>
            </wp:positionV>
            <wp:extent cx="4491990" cy="9525"/>
            <wp:effectExtent l="0" t="0" r="0" b="0"/>
            <wp:wrapNone/>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78"/>
                    <a:stretch>
                      <a:fillRect/>
                    </a:stretch>
                  </pic:blipFill>
                  <pic:spPr>
                    <a:xfrm>
                      <a:off x="0" y="0"/>
                      <a:ext cx="4491737" cy="9516"/>
                    </a:xfrm>
                    <a:prstGeom prst="rect">
                      <a:avLst/>
                    </a:prstGeom>
                  </pic:spPr>
                </pic:pic>
              </a:graphicData>
            </a:graphic>
          </wp:anchor>
        </w:drawing>
      </w:r>
      <w:r>
        <w:pict>
          <v:shape id="_x0000_s1192" o:spid="_x0000_s1192" style="position:absolute;left:0pt;margin-left:136.45pt;margin-top:494.9pt;height:0.3pt;width:2.1pt;mso-position-horizontal-relative:page;mso-position-vertical-relative:page;z-index:251842560;mso-width-relative:page;mso-height-relative:page;" filled="f" stroked="t" coordsize="41,6" o:allowincell="f" path="m0,2l41,2e">
            <v:fill on="f" focussize="0,0"/>
            <v:stroke weight="0.28pt" color="#231F20" miterlimit="4" joinstyle="miter"/>
            <v:imagedata o:title=""/>
            <o:lock v:ext="edit"/>
          </v:shape>
        </w:pict>
      </w:r>
      <w:r>
        <w:drawing>
          <wp:anchor distT="0" distB="0" distL="0" distR="0" simplePos="0" relativeHeight="251836416" behindDoc="0" locked="0" layoutInCell="0" allowOverlap="1">
            <wp:simplePos x="0" y="0"/>
            <wp:positionH relativeFrom="page">
              <wp:posOffset>1826895</wp:posOffset>
            </wp:positionH>
            <wp:positionV relativeFrom="page">
              <wp:posOffset>6512560</wp:posOffset>
            </wp:positionV>
            <wp:extent cx="4491990" cy="9525"/>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79"/>
                    <a:stretch>
                      <a:fillRect/>
                    </a:stretch>
                  </pic:blipFill>
                  <pic:spPr>
                    <a:xfrm>
                      <a:off x="0" y="0"/>
                      <a:ext cx="4491737" cy="9516"/>
                    </a:xfrm>
                    <a:prstGeom prst="rect">
                      <a:avLst/>
                    </a:prstGeom>
                  </pic:spPr>
                </pic:pic>
              </a:graphicData>
            </a:graphic>
          </wp:anchor>
        </w:drawing>
      </w:r>
      <w:r>
        <w:pict>
          <v:shape id="_x0000_s1193" o:spid="_x0000_s1193" style="position:absolute;left:0pt;margin-left:136.45pt;margin-top:512.6pt;height:0.3pt;width:2.1pt;mso-position-horizontal-relative:page;mso-position-vertical-relative:page;z-index:251841536;mso-width-relative:page;mso-height-relative:page;" filled="f" stroked="t" coordsize="41,6" o:allowincell="f" path="m0,2l41,2e">
            <v:fill on="f" focussize="0,0"/>
            <v:stroke weight="0.28pt" color="#231F20" miterlimit="4" joinstyle="miter"/>
            <v:imagedata o:title=""/>
            <o:lock v:ext="edit"/>
          </v:shape>
        </w:pict>
      </w:r>
      <w:r>
        <w:drawing>
          <wp:anchor distT="0" distB="0" distL="0" distR="0" simplePos="0" relativeHeight="251837440" behindDoc="0" locked="0" layoutInCell="0" allowOverlap="1">
            <wp:simplePos x="0" y="0"/>
            <wp:positionH relativeFrom="page">
              <wp:posOffset>1826895</wp:posOffset>
            </wp:positionH>
            <wp:positionV relativeFrom="page">
              <wp:posOffset>7626350</wp:posOffset>
            </wp:positionV>
            <wp:extent cx="4491990" cy="9525"/>
            <wp:effectExtent l="0" t="0" r="0" b="0"/>
            <wp:wrapNone/>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80"/>
                    <a:stretch>
                      <a:fillRect/>
                    </a:stretch>
                  </pic:blipFill>
                  <pic:spPr>
                    <a:xfrm>
                      <a:off x="0" y="0"/>
                      <a:ext cx="4491737" cy="9516"/>
                    </a:xfrm>
                    <a:prstGeom prst="rect">
                      <a:avLst/>
                    </a:prstGeom>
                  </pic:spPr>
                </pic:pic>
              </a:graphicData>
            </a:graphic>
          </wp:anchor>
        </w:drawing>
      </w:r>
      <w:r>
        <w:pict>
          <v:shape id="_x0000_s1194" o:spid="_x0000_s1194" style="position:absolute;left:0pt;margin-left:136.45pt;margin-top:600.5pt;height:0.3pt;width:2.1pt;mso-position-horizontal-relative:page;mso-position-vertical-relative:page;z-index:251844608;mso-width-relative:page;mso-height-relative:page;" filled="f" stroked="t" coordsize="41,6" o:allowincell="f" path="m0,2l41,2e">
            <v:fill on="f" focussize="0,0"/>
            <v:stroke weight="0.28pt" color="#231F20" miterlimit="4" joinstyle="miter"/>
            <v:imagedata o:title=""/>
            <o:lock v:ext="edit"/>
          </v:shape>
        </w:pict>
      </w:r>
      <w:r>
        <w:drawing>
          <wp:anchor distT="0" distB="0" distL="0" distR="0" simplePos="0" relativeHeight="251838464" behindDoc="0" locked="0" layoutInCell="0" allowOverlap="1">
            <wp:simplePos x="0" y="0"/>
            <wp:positionH relativeFrom="page">
              <wp:posOffset>1826895</wp:posOffset>
            </wp:positionH>
            <wp:positionV relativeFrom="page">
              <wp:posOffset>7847330</wp:posOffset>
            </wp:positionV>
            <wp:extent cx="4491990" cy="635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81"/>
                    <a:stretch>
                      <a:fillRect/>
                    </a:stretch>
                  </pic:blipFill>
                  <pic:spPr>
                    <a:xfrm>
                      <a:off x="0" y="0"/>
                      <a:ext cx="4491737" cy="6350"/>
                    </a:xfrm>
                    <a:prstGeom prst="rect">
                      <a:avLst/>
                    </a:prstGeom>
                  </pic:spPr>
                </pic:pic>
              </a:graphicData>
            </a:graphic>
          </wp:anchor>
        </w:drawing>
      </w:r>
      <w:r>
        <w:pict>
          <v:shape id="_x0000_s1195" o:spid="_x0000_s1195" style="position:absolute;left:0pt;margin-left:136.45pt;margin-top:617.05pt;height:0.3pt;width:366.7pt;mso-position-horizontal-relative:page;mso-position-vertical-relative:page;z-index:251857920;mso-width-relative:page;mso-height-relative:page;" filled="f" stroked="t" coordsize="7334,6" o:allowincell="f" path="m0,2l7333,2e">
            <v:fill on="f" focussize="0,0"/>
            <v:stroke weight="0.28pt" color="#231F20" miterlimit="4" joinstyle="miter"/>
            <v:imagedata o:title=""/>
            <o:lock v:ext="edit"/>
          </v:shape>
        </w:pict>
      </w:r>
      <w:r>
        <w:pict>
          <v:shape id="_x0000_s1196" o:spid="_x0000_s1196" o:spt="202" type="#_x0000_t202" style="position:absolute;left:0pt;margin-left:368.55pt;margin-top:541.8pt;height:13.9pt;width:26.65pt;mso-position-horizontal-relative:page;mso-position-vertical-relative:page;z-index:251853824;mso-width-relative:page;mso-height-relative:page;" filled="f" stroked="f" coordsize="21600,21600" o:allowincell="f">
            <v:path/>
            <v:fill on="f" focussize="0,0"/>
            <v:stroke on="f"/>
            <v:imagedata o:title=""/>
            <o:lock v:ext="edit" aspectratio="f"/>
            <v:textbox inset="0mm,0mm,0mm,0mm">
              <w:txbxContent>
                <w:p>
                  <w:pPr>
                    <w:spacing w:before="20" w:line="175" w:lineRule="auto"/>
                    <w:ind w:left="20"/>
                    <w:rPr>
                      <w:rFonts w:ascii="微软雅黑" w:hAnsi="微软雅黑" w:eastAsia="微软雅黑" w:cs="微软雅黑"/>
                      <w:sz w:val="19"/>
                      <w:szCs w:val="19"/>
                    </w:rPr>
                  </w:pPr>
                  <w:r>
                    <w:rPr>
                      <w:rFonts w:ascii="微软雅黑" w:hAnsi="微软雅黑" w:eastAsia="微软雅黑" w:cs="微软雅黑"/>
                      <w:color w:val="030303"/>
                      <w:sz w:val="19"/>
                      <w:szCs w:val="19"/>
                    </w:rPr>
                    <w:t>144.2</w:t>
                  </w:r>
                </w:p>
              </w:txbxContent>
            </v:textbox>
          </v:shape>
        </w:pict>
      </w:r>
      <w:r>
        <w:pict>
          <v:shape id="_x0000_s1197" o:spid="_x0000_s1197" o:spt="202" type="#_x0000_t202" style="position:absolute;left:0pt;margin-left:296.55pt;margin-top:543.05pt;height:13.9pt;width:26.65pt;mso-position-horizontal-relative:page;mso-position-vertical-relative:page;z-index:251852800;mso-width-relative:page;mso-height-relative:page;" filled="f" stroked="f" coordsize="21600,21600" o:allowincell="f">
            <v:path/>
            <v:fill on="f" focussize="0,0"/>
            <v:stroke on="f"/>
            <v:imagedata o:title=""/>
            <o:lock v:ext="edit" aspectratio="f"/>
            <v:textbox inset="0mm,0mm,0mm,0mm">
              <w:txbxContent>
                <w:p>
                  <w:pPr>
                    <w:spacing w:before="20" w:line="175" w:lineRule="auto"/>
                    <w:ind w:left="20"/>
                    <w:rPr>
                      <w:rFonts w:ascii="微软雅黑" w:hAnsi="微软雅黑" w:eastAsia="微软雅黑" w:cs="微软雅黑"/>
                      <w:sz w:val="19"/>
                      <w:szCs w:val="19"/>
                    </w:rPr>
                  </w:pPr>
                  <w:r>
                    <w:rPr>
                      <w:rFonts w:ascii="微软雅黑" w:hAnsi="微软雅黑" w:eastAsia="微软雅黑" w:cs="微软雅黑"/>
                      <w:color w:val="030303"/>
                      <w:sz w:val="19"/>
                      <w:szCs w:val="19"/>
                    </w:rPr>
                    <w:t>144.3</w:t>
                  </w:r>
                </w:p>
              </w:txbxContent>
            </v:textbox>
          </v:shape>
        </w:pict>
      </w:r>
      <w:r>
        <w:pict>
          <v:shape id="_x0000_s1198" o:spid="_x0000_s1198" o:spt="202" type="#_x0000_t202" style="position:absolute;left:0pt;margin-left:225pt;margin-top:544.9pt;height:13.9pt;width:26.65pt;mso-position-horizontal-relative:page;mso-position-vertical-relative:page;z-index:251851776;mso-width-relative:page;mso-height-relative:page;" filled="f" stroked="f" coordsize="21600,21600" o:allowincell="f">
            <v:path/>
            <v:fill on="f" focussize="0,0"/>
            <v:stroke on="f"/>
            <v:imagedata o:title=""/>
            <o:lock v:ext="edit" aspectratio="f"/>
            <v:textbox inset="0mm,0mm,0mm,0mm">
              <w:txbxContent>
                <w:p>
                  <w:pPr>
                    <w:spacing w:before="20" w:line="175" w:lineRule="auto"/>
                    <w:ind w:left="20"/>
                    <w:rPr>
                      <w:rFonts w:ascii="微软雅黑" w:hAnsi="微软雅黑" w:eastAsia="微软雅黑" w:cs="微软雅黑"/>
                      <w:sz w:val="19"/>
                      <w:szCs w:val="19"/>
                    </w:rPr>
                  </w:pPr>
                  <w:r>
                    <w:rPr>
                      <w:rFonts w:ascii="微软雅黑" w:hAnsi="微软雅黑" w:eastAsia="微软雅黑" w:cs="微软雅黑"/>
                      <w:color w:val="030303"/>
                      <w:sz w:val="19"/>
                      <w:szCs w:val="19"/>
                    </w:rPr>
                    <w:t>138.8</w:t>
                  </w:r>
                </w:p>
              </w:txbxContent>
            </v:textbox>
          </v:shape>
        </w:pict>
      </w:r>
      <w:r>
        <w:pict>
          <v:shape id="_x0000_s1199" o:spid="_x0000_s1199" o:spt="202" type="#_x0000_t202" style="position:absolute;left:0pt;margin-left:244pt;margin-top:559.3pt;height:13.9pt;width:26.65pt;mso-position-horizontal-relative:page;mso-position-vertical-relative:page;z-index:251849728;mso-width-relative:page;mso-height-relative:page;" filled="f" stroked="f" coordsize="21600,21600" o:allowincell="f">
            <v:path/>
            <v:fill on="f" focussize="0,0"/>
            <v:stroke on="f"/>
            <v:imagedata o:title=""/>
            <o:lock v:ext="edit" aspectratio="f"/>
            <v:textbox inset="0mm,0mm,0mm,0mm">
              <w:txbxContent>
                <w:p>
                  <w:pPr>
                    <w:spacing w:before="20" w:line="175" w:lineRule="auto"/>
                    <w:ind w:left="20"/>
                    <w:rPr>
                      <w:rFonts w:ascii="微软雅黑" w:hAnsi="微软雅黑" w:eastAsia="微软雅黑" w:cs="微软雅黑"/>
                      <w:sz w:val="19"/>
                      <w:szCs w:val="19"/>
                    </w:rPr>
                  </w:pPr>
                  <w:r>
                    <w:rPr>
                      <w:rFonts w:ascii="微软雅黑" w:hAnsi="微软雅黑" w:eastAsia="微软雅黑" w:cs="微软雅黑"/>
                      <w:color w:val="030303"/>
                      <w:sz w:val="19"/>
                      <w:szCs w:val="19"/>
                    </w:rPr>
                    <w:t>122.8</w:t>
                  </w:r>
                </w:p>
              </w:txbxContent>
            </v:textbox>
          </v:shape>
        </w:pict>
      </w:r>
      <w:r>
        <w:drawing>
          <wp:anchor distT="0" distB="0" distL="0" distR="0" simplePos="0" relativeHeight="251856896" behindDoc="0" locked="0" layoutInCell="0" allowOverlap="1">
            <wp:simplePos x="0" y="0"/>
            <wp:positionH relativeFrom="page">
              <wp:posOffset>1724025</wp:posOffset>
            </wp:positionH>
            <wp:positionV relativeFrom="page">
              <wp:posOffset>7845425</wp:posOffset>
            </wp:positionV>
            <wp:extent cx="4559300" cy="65405"/>
            <wp:effectExtent l="0" t="0" r="0" b="0"/>
            <wp:wrapNone/>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82"/>
                    <a:stretch>
                      <a:fillRect/>
                    </a:stretch>
                  </pic:blipFill>
                  <pic:spPr>
                    <a:xfrm>
                      <a:off x="0" y="0"/>
                      <a:ext cx="4559566" cy="65176"/>
                    </a:xfrm>
                    <a:prstGeom prst="rect">
                      <a:avLst/>
                    </a:prstGeom>
                  </pic:spPr>
                </pic:pic>
              </a:graphicData>
            </a:graphic>
          </wp:anchor>
        </w:drawing>
      </w:r>
      <w:r>
        <w:drawing>
          <wp:anchor distT="0" distB="0" distL="0" distR="0" simplePos="0" relativeHeight="25183027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43"/>
                    <a:stretch>
                      <a:fillRect/>
                    </a:stretch>
                  </pic:blipFill>
                  <pic:spPr>
                    <a:xfrm>
                      <a:off x="0" y="0"/>
                      <a:ext cx="7775994" cy="422998"/>
                    </a:xfrm>
                    <a:prstGeom prst="rect">
                      <a:avLst/>
                    </a:prstGeom>
                  </pic:spPr>
                </pic:pic>
              </a:graphicData>
            </a:graphic>
          </wp:anchor>
        </w:drawing>
      </w:r>
      <w:r>
        <w:pict>
          <v:shape id="_x0000_s1200" o:spid="_x0000_s1200" o:spt="202" type="#_x0000_t202" style="position:absolute;left:0pt;margin-left:125.45pt;margin-top:114.15pt;height:215.45pt;width:11.2pt;mso-position-horizontal-relative:page;mso-position-vertical-relative:page;z-index:251833344;mso-width-relative:page;mso-height-relative:page;" filled="f" stroked="f" coordsize="21600,21600" o:allowincell="f">
            <v:path/>
            <v:fill on="f" focussize="0,0"/>
            <v:stroke on="f"/>
            <v:imagedata o:title=""/>
            <o:lock v:ext="edit" aspectratio="f"/>
            <v:textbox inset="0mm,0mm,0mm,0mm">
              <w:txbxContent>
                <w:p>
                  <w:pPr>
                    <w:spacing w:before="20" w:line="240" w:lineRule="exact"/>
                    <w:ind w:left="20"/>
                    <w:rPr>
                      <w:rFonts w:ascii="Arial" w:hAnsi="Arial" w:eastAsia="Arial" w:cs="Arial"/>
                      <w:sz w:val="17"/>
                      <w:szCs w:val="17"/>
                    </w:rPr>
                  </w:pPr>
                  <w:r>
                    <w:rPr>
                      <w:rFonts w:ascii="Arial" w:hAnsi="Arial" w:eastAsia="Arial" w:cs="Arial"/>
                      <w:color w:val="231F20"/>
                      <w:position w:val="1"/>
                      <w:sz w:val="17"/>
                      <w:szCs w:val="17"/>
                    </w:rPr>
                    <w:t>%</w:t>
                  </w:r>
                </w:p>
                <w:p>
                  <w:pPr>
                    <w:spacing w:before="206" w:line="182" w:lineRule="auto"/>
                    <w:ind w:left="20"/>
                    <w:rPr>
                      <w:rFonts w:ascii="Calibri" w:hAnsi="Calibri" w:eastAsia="Calibri" w:cs="Calibri"/>
                      <w:sz w:val="19"/>
                      <w:szCs w:val="19"/>
                    </w:rPr>
                  </w:pPr>
                  <w:r>
                    <w:rPr>
                      <w:rFonts w:ascii="Calibri" w:hAnsi="Calibri" w:eastAsia="Calibri" w:cs="Calibri"/>
                      <w:color w:val="030303"/>
                      <w:spacing w:val="-3"/>
                      <w:sz w:val="19"/>
                      <w:szCs w:val="19"/>
                    </w:rPr>
                    <w:t>1</w:t>
                  </w:r>
                  <w:r>
                    <w:rPr>
                      <w:rFonts w:ascii="Calibri" w:hAnsi="Calibri" w:eastAsia="Calibri" w:cs="Calibri"/>
                      <w:color w:val="030303"/>
                      <w:spacing w:val="-2"/>
                      <w:sz w:val="19"/>
                      <w:szCs w:val="19"/>
                    </w:rPr>
                    <w:t>8</w:t>
                  </w:r>
                </w:p>
                <w:p>
                  <w:pPr>
                    <w:spacing w:before="228" w:line="182" w:lineRule="auto"/>
                    <w:ind w:left="20"/>
                    <w:rPr>
                      <w:rFonts w:ascii="Calibri" w:hAnsi="Calibri" w:eastAsia="Calibri" w:cs="Calibri"/>
                      <w:sz w:val="19"/>
                      <w:szCs w:val="19"/>
                    </w:rPr>
                  </w:pPr>
                  <w:r>
                    <w:rPr>
                      <w:rFonts w:ascii="Calibri" w:hAnsi="Calibri" w:eastAsia="Calibri" w:cs="Calibri"/>
                      <w:color w:val="030303"/>
                      <w:spacing w:val="-3"/>
                      <w:sz w:val="19"/>
                      <w:szCs w:val="19"/>
                    </w:rPr>
                    <w:t>1</w:t>
                  </w:r>
                  <w:r>
                    <w:rPr>
                      <w:rFonts w:ascii="Calibri" w:hAnsi="Calibri" w:eastAsia="Calibri" w:cs="Calibri"/>
                      <w:color w:val="030303"/>
                      <w:spacing w:val="-2"/>
                      <w:sz w:val="19"/>
                      <w:szCs w:val="19"/>
                    </w:rPr>
                    <w:t>6</w:t>
                  </w:r>
                </w:p>
                <w:p>
                  <w:pPr>
                    <w:spacing w:before="230" w:line="181" w:lineRule="auto"/>
                    <w:ind w:left="20"/>
                    <w:rPr>
                      <w:rFonts w:ascii="Calibri" w:hAnsi="Calibri" w:eastAsia="Calibri" w:cs="Calibri"/>
                      <w:sz w:val="19"/>
                      <w:szCs w:val="19"/>
                    </w:rPr>
                  </w:pPr>
                  <w:r>
                    <w:rPr>
                      <w:rFonts w:ascii="Calibri" w:hAnsi="Calibri" w:eastAsia="Calibri" w:cs="Calibri"/>
                      <w:color w:val="030303"/>
                      <w:spacing w:val="-3"/>
                      <w:sz w:val="19"/>
                      <w:szCs w:val="19"/>
                    </w:rPr>
                    <w:t>1</w:t>
                  </w:r>
                  <w:r>
                    <w:rPr>
                      <w:rFonts w:ascii="Calibri" w:hAnsi="Calibri" w:eastAsia="Calibri" w:cs="Calibri"/>
                      <w:color w:val="030303"/>
                      <w:spacing w:val="-2"/>
                      <w:sz w:val="19"/>
                      <w:szCs w:val="19"/>
                    </w:rPr>
                    <w:t>4</w:t>
                  </w:r>
                </w:p>
                <w:p>
                  <w:pPr>
                    <w:spacing w:before="229" w:line="182" w:lineRule="auto"/>
                    <w:ind w:left="20"/>
                    <w:rPr>
                      <w:rFonts w:ascii="Calibri" w:hAnsi="Calibri" w:eastAsia="Calibri" w:cs="Calibri"/>
                      <w:sz w:val="19"/>
                      <w:szCs w:val="19"/>
                    </w:rPr>
                  </w:pPr>
                  <w:r>
                    <w:rPr>
                      <w:rFonts w:ascii="Calibri" w:hAnsi="Calibri" w:eastAsia="Calibri" w:cs="Calibri"/>
                      <w:color w:val="030303"/>
                      <w:spacing w:val="-3"/>
                      <w:sz w:val="19"/>
                      <w:szCs w:val="19"/>
                    </w:rPr>
                    <w:t>1</w:t>
                  </w:r>
                  <w:r>
                    <w:rPr>
                      <w:rFonts w:ascii="Calibri" w:hAnsi="Calibri" w:eastAsia="Calibri" w:cs="Calibri"/>
                      <w:color w:val="030303"/>
                      <w:spacing w:val="-2"/>
                      <w:sz w:val="19"/>
                      <w:szCs w:val="19"/>
                    </w:rPr>
                    <w:t>2</w:t>
                  </w:r>
                </w:p>
                <w:p>
                  <w:pPr>
                    <w:spacing w:before="229" w:line="182" w:lineRule="auto"/>
                    <w:ind w:left="20"/>
                    <w:rPr>
                      <w:rFonts w:ascii="Calibri" w:hAnsi="Calibri" w:eastAsia="Calibri" w:cs="Calibri"/>
                      <w:sz w:val="19"/>
                      <w:szCs w:val="19"/>
                    </w:rPr>
                  </w:pPr>
                  <w:r>
                    <w:rPr>
                      <w:rFonts w:ascii="Calibri" w:hAnsi="Calibri" w:eastAsia="Calibri" w:cs="Calibri"/>
                      <w:color w:val="030303"/>
                      <w:spacing w:val="-3"/>
                      <w:sz w:val="19"/>
                      <w:szCs w:val="19"/>
                    </w:rPr>
                    <w:t>1</w:t>
                  </w:r>
                  <w:r>
                    <w:rPr>
                      <w:rFonts w:ascii="Calibri" w:hAnsi="Calibri" w:eastAsia="Calibri" w:cs="Calibri"/>
                      <w:color w:val="030303"/>
                      <w:spacing w:val="-2"/>
                      <w:sz w:val="19"/>
                      <w:szCs w:val="19"/>
                    </w:rPr>
                    <w:t>0</w:t>
                  </w:r>
                </w:p>
                <w:p>
                  <w:pPr>
                    <w:spacing w:before="229" w:line="182" w:lineRule="auto"/>
                    <w:ind w:left="112"/>
                    <w:rPr>
                      <w:rFonts w:ascii="Calibri" w:hAnsi="Calibri" w:eastAsia="Calibri" w:cs="Calibri"/>
                      <w:sz w:val="19"/>
                      <w:szCs w:val="19"/>
                    </w:rPr>
                  </w:pPr>
                  <w:r>
                    <w:rPr>
                      <w:rFonts w:ascii="Calibri" w:hAnsi="Calibri" w:eastAsia="Calibri" w:cs="Calibri"/>
                      <w:color w:val="030303"/>
                      <w:sz w:val="19"/>
                      <w:szCs w:val="19"/>
                    </w:rPr>
                    <w:t>8</w:t>
                  </w:r>
                </w:p>
                <w:p>
                  <w:pPr>
                    <w:spacing w:before="230" w:line="182" w:lineRule="auto"/>
                    <w:ind w:left="114"/>
                    <w:rPr>
                      <w:rFonts w:ascii="Calibri" w:hAnsi="Calibri" w:eastAsia="Calibri" w:cs="Calibri"/>
                      <w:sz w:val="19"/>
                      <w:szCs w:val="19"/>
                    </w:rPr>
                  </w:pPr>
                  <w:r>
                    <w:rPr>
                      <w:rFonts w:ascii="Calibri" w:hAnsi="Calibri" w:eastAsia="Calibri" w:cs="Calibri"/>
                      <w:color w:val="030303"/>
                      <w:sz w:val="19"/>
                      <w:szCs w:val="19"/>
                    </w:rPr>
                    <w:t>6</w:t>
                  </w:r>
                </w:p>
                <w:p>
                  <w:pPr>
                    <w:spacing w:before="229" w:line="181" w:lineRule="auto"/>
                    <w:ind w:left="108"/>
                    <w:rPr>
                      <w:rFonts w:ascii="Calibri" w:hAnsi="Calibri" w:eastAsia="Calibri" w:cs="Calibri"/>
                      <w:sz w:val="19"/>
                      <w:szCs w:val="19"/>
                    </w:rPr>
                  </w:pPr>
                  <w:r>
                    <w:rPr>
                      <w:rFonts w:ascii="Calibri" w:hAnsi="Calibri" w:eastAsia="Calibri" w:cs="Calibri"/>
                      <w:color w:val="030303"/>
                      <w:sz w:val="19"/>
                      <w:szCs w:val="19"/>
                    </w:rPr>
                    <w:t>4</w:t>
                  </w:r>
                </w:p>
                <w:p>
                  <w:pPr>
                    <w:spacing w:before="230" w:line="182" w:lineRule="auto"/>
                    <w:ind w:left="115"/>
                    <w:rPr>
                      <w:rFonts w:ascii="Calibri" w:hAnsi="Calibri" w:eastAsia="Calibri" w:cs="Calibri"/>
                      <w:sz w:val="19"/>
                      <w:szCs w:val="19"/>
                    </w:rPr>
                  </w:pPr>
                  <w:r>
                    <w:rPr>
                      <w:rFonts w:ascii="Calibri" w:hAnsi="Calibri" w:eastAsia="Calibri" w:cs="Calibri"/>
                      <w:color w:val="030303"/>
                      <w:sz w:val="19"/>
                      <w:szCs w:val="19"/>
                    </w:rPr>
                    <w:t>2</w:t>
                  </w:r>
                </w:p>
                <w:p>
                  <w:pPr>
                    <w:spacing w:before="229" w:line="182" w:lineRule="auto"/>
                    <w:ind w:left="111"/>
                    <w:rPr>
                      <w:rFonts w:ascii="Calibri" w:hAnsi="Calibri" w:eastAsia="Calibri" w:cs="Calibri"/>
                      <w:sz w:val="19"/>
                      <w:szCs w:val="19"/>
                    </w:rPr>
                  </w:pPr>
                  <w:r>
                    <w:rPr>
                      <w:rFonts w:ascii="Calibri" w:hAnsi="Calibri" w:eastAsia="Calibri" w:cs="Calibri"/>
                      <w:color w:val="030303"/>
                      <w:sz w:val="19"/>
                      <w:szCs w:val="19"/>
                    </w:rPr>
                    <w:t>0</w:t>
                  </w:r>
                </w:p>
              </w:txbxContent>
            </v:textbox>
          </v:shape>
        </w:pict>
      </w:r>
      <w:r>
        <w:pict>
          <v:shape id="_x0000_s1201" o:spid="_x0000_s1201" o:spt="202" type="#_x0000_t202" style="position:absolute;left:0pt;margin-left:360.05pt;margin-top:153.85pt;height:13.9pt;width:29.6pt;mso-position-horizontal-relative:page;mso-position-vertical-relative:page;z-index:251867136;mso-width-relative:page;mso-height-relative:page;" filled="f" stroked="f" coordsize="21600,21600" o:allowincell="f">
            <v:path/>
            <v:fill on="f" focussize="0,0"/>
            <v:stroke on="f"/>
            <v:imagedata o:title=""/>
            <o:lock v:ext="edit" aspectratio="f"/>
            <v:textbox inset="0mm,0mm,0mm,0mm">
              <w:txbxContent>
                <w:p>
                  <w:pPr>
                    <w:spacing w:before="20" w:line="175" w:lineRule="auto"/>
                    <w:ind w:left="20"/>
                    <w:rPr>
                      <w:rFonts w:ascii="微软雅黑" w:hAnsi="微软雅黑" w:eastAsia="微软雅黑" w:cs="微软雅黑"/>
                      <w:sz w:val="19"/>
                      <w:szCs w:val="19"/>
                    </w:rPr>
                  </w:pPr>
                  <w:r>
                    <w:rPr>
                      <w:rFonts w:ascii="微软雅黑" w:hAnsi="微软雅黑" w:eastAsia="微软雅黑" w:cs="微软雅黑"/>
                      <w:color w:val="030303"/>
                      <w:spacing w:val="-1"/>
                      <w:sz w:val="19"/>
                      <w:szCs w:val="19"/>
                    </w:rPr>
                    <w:t>15</w:t>
                  </w:r>
                  <w:r>
                    <w:rPr>
                      <w:rFonts w:ascii="微软雅黑" w:hAnsi="微软雅黑" w:eastAsia="微软雅黑" w:cs="微软雅黑"/>
                      <w:color w:val="030303"/>
                      <w:sz w:val="19"/>
                      <w:szCs w:val="19"/>
                    </w:rPr>
                    <w:t xml:space="preserve"> 1%</w:t>
                  </w:r>
                </w:p>
              </w:txbxContent>
            </v:textbox>
          </v:shape>
        </w:pict>
      </w:r>
      <w:r>
        <w:pict>
          <v:shape id="_x0000_s1202" o:spid="_x0000_s1202" o:spt="202" type="#_x0000_t202" style="position:absolute;left:0pt;margin-left:221.85pt;margin-top:154.25pt;height:13.9pt;width:29.6pt;mso-position-horizontal-relative:page;mso-position-vertical-relative:page;z-index:251850752;mso-width-relative:page;mso-height-relative:page;" filled="f" stroked="f" coordsize="21600,21600" o:allowincell="f">
            <v:path/>
            <v:fill on="f" focussize="0,0"/>
            <v:stroke on="f"/>
            <v:imagedata o:title=""/>
            <o:lock v:ext="edit" aspectratio="f"/>
            <v:textbox inset="0mm,0mm,0mm,0mm">
              <w:txbxContent>
                <w:p>
                  <w:pPr>
                    <w:spacing w:before="20" w:line="175" w:lineRule="auto"/>
                    <w:ind w:left="20"/>
                    <w:rPr>
                      <w:rFonts w:ascii="微软雅黑" w:hAnsi="微软雅黑" w:eastAsia="微软雅黑" w:cs="微软雅黑"/>
                      <w:sz w:val="19"/>
                      <w:szCs w:val="19"/>
                    </w:rPr>
                  </w:pPr>
                  <w:r>
                    <w:rPr>
                      <w:rFonts w:ascii="微软雅黑" w:hAnsi="微软雅黑" w:eastAsia="微软雅黑" w:cs="微软雅黑"/>
                      <w:color w:val="030303"/>
                      <w:spacing w:val="-2"/>
                      <w:sz w:val="19"/>
                      <w:szCs w:val="19"/>
                    </w:rPr>
                    <w:t>1</w:t>
                  </w:r>
                  <w:r>
                    <w:rPr>
                      <w:rFonts w:ascii="微软雅黑" w:hAnsi="微软雅黑" w:eastAsia="微软雅黑" w:cs="微软雅黑"/>
                      <w:color w:val="030303"/>
                      <w:spacing w:val="-1"/>
                      <w:sz w:val="19"/>
                      <w:szCs w:val="19"/>
                    </w:rPr>
                    <w:t>5 3%</w:t>
                  </w:r>
                </w:p>
              </w:txbxContent>
            </v:textbox>
          </v:shape>
        </w:pict>
      </w:r>
      <w:r>
        <w:pict>
          <v:shape id="_x0000_s1203" o:spid="_x0000_s1203" o:spt="202" type="#_x0000_t202" style="position:absolute;left:0pt;margin-left:438.85pt;margin-top:175.25pt;height:18.85pt;width:29.6pt;mso-position-horizontal-relative:page;mso-position-vertical-relative:page;z-index:251869184;mso-width-relative:page;mso-height-relative:page;" filled="f" stroked="f" coordsize="21600,21600" o:allowincell="f">
            <v:path/>
            <v:fill on="f" focussize="0,0"/>
            <v:stroke on="f"/>
            <v:imagedata o:title=""/>
            <o:lock v:ext="edit" aspectratio="f"/>
            <v:textbox inset="0mm,0mm,0mm,0mm">
              <w:txbxContent>
                <w:p>
                  <w:pPr>
                    <w:spacing w:before="20" w:line="336" w:lineRule="exact"/>
                    <w:ind w:left="20"/>
                    <w:rPr>
                      <w:rFonts w:ascii="微软雅黑" w:hAnsi="微软雅黑" w:eastAsia="微软雅黑" w:cs="微软雅黑"/>
                      <w:sz w:val="19"/>
                      <w:szCs w:val="19"/>
                    </w:rPr>
                  </w:pPr>
                  <w:r>
                    <w:rPr>
                      <w:rFonts w:ascii="微软雅黑" w:hAnsi="微软雅黑" w:eastAsia="微软雅黑" w:cs="微软雅黑"/>
                      <w:color w:val="030303"/>
                      <w:spacing w:val="-1"/>
                      <w:position w:val="3"/>
                      <w:sz w:val="19"/>
                      <w:szCs w:val="19"/>
                    </w:rPr>
                    <w:t>1     %</w:t>
                  </w:r>
                </w:p>
              </w:txbxContent>
            </v:textbox>
          </v:shape>
        </w:pict>
      </w:r>
      <w:r>
        <w:pict>
          <v:shape id="_x0000_s1204" o:spid="_x0000_s1204" o:spt="202" type="#_x0000_t202" style="position:absolute;left:0pt;margin-left:372pt;margin-top:193.4pt;height:13.9pt;width:29.6pt;mso-position-horizontal-relative:page;mso-position-vertical-relative:page;z-index:251848704;mso-width-relative:page;mso-height-relative:page;" filled="f" stroked="f" coordsize="21600,21600" o:allowincell="f">
            <v:path/>
            <v:fill on="f" focussize="0,0"/>
            <v:stroke on="f"/>
            <v:imagedata o:title=""/>
            <o:lock v:ext="edit" aspectratio="f"/>
            <v:textbox inset="0mm,0mm,0mm,0mm">
              <w:txbxContent>
                <w:p>
                  <w:pPr>
                    <w:spacing w:before="20" w:line="175" w:lineRule="auto"/>
                    <w:ind w:left="20"/>
                    <w:rPr>
                      <w:rFonts w:ascii="微软雅黑" w:hAnsi="微软雅黑" w:eastAsia="微软雅黑" w:cs="微软雅黑"/>
                      <w:sz w:val="19"/>
                      <w:szCs w:val="19"/>
                    </w:rPr>
                  </w:pPr>
                  <w:r>
                    <w:rPr>
                      <w:rFonts w:ascii="微软雅黑" w:hAnsi="微软雅黑" w:eastAsia="微软雅黑" w:cs="微软雅黑"/>
                      <w:color w:val="030303"/>
                      <w:spacing w:val="-2"/>
                      <w:sz w:val="19"/>
                      <w:szCs w:val="19"/>
                    </w:rPr>
                    <w:t>1</w:t>
                  </w:r>
                  <w:r>
                    <w:rPr>
                      <w:rFonts w:ascii="微软雅黑" w:hAnsi="微软雅黑" w:eastAsia="微软雅黑" w:cs="微软雅黑"/>
                      <w:color w:val="030303"/>
                      <w:spacing w:val="-1"/>
                      <w:sz w:val="19"/>
                      <w:szCs w:val="19"/>
                    </w:rPr>
                    <w:t>3 3%</w:t>
                  </w:r>
                </w:p>
              </w:txbxContent>
            </v:textbox>
          </v:shape>
        </w:pict>
      </w:r>
      <w:r>
        <w:pict>
          <v:shape id="_x0000_s1205" o:spid="_x0000_s1205" o:spt="202" type="#_x0000_t202" style="position:absolute;left:0pt;margin-left:163.8pt;margin-top:216.8pt;height:13.9pt;width:29.6pt;mso-position-horizontal-relative:page;mso-position-vertical-relative:page;z-index:251847680;mso-width-relative:page;mso-height-relative:page;" filled="f" stroked="f" coordsize="21600,21600" o:allowincell="f">
            <v:path/>
            <v:fill on="f" focussize="0,0"/>
            <v:stroke on="f"/>
            <v:imagedata o:title=""/>
            <o:lock v:ext="edit" aspectratio="f"/>
            <v:textbox inset="0mm,0mm,0mm,0mm">
              <w:txbxContent>
                <w:p>
                  <w:pPr>
                    <w:spacing w:before="20" w:line="175" w:lineRule="auto"/>
                    <w:ind w:left="20"/>
                    <w:rPr>
                      <w:rFonts w:ascii="微软雅黑" w:hAnsi="微软雅黑" w:eastAsia="微软雅黑" w:cs="微软雅黑"/>
                      <w:sz w:val="19"/>
                      <w:szCs w:val="19"/>
                    </w:rPr>
                  </w:pPr>
                  <w:r>
                    <w:rPr>
                      <w:rFonts w:ascii="微软雅黑" w:hAnsi="微软雅黑" w:eastAsia="微软雅黑" w:cs="微软雅黑"/>
                      <w:color w:val="030303"/>
                      <w:spacing w:val="-2"/>
                      <w:sz w:val="19"/>
                      <w:szCs w:val="19"/>
                    </w:rPr>
                    <w:t xml:space="preserve">11 </w:t>
                  </w:r>
                  <w:r>
                    <w:rPr>
                      <w:rFonts w:ascii="微软雅黑" w:hAnsi="微软雅黑" w:eastAsia="微软雅黑" w:cs="微软雅黑"/>
                      <w:color w:val="030303"/>
                      <w:spacing w:val="-1"/>
                      <w:sz w:val="19"/>
                      <w:szCs w:val="19"/>
                    </w:rPr>
                    <w:t>0%</w:t>
                  </w:r>
                </w:p>
              </w:txbxContent>
            </v:textbox>
          </v:shape>
        </w:pict>
      </w:r>
      <w:r>
        <w:pict>
          <v:shape id="_x0000_s1206" o:spid="_x0000_s1206" style="position:absolute;left:0pt;margin-left:374.25pt;margin-top:172.25pt;height:16.25pt;width:69.5pt;mso-position-horizontal-relative:page;mso-position-vertical-relative:page;z-index:251863040;mso-width-relative:page;mso-height-relative:page;" filled="f" stroked="t" coordsize="1390,325" o:allowincell="f" path="m4,305l1385,19e">
            <v:fill on="f" focussize="0,0"/>
            <v:stroke weight="2pt" color="#92B165"/>
            <v:imagedata o:title=""/>
            <o:lock v:ext="edit"/>
          </v:shape>
        </w:pict>
      </w:r>
      <w:r>
        <w:drawing>
          <wp:anchor distT="0" distB="0" distL="0" distR="0" simplePos="0" relativeHeight="251860992" behindDoc="0" locked="0" layoutInCell="0" allowOverlap="1">
            <wp:simplePos x="0" y="0"/>
            <wp:positionH relativeFrom="page">
              <wp:posOffset>2051050</wp:posOffset>
            </wp:positionH>
            <wp:positionV relativeFrom="page">
              <wp:posOffset>2455545</wp:posOffset>
            </wp:positionV>
            <wp:extent cx="94615" cy="94615"/>
            <wp:effectExtent l="0" t="0" r="0" b="0"/>
            <wp:wrapNone/>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83"/>
                    <a:stretch>
                      <a:fillRect/>
                    </a:stretch>
                  </pic:blipFill>
                  <pic:spPr>
                    <a:xfrm>
                      <a:off x="0" y="0"/>
                      <a:ext cx="94488" cy="94500"/>
                    </a:xfrm>
                    <a:prstGeom prst="rect">
                      <a:avLst/>
                    </a:prstGeom>
                  </pic:spPr>
                </pic:pic>
              </a:graphicData>
            </a:graphic>
          </wp:anchor>
        </w:drawing>
      </w:r>
      <w:r>
        <w:drawing>
          <wp:anchor distT="0" distB="0" distL="0" distR="0" simplePos="0" relativeHeight="251868160" behindDoc="0" locked="0" layoutInCell="0" allowOverlap="1">
            <wp:simplePos x="0" y="0"/>
            <wp:positionH relativeFrom="page">
              <wp:posOffset>5547360</wp:posOffset>
            </wp:positionH>
            <wp:positionV relativeFrom="page">
              <wp:posOffset>1997075</wp:posOffset>
            </wp:positionV>
            <wp:extent cx="94615" cy="94615"/>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84"/>
                    <a:stretch>
                      <a:fillRect/>
                    </a:stretch>
                  </pic:blipFill>
                  <pic:spPr>
                    <a:xfrm>
                      <a:off x="0" y="0"/>
                      <a:ext cx="94488" cy="94500"/>
                    </a:xfrm>
                    <a:prstGeom prst="rect">
                      <a:avLst/>
                    </a:prstGeom>
                  </pic:spPr>
                </pic:pic>
              </a:graphicData>
            </a:graphic>
          </wp:anchor>
        </w:drawing>
      </w:r>
      <w:r>
        <w:drawing>
          <wp:anchor distT="0" distB="0" distL="0" distR="0" simplePos="0" relativeHeight="251862016" behindDoc="0" locked="0" layoutInCell="0" allowOverlap="1">
            <wp:simplePos x="0" y="0"/>
            <wp:positionH relativeFrom="page">
              <wp:posOffset>2933065</wp:posOffset>
            </wp:positionH>
            <wp:positionV relativeFrom="page">
              <wp:posOffset>2469515</wp:posOffset>
            </wp:positionV>
            <wp:extent cx="94615" cy="94615"/>
            <wp:effectExtent l="0" t="0" r="0" b="0"/>
            <wp:wrapNone/>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85"/>
                    <a:stretch>
                      <a:fillRect/>
                    </a:stretch>
                  </pic:blipFill>
                  <pic:spPr>
                    <a:xfrm>
                      <a:off x="0" y="0"/>
                      <a:ext cx="94488" cy="94500"/>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r>
        <w:rPr>
          <w:rFonts w:ascii="SimHei" w:hAnsi="SimHei" w:eastAsia="SimHei" w:cs="SimHei"/>
          <w:color w:val="1A67B3"/>
          <w:spacing w:val="39"/>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33</w:t>
      </w:r>
    </w:p>
    <w:p/>
    <w:p/>
    <w:p/>
    <w:p>
      <w:pPr>
        <w:spacing w:line="120" w:lineRule="exact"/>
      </w:pPr>
    </w:p>
    <w:tbl>
      <w:tblPr>
        <w:tblStyle w:val="4"/>
        <w:tblW w:w="7061" w:type="dxa"/>
        <w:tblInd w:w="2746" w:type="dxa"/>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Layout w:type="fixed"/>
        <w:tblCellMar>
          <w:top w:w="0" w:type="dxa"/>
          <w:left w:w="0" w:type="dxa"/>
          <w:bottom w:w="0" w:type="dxa"/>
          <w:right w:w="0" w:type="dxa"/>
        </w:tblCellMar>
      </w:tblPr>
      <w:tblGrid>
        <w:gridCol w:w="1419"/>
        <w:gridCol w:w="4042"/>
        <w:gridCol w:w="1409"/>
        <w:gridCol w:w="191"/>
      </w:tblGrid>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460" w:hRule="atLeast"/>
        </w:trPr>
        <w:tc>
          <w:tcPr>
            <w:tcW w:w="6870" w:type="dxa"/>
            <w:gridSpan w:val="3"/>
            <w:tcBorders>
              <w:top w:val="nil"/>
              <w:left w:val="nil"/>
              <w:right w:val="single" w:color="F6F7F7" w:sz="2" w:space="0"/>
            </w:tcBorders>
            <w:vAlign w:val="top"/>
          </w:tcPr>
          <w:p>
            <w:pPr>
              <w:rPr>
                <w:rFonts w:ascii="Arial"/>
                <w:sz w:val="21"/>
              </w:rPr>
            </w:pPr>
          </w:p>
        </w:tc>
        <w:tc>
          <w:tcPr>
            <w:tcW w:w="191" w:type="dxa"/>
            <w:vMerge w:val="restart"/>
            <w:tcBorders>
              <w:top w:val="nil"/>
              <w:left w:val="single" w:color="F6F7F7" w:sz="2" w:space="0"/>
              <w:bottom w:val="nil"/>
              <w:right w:val="nil"/>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94" w:hRule="atLeast"/>
        </w:trPr>
        <w:tc>
          <w:tcPr>
            <w:tcW w:w="6870" w:type="dxa"/>
            <w:gridSpan w:val="3"/>
            <w:tcBorders>
              <w:left w:val="single" w:color="CEE6ED" w:sz="2" w:space="0"/>
              <w:right w:val="single" w:color="CEE6ED" w:sz="2" w:space="0"/>
            </w:tcBorders>
            <w:vAlign w:val="top"/>
          </w:tcPr>
          <w:p>
            <w:pPr>
              <w:spacing w:before="154" w:line="175" w:lineRule="auto"/>
              <w:ind w:left="5845"/>
              <w:rPr>
                <w:rFonts w:ascii="微软雅黑" w:hAnsi="微软雅黑" w:eastAsia="微软雅黑" w:cs="微软雅黑"/>
                <w:sz w:val="19"/>
                <w:szCs w:val="19"/>
              </w:rPr>
            </w:pPr>
            <w:r>
              <w:rPr>
                <w:rFonts w:ascii="微软雅黑" w:hAnsi="微软雅黑" w:eastAsia="微软雅黑" w:cs="微软雅黑"/>
                <w:color w:val="030303"/>
                <w:spacing w:val="1"/>
                <w:sz w:val="19"/>
                <w:szCs w:val="19"/>
              </w:rPr>
              <w:t>16</w:t>
            </w:r>
            <w:r>
              <w:rPr>
                <w:rFonts w:ascii="微软雅黑" w:hAnsi="微软雅黑" w:eastAsia="微软雅黑" w:cs="微软雅黑"/>
                <w:color w:val="030303"/>
                <w:sz w:val="19"/>
                <w:szCs w:val="19"/>
              </w:rPr>
              <w:t>.0%</w:t>
            </w:r>
          </w:p>
        </w:tc>
        <w:tc>
          <w:tcPr>
            <w:tcW w:w="191" w:type="dxa"/>
            <w:vMerge w:val="continue"/>
            <w:tcBorders>
              <w:top w:val="nil"/>
              <w:left w:val="single" w:color="F6F7F7" w:sz="2" w:space="0"/>
              <w:bottom w:val="nil"/>
              <w:right w:val="nil"/>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408" w:hRule="atLeast"/>
        </w:trPr>
        <w:tc>
          <w:tcPr>
            <w:tcW w:w="6870" w:type="dxa"/>
            <w:gridSpan w:val="3"/>
            <w:tcBorders>
              <w:left w:val="single" w:color="CEE6ED" w:sz="2" w:space="0"/>
              <w:right w:val="single" w:color="CEE6ED" w:sz="2" w:space="0"/>
            </w:tcBorders>
            <w:vAlign w:val="top"/>
          </w:tcPr>
          <w:p>
            <w:pPr>
              <w:tabs>
                <w:tab w:val="left" w:pos="3142"/>
              </w:tabs>
              <w:spacing w:before="74" w:line="180" w:lineRule="exact"/>
              <w:ind w:left="1974"/>
              <w:rPr>
                <w:rFonts w:ascii="微软雅黑" w:hAnsi="微软雅黑" w:eastAsia="微软雅黑" w:cs="微软雅黑"/>
                <w:sz w:val="19"/>
                <w:szCs w:val="19"/>
              </w:rPr>
            </w:pPr>
            <w:r>
              <w:pict>
                <v:shape id="_x0000_s1207" o:spid="_x0000_s1207" style="position:absolute;left:0pt;margin-left:167.85pt;margin-top:9.65pt;height:7.6pt;width:69.25pt;z-index:-251484160;mso-width-relative:page;mso-height-relative:page;" filled="f" stroked="t" coordsize="1385,151" path="m1,131l1383,19e">
                  <v:fill on="f" focussize="0,0"/>
                  <v:stroke weight="2pt" color="#4E7DB1" joinstyle="miter"/>
                  <v:imagedata o:title=""/>
                  <o:lock v:ext="edit"/>
                </v:shape>
              </w:pict>
            </w:r>
            <w:r>
              <w:drawing>
                <wp:anchor distT="0" distB="0" distL="0" distR="0" simplePos="0" relativeHeight="251865088" behindDoc="0" locked="0" layoutInCell="1" allowOverlap="1">
                  <wp:simplePos x="0" y="0"/>
                  <wp:positionH relativeFrom="rightMargin">
                    <wp:posOffset>-1434465</wp:posOffset>
                  </wp:positionH>
                  <wp:positionV relativeFrom="topMargin">
                    <wp:posOffset>7620</wp:posOffset>
                  </wp:positionV>
                  <wp:extent cx="964565" cy="17653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86"/>
                          <a:stretch>
                            <a:fillRect/>
                          </a:stretch>
                        </pic:blipFill>
                        <pic:spPr>
                          <a:xfrm>
                            <a:off x="0" y="0"/>
                            <a:ext cx="964733" cy="176217"/>
                          </a:xfrm>
                          <a:prstGeom prst="rect">
                            <a:avLst/>
                          </a:prstGeom>
                        </pic:spPr>
                      </pic:pic>
                    </a:graphicData>
                  </a:graphic>
                </wp:anchor>
              </w:drawing>
            </w:r>
            <w:r>
              <w:drawing>
                <wp:anchor distT="0" distB="0" distL="0" distR="0" simplePos="0" relativeHeight="251866112" behindDoc="0" locked="0" layoutInCell="1" allowOverlap="1">
                  <wp:simplePos x="0" y="0"/>
                  <wp:positionH relativeFrom="rightMargin">
                    <wp:posOffset>-552450</wp:posOffset>
                  </wp:positionH>
                  <wp:positionV relativeFrom="topMargin">
                    <wp:posOffset>125095</wp:posOffset>
                  </wp:positionV>
                  <wp:extent cx="94615" cy="94615"/>
                  <wp:effectExtent l="0" t="0" r="0" b="0"/>
                  <wp:wrapNone/>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87"/>
                          <a:stretch>
                            <a:fillRect/>
                          </a:stretch>
                        </pic:blipFill>
                        <pic:spPr>
                          <a:xfrm>
                            <a:off x="0" y="0"/>
                            <a:ext cx="94488" cy="94500"/>
                          </a:xfrm>
                          <a:prstGeom prst="rect">
                            <a:avLst/>
                          </a:prstGeom>
                        </pic:spPr>
                      </pic:pic>
                    </a:graphicData>
                  </a:graphic>
                </wp:anchor>
              </w:drawing>
            </w:r>
            <w:r>
              <w:drawing>
                <wp:anchor distT="0" distB="0" distL="0" distR="0" simplePos="0" relativeHeight="251839488" behindDoc="0" locked="0" layoutInCell="1" allowOverlap="1">
                  <wp:simplePos x="0" y="0"/>
                  <wp:positionH relativeFrom="rightMargin">
                    <wp:posOffset>-3180715</wp:posOffset>
                  </wp:positionH>
                  <wp:positionV relativeFrom="topMargin">
                    <wp:posOffset>62230</wp:posOffset>
                  </wp:positionV>
                  <wp:extent cx="94615" cy="94615"/>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88"/>
                          <a:stretch>
                            <a:fillRect/>
                          </a:stretch>
                        </pic:blipFill>
                        <pic:spPr>
                          <a:xfrm>
                            <a:off x="0" y="0"/>
                            <a:ext cx="94488" cy="94500"/>
                          </a:xfrm>
                          <a:prstGeom prst="rect">
                            <a:avLst/>
                          </a:prstGeom>
                        </pic:spPr>
                      </pic:pic>
                    </a:graphicData>
                  </a:graphic>
                </wp:anchor>
              </w:drawing>
            </w:r>
            <w:r>
              <w:rPr>
                <w:rFonts w:ascii="微软雅黑" w:hAnsi="微软雅黑" w:eastAsia="微软雅黑" w:cs="微软雅黑"/>
                <w:color w:val="030303"/>
                <w:position w:val="-2"/>
                <w:sz w:val="19"/>
                <w:szCs w:val="19"/>
              </w:rPr>
              <w:tab/>
            </w:r>
            <w:r>
              <w:rPr>
                <w:rFonts w:ascii="微软雅黑" w:hAnsi="微软雅黑" w:eastAsia="微软雅黑" w:cs="微软雅黑"/>
                <w:color w:val="030303"/>
                <w:spacing w:val="2"/>
                <w:position w:val="-2"/>
                <w:sz w:val="19"/>
                <w:szCs w:val="19"/>
              </w:rPr>
              <w:t>14</w:t>
            </w:r>
            <w:r>
              <w:rPr>
                <w:rFonts w:ascii="微软雅黑" w:hAnsi="微软雅黑" w:eastAsia="微软雅黑" w:cs="微软雅黑"/>
                <w:color w:val="030303"/>
                <w:spacing w:val="1"/>
                <w:position w:val="-2"/>
                <w:sz w:val="19"/>
                <w:szCs w:val="19"/>
              </w:rPr>
              <w:t>.5%</w:t>
            </w:r>
          </w:p>
          <w:p>
            <w:pPr>
              <w:spacing w:line="148" w:lineRule="exact"/>
              <w:ind w:firstLine="3209"/>
              <w:textAlignment w:val="center"/>
            </w:pPr>
            <w:r>
              <w:drawing>
                <wp:inline distT="0" distB="0" distL="0" distR="0">
                  <wp:extent cx="93980" cy="93980"/>
                  <wp:effectExtent l="0" t="0" r="0" b="0"/>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89"/>
                          <a:stretch>
                            <a:fillRect/>
                          </a:stretch>
                        </pic:blipFill>
                        <pic:spPr>
                          <a:xfrm>
                            <a:off x="0" y="0"/>
                            <a:ext cx="94488" cy="94500"/>
                          </a:xfrm>
                          <a:prstGeom prst="rect">
                            <a:avLst/>
                          </a:prstGeom>
                        </pic:spPr>
                      </pic:pic>
                    </a:graphicData>
                  </a:graphic>
                </wp:inline>
              </w:drawing>
            </w:r>
          </w:p>
        </w:tc>
        <w:tc>
          <w:tcPr>
            <w:tcW w:w="191" w:type="dxa"/>
            <w:vMerge w:val="continue"/>
            <w:tcBorders>
              <w:top w:val="nil"/>
              <w:left w:val="single" w:color="F6F7F7" w:sz="2" w:space="0"/>
              <w:bottom w:val="nil"/>
              <w:right w:val="nil"/>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94" w:hRule="atLeast"/>
        </w:trPr>
        <w:tc>
          <w:tcPr>
            <w:tcW w:w="1419" w:type="dxa"/>
            <w:tcBorders>
              <w:left w:val="single" w:color="CEE6ED" w:sz="2" w:space="0"/>
              <w:right w:val="nil"/>
            </w:tcBorders>
            <w:vAlign w:val="top"/>
          </w:tcPr>
          <w:p>
            <w:pPr>
              <w:spacing w:before="95" w:line="177" w:lineRule="auto"/>
              <w:ind w:left="301"/>
              <w:rPr>
                <w:rFonts w:ascii="微软雅黑" w:hAnsi="微软雅黑" w:eastAsia="微软雅黑" w:cs="微软雅黑"/>
                <w:sz w:val="19"/>
                <w:szCs w:val="19"/>
              </w:rPr>
            </w:pPr>
            <w:r>
              <w:pict>
                <v:shape id="_x0000_s1208" o:spid="_x0000_s1208" style="position:absolute;left:0pt;margin-left:29.35pt;margin-top:-13.2pt;height:30.1pt;width:69.85pt;z-index:-251485184;mso-width-relative:page;mso-height-relative:page;" filled="f" stroked="t" coordsize="1396,602" path="m7,583l1389,18e">
                  <v:fill on="f" focussize="0,0"/>
                  <v:stroke weight="2pt" color="#4E7DB1" joinstyle="miter"/>
                  <v:imagedata o:title=""/>
                  <o:lock v:ext="edit"/>
                </v:shape>
              </w:pict>
            </w:r>
            <w:r>
              <w:rPr>
                <w:rFonts w:ascii="微软雅黑" w:hAnsi="微软雅黑" w:eastAsia="微软雅黑" w:cs="微软雅黑"/>
                <w:color w:val="030303"/>
                <w:spacing w:val="2"/>
                <w:sz w:val="19"/>
                <w:szCs w:val="19"/>
              </w:rPr>
              <w:t>1</w:t>
            </w:r>
            <w:r>
              <w:rPr>
                <w:rFonts w:ascii="微软雅黑" w:hAnsi="微软雅黑" w:eastAsia="微软雅黑" w:cs="微软雅黑"/>
                <w:color w:val="030303"/>
                <w:spacing w:val="1"/>
                <w:sz w:val="19"/>
                <w:szCs w:val="19"/>
              </w:rPr>
              <w:t>2.5%</w:t>
            </w:r>
          </w:p>
        </w:tc>
        <w:tc>
          <w:tcPr>
            <w:tcW w:w="4042" w:type="dxa"/>
            <w:tcBorders>
              <w:left w:val="nil"/>
              <w:right w:val="nil"/>
            </w:tcBorders>
            <w:vAlign w:val="top"/>
          </w:tcPr>
          <w:p>
            <w:pPr>
              <w:spacing w:line="245" w:lineRule="auto"/>
              <w:rPr>
                <w:rFonts w:ascii="Arial"/>
                <w:sz w:val="21"/>
              </w:rPr>
            </w:pPr>
            <w:r>
              <w:drawing>
                <wp:anchor distT="0" distB="0" distL="0" distR="0" simplePos="0" relativeHeight="251864064" behindDoc="0" locked="0" layoutInCell="1" allowOverlap="1">
                  <wp:simplePos x="0" y="0"/>
                  <wp:positionH relativeFrom="rightMargin">
                    <wp:posOffset>-1418590</wp:posOffset>
                  </wp:positionH>
                  <wp:positionV relativeFrom="topMargin">
                    <wp:posOffset>43180</wp:posOffset>
                  </wp:positionV>
                  <wp:extent cx="981075" cy="17526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90"/>
                          <a:stretch>
                            <a:fillRect/>
                          </a:stretch>
                        </pic:blipFill>
                        <pic:spPr>
                          <a:xfrm>
                            <a:off x="0" y="0"/>
                            <a:ext cx="980987" cy="175514"/>
                          </a:xfrm>
                          <a:prstGeom prst="rect">
                            <a:avLst/>
                          </a:prstGeom>
                        </pic:spPr>
                      </pic:pic>
                    </a:graphicData>
                  </a:graphic>
                </wp:anchor>
              </w:drawing>
            </w:r>
          </w:p>
          <w:p>
            <w:pPr>
              <w:spacing w:line="139" w:lineRule="exact"/>
              <w:ind w:firstLine="559"/>
              <w:textAlignment w:val="center"/>
            </w:pPr>
            <w:r>
              <w:pict>
                <v:shape id="_x0000_s1209" o:spid="_x0000_s1209" style="height:7pt;width:69.25pt;" filled="f" stroked="t" coordsize="1385,140" path="m1,119l1383,19e">
                  <v:fill on="f" focussize="0,0"/>
                  <v:stroke weight="2pt" color="#92B165"/>
                  <v:imagedata o:title=""/>
                  <o:lock v:ext="edit"/>
                  <w10:wrap type="none"/>
                  <w10:anchorlock/>
                </v:shape>
              </w:pict>
            </w:r>
          </w:p>
        </w:tc>
        <w:tc>
          <w:tcPr>
            <w:tcW w:w="1409" w:type="dxa"/>
            <w:tcBorders>
              <w:left w:val="nil"/>
              <w:right w:val="single" w:color="CEE6ED" w:sz="2" w:space="0"/>
            </w:tcBorders>
            <w:vAlign w:val="top"/>
          </w:tcPr>
          <w:p>
            <w:pPr>
              <w:spacing w:line="176" w:lineRule="auto"/>
              <w:ind w:left="688"/>
              <w:rPr>
                <w:rFonts w:ascii="微软雅黑" w:hAnsi="微软雅黑" w:eastAsia="微软雅黑" w:cs="微软雅黑"/>
                <w:sz w:val="16"/>
                <w:szCs w:val="16"/>
              </w:rPr>
            </w:pPr>
            <w:r>
              <w:rPr>
                <w:rFonts w:ascii="微软雅黑" w:hAnsi="微软雅黑" w:eastAsia="微软雅黑" w:cs="微软雅黑"/>
                <w:color w:val="030303"/>
                <w:spacing w:val="17"/>
                <w:sz w:val="16"/>
                <w:szCs w:val="16"/>
              </w:rPr>
              <w:t>4.7</w:t>
            </w:r>
          </w:p>
        </w:tc>
        <w:tc>
          <w:tcPr>
            <w:tcW w:w="191" w:type="dxa"/>
            <w:vMerge w:val="continue"/>
            <w:tcBorders>
              <w:top w:val="nil"/>
              <w:left w:val="single" w:color="F6F7F7" w:sz="2" w:space="0"/>
              <w:bottom w:val="nil"/>
              <w:right w:val="nil"/>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401" w:hRule="atLeast"/>
        </w:trPr>
        <w:tc>
          <w:tcPr>
            <w:tcW w:w="6870" w:type="dxa"/>
            <w:gridSpan w:val="3"/>
            <w:tcBorders>
              <w:left w:val="single" w:color="CEE6ED" w:sz="2" w:space="0"/>
              <w:right w:val="single" w:color="CEE6ED" w:sz="2" w:space="0"/>
            </w:tcBorders>
            <w:vAlign w:val="top"/>
          </w:tcPr>
          <w:p>
            <w:pPr>
              <w:spacing w:line="179" w:lineRule="auto"/>
              <w:ind w:left="1947"/>
              <w:rPr>
                <w:rFonts w:ascii="微软雅黑" w:hAnsi="微软雅黑" w:eastAsia="微软雅黑" w:cs="微软雅黑"/>
                <w:sz w:val="19"/>
                <w:szCs w:val="19"/>
              </w:rPr>
            </w:pPr>
            <w:r>
              <w:pict>
                <v:shape id="_x0000_s1210" o:spid="_x0000_s1210" style="position:absolute;left:0pt;margin-left:29.55pt;margin-top:-2.6pt;height:14.35pt;width:69.45pt;z-index:251845632;mso-width-relative:page;mso-height-relative:page;" filled="f" stroked="t" coordsize="1388,287" path="m3,266l1385,19e">
                  <v:fill on="f" focussize="0,0"/>
                  <v:stroke weight="2pt" color="#92B165"/>
                  <v:imagedata o:title=""/>
                  <o:lock v:ext="edit"/>
                </v:shape>
              </w:pict>
            </w:r>
            <w:r>
              <w:drawing>
                <wp:anchor distT="0" distB="0" distL="0" distR="0" simplePos="0" relativeHeight="251846656" behindDoc="0" locked="0" layoutInCell="1" allowOverlap="1">
                  <wp:simplePos x="0" y="0"/>
                  <wp:positionH relativeFrom="rightMargin">
                    <wp:posOffset>-4048760</wp:posOffset>
                  </wp:positionH>
                  <wp:positionV relativeFrom="topMargin">
                    <wp:posOffset>90805</wp:posOffset>
                  </wp:positionV>
                  <wp:extent cx="94615" cy="94615"/>
                  <wp:effectExtent l="0" t="0" r="0" b="0"/>
                  <wp:wrapNone/>
                  <wp:docPr id="185" name="IM 185"/>
                  <wp:cNvGraphicFramePr/>
                  <a:graphic xmlns:a="http://schemas.openxmlformats.org/drawingml/2006/main">
                    <a:graphicData uri="http://schemas.openxmlformats.org/drawingml/2006/picture">
                      <pic:pic xmlns:pic="http://schemas.openxmlformats.org/drawingml/2006/picture">
                        <pic:nvPicPr>
                          <pic:cNvPr id="185" name="IM 185"/>
                          <pic:cNvPicPr/>
                        </pic:nvPicPr>
                        <pic:blipFill>
                          <a:blip r:embed="rId91"/>
                          <a:stretch>
                            <a:fillRect/>
                          </a:stretch>
                        </pic:blipFill>
                        <pic:spPr>
                          <a:xfrm>
                            <a:off x="0" y="0"/>
                            <a:ext cx="94488" cy="94500"/>
                          </a:xfrm>
                          <a:prstGeom prst="rect">
                            <a:avLst/>
                          </a:prstGeom>
                        </pic:spPr>
                      </pic:pic>
                    </a:graphicData>
                  </a:graphic>
                </wp:anchor>
              </w:drawing>
            </w:r>
            <w:r>
              <w:rPr>
                <w:rFonts w:ascii="微软雅黑" w:hAnsi="微软雅黑" w:eastAsia="微软雅黑" w:cs="微软雅黑"/>
                <w:color w:val="030303"/>
                <w:spacing w:val="2"/>
                <w:position w:val="-3"/>
                <w:sz w:val="19"/>
                <w:szCs w:val="19"/>
              </w:rPr>
              <w:t xml:space="preserve">12.3% </w:t>
            </w:r>
            <w:r>
              <w:rPr>
                <w:rFonts w:ascii="微软雅黑" w:hAnsi="微软雅黑" w:eastAsia="微软雅黑" w:cs="微软雅黑"/>
                <w:color w:val="030303"/>
                <w:spacing w:val="1"/>
                <w:position w:val="-3"/>
                <w:sz w:val="19"/>
                <w:szCs w:val="19"/>
              </w:rPr>
              <w:t xml:space="preserve">             </w:t>
            </w:r>
            <w:r>
              <w:rPr>
                <w:rFonts w:ascii="微软雅黑" w:hAnsi="微软雅黑" w:eastAsia="微软雅黑" w:cs="微软雅黑"/>
                <w:color w:val="030303"/>
                <w:spacing w:val="1"/>
                <w:position w:val="3"/>
                <w:sz w:val="19"/>
                <w:szCs w:val="19"/>
              </w:rPr>
              <w:t>12.8%</w:t>
            </w:r>
          </w:p>
        </w:tc>
        <w:tc>
          <w:tcPr>
            <w:tcW w:w="191" w:type="dxa"/>
            <w:vMerge w:val="continue"/>
            <w:tcBorders>
              <w:top w:val="nil"/>
              <w:left w:val="single" w:color="F6F7F7" w:sz="2" w:space="0"/>
              <w:bottom w:val="nil"/>
              <w:right w:val="nil"/>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406" w:hRule="atLeast"/>
        </w:trPr>
        <w:tc>
          <w:tcPr>
            <w:tcW w:w="6870" w:type="dxa"/>
            <w:gridSpan w:val="3"/>
            <w:tcBorders>
              <w:left w:val="single" w:color="CEE6ED" w:sz="2" w:space="0"/>
              <w:right w:val="single" w:color="CEE6ED" w:sz="2" w:space="0"/>
            </w:tcBorders>
            <w:vAlign w:val="top"/>
          </w:tcPr>
          <w:p>
            <w:pPr>
              <w:spacing w:before="79" w:line="109" w:lineRule="exact"/>
              <w:ind w:left="772"/>
              <w:rPr>
                <w:rFonts w:ascii="微软雅黑" w:hAnsi="微软雅黑" w:eastAsia="微软雅黑" w:cs="微软雅黑"/>
                <w:sz w:val="19"/>
                <w:szCs w:val="19"/>
              </w:rPr>
            </w:pPr>
            <w:r>
              <w:rPr>
                <w:rFonts w:ascii="微软雅黑" w:hAnsi="微软雅黑" w:eastAsia="微软雅黑" w:cs="微软雅黑"/>
                <w:color w:val="030303"/>
                <w:position w:val="2"/>
                <w:sz w:val="19"/>
                <w:szCs w:val="19"/>
              </w:rPr>
              <w:t>.</w:t>
            </w:r>
          </w:p>
        </w:tc>
        <w:tc>
          <w:tcPr>
            <w:tcW w:w="191" w:type="dxa"/>
            <w:vMerge w:val="continue"/>
            <w:tcBorders>
              <w:top w:val="nil"/>
              <w:left w:val="single" w:color="F6F7F7" w:sz="2" w:space="0"/>
              <w:bottom w:val="nil"/>
              <w:right w:val="nil"/>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401" w:hRule="atLeast"/>
        </w:trPr>
        <w:tc>
          <w:tcPr>
            <w:tcW w:w="6870" w:type="dxa"/>
            <w:gridSpan w:val="3"/>
            <w:tcBorders>
              <w:left w:val="single" w:color="CEE6ED" w:sz="2" w:space="0"/>
              <w:right w:val="single" w:color="CEE6ED" w:sz="2" w:space="0"/>
            </w:tcBorders>
            <w:vAlign w:val="top"/>
          </w:tcPr>
          <w:p>
            <w:pPr>
              <w:rPr>
                <w:rFonts w:ascii="Arial"/>
                <w:sz w:val="21"/>
              </w:rPr>
            </w:pPr>
          </w:p>
        </w:tc>
        <w:tc>
          <w:tcPr>
            <w:tcW w:w="191" w:type="dxa"/>
            <w:vMerge w:val="continue"/>
            <w:tcBorders>
              <w:top w:val="nil"/>
              <w:left w:val="single" w:color="F6F7F7" w:sz="2" w:space="0"/>
              <w:bottom w:val="nil"/>
              <w:right w:val="nil"/>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401" w:hRule="atLeast"/>
        </w:trPr>
        <w:tc>
          <w:tcPr>
            <w:tcW w:w="6870" w:type="dxa"/>
            <w:gridSpan w:val="3"/>
            <w:tcBorders>
              <w:left w:val="single" w:color="CEE6ED" w:sz="2" w:space="0"/>
              <w:right w:val="single" w:color="CEE6ED" w:sz="2" w:space="0"/>
            </w:tcBorders>
            <w:vAlign w:val="top"/>
          </w:tcPr>
          <w:p>
            <w:pPr>
              <w:rPr>
                <w:rFonts w:ascii="Arial"/>
                <w:sz w:val="21"/>
              </w:rPr>
            </w:pPr>
          </w:p>
        </w:tc>
        <w:tc>
          <w:tcPr>
            <w:tcW w:w="191" w:type="dxa"/>
            <w:vMerge w:val="continue"/>
            <w:tcBorders>
              <w:top w:val="nil"/>
              <w:left w:val="single" w:color="F6F7F7" w:sz="2" w:space="0"/>
              <w:bottom w:val="nil"/>
              <w:right w:val="nil"/>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94" w:hRule="atLeast"/>
        </w:trPr>
        <w:tc>
          <w:tcPr>
            <w:tcW w:w="6870" w:type="dxa"/>
            <w:gridSpan w:val="3"/>
            <w:tcBorders>
              <w:left w:val="single" w:color="CEE6ED" w:sz="2" w:space="0"/>
              <w:right w:val="single" w:color="CEE6ED" w:sz="2" w:space="0"/>
            </w:tcBorders>
            <w:vAlign w:val="top"/>
          </w:tcPr>
          <w:p>
            <w:pPr>
              <w:rPr>
                <w:rFonts w:ascii="Arial"/>
                <w:sz w:val="21"/>
              </w:rPr>
            </w:pPr>
          </w:p>
        </w:tc>
        <w:tc>
          <w:tcPr>
            <w:tcW w:w="191" w:type="dxa"/>
            <w:vMerge w:val="continue"/>
            <w:tcBorders>
              <w:top w:val="nil"/>
              <w:left w:val="single" w:color="F6F7F7" w:sz="2" w:space="0"/>
              <w:bottom w:val="nil"/>
              <w:right w:val="nil"/>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69" w:hRule="atLeast"/>
        </w:trPr>
        <w:tc>
          <w:tcPr>
            <w:tcW w:w="6870" w:type="dxa"/>
            <w:gridSpan w:val="3"/>
            <w:tcBorders>
              <w:top w:val="dashed" w:color="231F20" w:sz="2" w:space="0"/>
              <w:left w:val="single" w:color="231F20" w:sz="2" w:space="0"/>
              <w:bottom w:val="single" w:color="231F20" w:sz="2" w:space="0"/>
              <w:right w:val="single" w:color="231F20" w:sz="2" w:space="0"/>
            </w:tcBorders>
            <w:vAlign w:val="top"/>
          </w:tcPr>
          <w:p>
            <w:pPr>
              <w:rPr>
                <w:rFonts w:ascii="Arial"/>
                <w:sz w:val="21"/>
              </w:rPr>
            </w:pPr>
          </w:p>
        </w:tc>
        <w:tc>
          <w:tcPr>
            <w:tcW w:w="191" w:type="dxa"/>
            <w:vMerge w:val="continue"/>
            <w:tcBorders>
              <w:top w:val="nil"/>
              <w:left w:val="single" w:color="F6F7F7" w:sz="2" w:space="0"/>
              <w:bottom w:val="single" w:color="231F20" w:sz="2" w:space="0"/>
              <w:right w:val="nil"/>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854" w:hRule="atLeast"/>
        </w:trPr>
        <w:tc>
          <w:tcPr>
            <w:tcW w:w="6870" w:type="dxa"/>
            <w:gridSpan w:val="3"/>
            <w:tcBorders>
              <w:top w:val="single" w:color="231F20" w:sz="2" w:space="0"/>
              <w:left w:val="nil"/>
              <w:bottom w:val="nil"/>
              <w:right w:val="single" w:color="F6F7F7" w:sz="2" w:space="0"/>
            </w:tcBorders>
            <w:vAlign w:val="top"/>
          </w:tcPr>
          <w:p>
            <w:pPr>
              <w:spacing w:before="41" w:line="95" w:lineRule="exact"/>
              <w:ind w:firstLine="88"/>
              <w:textAlignment w:val="center"/>
            </w:pPr>
            <w:r>
              <w:drawing>
                <wp:inline distT="0" distB="0" distL="0" distR="0">
                  <wp:extent cx="4276090" cy="5969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92"/>
                          <a:stretch>
                            <a:fillRect/>
                          </a:stretch>
                        </pic:blipFill>
                        <pic:spPr>
                          <a:xfrm>
                            <a:off x="0" y="0"/>
                            <a:ext cx="4276656" cy="60273"/>
                          </a:xfrm>
                          <a:prstGeom prst="rect">
                            <a:avLst/>
                          </a:prstGeom>
                        </pic:spPr>
                      </pic:pic>
                    </a:graphicData>
                  </a:graphic>
                </wp:inline>
              </w:drawing>
            </w:r>
          </w:p>
          <w:p>
            <w:pPr>
              <w:spacing w:before="105" w:line="382" w:lineRule="exact"/>
              <w:ind w:left="406"/>
              <w:rPr>
                <w:rFonts w:ascii="Calibri" w:hAnsi="Calibri" w:eastAsia="Calibri" w:cs="Calibri"/>
                <w:sz w:val="19"/>
                <w:szCs w:val="19"/>
              </w:rPr>
            </w:pPr>
            <w:r>
              <w:rPr>
                <w:rFonts w:ascii="Calibri" w:hAnsi="Calibri" w:eastAsia="Calibri" w:cs="Calibri"/>
                <w:color w:val="030303"/>
                <w:spacing w:val="1"/>
                <w:position w:val="18"/>
                <w:sz w:val="19"/>
                <w:szCs w:val="19"/>
              </w:rPr>
              <w:t xml:space="preserve">2016                       2017         </w:t>
            </w:r>
            <w:r>
              <w:rPr>
                <w:rFonts w:ascii="Calibri" w:hAnsi="Calibri" w:eastAsia="Calibri" w:cs="Calibri"/>
                <w:color w:val="030303"/>
                <w:position w:val="18"/>
                <w:sz w:val="19"/>
                <w:szCs w:val="19"/>
              </w:rPr>
              <w:t xml:space="preserve">              2018                       2019                       2020</w:t>
            </w:r>
          </w:p>
          <w:p>
            <w:pPr>
              <w:spacing w:line="223" w:lineRule="auto"/>
              <w:ind w:left="88"/>
              <w:rPr>
                <w:rFonts w:ascii="宋体" w:hAnsi="宋体" w:eastAsia="宋体" w:cs="宋体"/>
                <w:sz w:val="19"/>
                <w:szCs w:val="19"/>
              </w:rPr>
            </w:pPr>
            <w:r>
              <w:rPr>
                <w:rFonts w:ascii="宋体" w:hAnsi="宋体" w:eastAsia="宋体" w:cs="宋体"/>
                <w:color w:val="030303"/>
                <w:sz w:val="19"/>
                <w:szCs w:val="19"/>
              </w:rPr>
              <w:drawing>
                <wp:inline distT="0" distB="0" distL="0" distR="0">
                  <wp:extent cx="177800" cy="93980"/>
                  <wp:effectExtent l="0" t="0" r="0" b="0"/>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93"/>
                          <a:stretch>
                            <a:fillRect/>
                          </a:stretch>
                        </pic:blipFill>
                        <pic:spPr>
                          <a:xfrm>
                            <a:off x="0" y="0"/>
                            <a:ext cx="178363" cy="94500"/>
                          </a:xfrm>
                          <a:prstGeom prst="rect">
                            <a:avLst/>
                          </a:prstGeom>
                        </pic:spPr>
                      </pic:pic>
                    </a:graphicData>
                  </a:graphic>
                </wp:inline>
              </w:drawing>
            </w:r>
            <w:r>
              <w:rPr>
                <w:rFonts w:ascii="宋体" w:hAnsi="宋体" w:eastAsia="宋体" w:cs="宋体"/>
                <w:color w:val="030303"/>
                <w:spacing w:val="10"/>
                <w:sz w:val="19"/>
                <w:szCs w:val="19"/>
              </w:rPr>
              <w:t xml:space="preserve"> 外资</w:t>
            </w:r>
            <w:r>
              <w:rPr>
                <w:rFonts w:ascii="宋体" w:hAnsi="宋体" w:eastAsia="宋体" w:cs="宋体"/>
                <w:color w:val="030303"/>
                <w:spacing w:val="7"/>
                <w:sz w:val="19"/>
                <w:szCs w:val="19"/>
              </w:rPr>
              <w:t>医</w:t>
            </w:r>
            <w:r>
              <w:rPr>
                <w:rFonts w:ascii="宋体" w:hAnsi="宋体" w:eastAsia="宋体" w:cs="宋体"/>
                <w:color w:val="030303"/>
                <w:spacing w:val="5"/>
                <w:sz w:val="19"/>
                <w:szCs w:val="19"/>
              </w:rPr>
              <w:t xml:space="preserve">药制造企业营收利润率 </w:t>
            </w:r>
            <w:r>
              <w:rPr>
                <w:sz w:val="19"/>
                <w:szCs w:val="19"/>
              </w:rPr>
              <w:drawing>
                <wp:inline distT="0" distB="0" distL="0" distR="0">
                  <wp:extent cx="253365" cy="9398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94"/>
                          <a:stretch>
                            <a:fillRect/>
                          </a:stretch>
                        </pic:blipFill>
                        <pic:spPr>
                          <a:xfrm>
                            <a:off x="0" y="0"/>
                            <a:ext cx="253705" cy="94500"/>
                          </a:xfrm>
                          <a:prstGeom prst="rect">
                            <a:avLst/>
                          </a:prstGeom>
                        </pic:spPr>
                      </pic:pic>
                    </a:graphicData>
                  </a:graphic>
                </wp:inline>
              </w:drawing>
            </w:r>
            <w:r>
              <w:rPr>
                <w:rFonts w:ascii="宋体" w:hAnsi="宋体" w:eastAsia="宋体" w:cs="宋体"/>
                <w:color w:val="030303"/>
                <w:spacing w:val="5"/>
                <w:sz w:val="19"/>
                <w:szCs w:val="19"/>
              </w:rPr>
              <w:t xml:space="preserve"> 全国医药制造企业营收利润率</w:t>
            </w:r>
          </w:p>
        </w:tc>
        <w:tc>
          <w:tcPr>
            <w:tcW w:w="191" w:type="dxa"/>
            <w:tcBorders>
              <w:top w:val="single" w:color="231F20" w:sz="2" w:space="0"/>
              <w:left w:val="single" w:color="F6F7F7" w:sz="2" w:space="0"/>
              <w:bottom w:val="nil"/>
              <w:right w:val="nil"/>
            </w:tcBorders>
            <w:vAlign w:val="top"/>
          </w:tcPr>
          <w:p>
            <w:pPr>
              <w:rPr>
                <w:rFonts w:ascii="Arial"/>
                <w:sz w:val="21"/>
              </w:rPr>
            </w:pPr>
          </w:p>
        </w:tc>
      </w:tr>
    </w:tbl>
    <w:p>
      <w:pPr>
        <w:spacing w:line="245" w:lineRule="auto"/>
        <w:rPr>
          <w:rFonts w:ascii="Arial"/>
          <w:sz w:val="21"/>
        </w:rPr>
      </w:pPr>
    </w:p>
    <w:p>
      <w:pPr>
        <w:spacing w:before="65" w:line="382" w:lineRule="exact"/>
        <w:ind w:left="3716"/>
        <w:rPr>
          <w:rFonts w:ascii="SimHei" w:hAnsi="SimHei" w:eastAsia="SimHei" w:cs="SimHei"/>
          <w:sz w:val="20"/>
          <w:szCs w:val="20"/>
        </w:rPr>
      </w:pPr>
      <w:r>
        <w:rPr>
          <w:rFonts w:ascii="SimHei" w:hAnsi="SimHei" w:eastAsia="SimHei" w:cs="SimHei"/>
          <w:color w:val="231F20"/>
          <w:spacing w:val="2"/>
          <w:position w:val="13"/>
          <w:sz w:val="20"/>
          <w:szCs w:val="20"/>
        </w:rPr>
        <w:t xml:space="preserve">图 </w:t>
      </w:r>
      <w:r>
        <w:rPr>
          <w:rFonts w:ascii="Times New Roman" w:hAnsi="Times New Roman" w:eastAsia="Times New Roman" w:cs="Times New Roman"/>
          <w:color w:val="231F20"/>
          <w:spacing w:val="2"/>
          <w:position w:val="13"/>
          <w:sz w:val="20"/>
          <w:szCs w:val="20"/>
        </w:rPr>
        <w:t xml:space="preserve">2- 1 2016-2020 </w:t>
      </w:r>
      <w:r>
        <w:rPr>
          <w:rFonts w:ascii="SimHei" w:hAnsi="SimHei" w:eastAsia="SimHei" w:cs="SimHei"/>
          <w:color w:val="231F20"/>
          <w:spacing w:val="1"/>
          <w:position w:val="13"/>
          <w:sz w:val="20"/>
          <w:szCs w:val="20"/>
        </w:rPr>
        <w:t>年规模以上医药企业营收利润率情况</w:t>
      </w:r>
    </w:p>
    <w:p>
      <w:pPr>
        <w:spacing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pacing w:line="349" w:lineRule="auto"/>
        <w:rPr>
          <w:rFonts w:ascii="Arial"/>
          <w:sz w:val="21"/>
        </w:rPr>
      </w:pPr>
    </w:p>
    <w:p>
      <w:pPr>
        <w:spacing w:line="350" w:lineRule="auto"/>
        <w:rPr>
          <w:rFonts w:ascii="Arial"/>
          <w:sz w:val="21"/>
        </w:rPr>
      </w:pPr>
    </w:p>
    <w:p>
      <w:pPr>
        <w:spacing w:before="65" w:line="281" w:lineRule="exact"/>
        <w:ind w:left="2303"/>
        <w:rPr>
          <w:rFonts w:ascii="宋体" w:hAnsi="宋体" w:eastAsia="宋体" w:cs="宋体"/>
          <w:sz w:val="20"/>
          <w:szCs w:val="20"/>
        </w:rPr>
      </w:pPr>
      <w:r>
        <w:rPr>
          <w:rFonts w:ascii="宋体" w:hAnsi="宋体" w:eastAsia="宋体" w:cs="宋体"/>
          <w:color w:val="030303"/>
          <w:spacing w:val="4"/>
          <w:position w:val="2"/>
          <w:sz w:val="20"/>
          <w:szCs w:val="20"/>
        </w:rPr>
        <w:t>万</w:t>
      </w:r>
      <w:r>
        <w:rPr>
          <w:rFonts w:ascii="宋体" w:hAnsi="宋体" w:eastAsia="宋体" w:cs="宋体"/>
          <w:color w:val="030303"/>
          <w:spacing w:val="3"/>
          <w:position w:val="2"/>
          <w:sz w:val="20"/>
          <w:szCs w:val="20"/>
        </w:rPr>
        <w:t>元</w:t>
      </w:r>
      <w:r>
        <w:rPr>
          <w:rFonts w:ascii="Calibri" w:hAnsi="Calibri" w:eastAsia="Calibri" w:cs="Calibri"/>
          <w:color w:val="030303"/>
          <w:spacing w:val="3"/>
          <w:position w:val="2"/>
          <w:sz w:val="20"/>
          <w:szCs w:val="20"/>
        </w:rPr>
        <w:t>/</w:t>
      </w:r>
      <w:r>
        <w:rPr>
          <w:rFonts w:ascii="宋体" w:hAnsi="宋体" w:eastAsia="宋体" w:cs="宋体"/>
          <w:color w:val="030303"/>
          <w:spacing w:val="3"/>
          <w:position w:val="2"/>
          <w:sz w:val="20"/>
          <w:szCs w:val="20"/>
        </w:rPr>
        <w:t>人</w:t>
      </w:r>
    </w:p>
    <w:p>
      <w:pPr>
        <w:spacing w:line="178" w:lineRule="exact"/>
      </w:pPr>
    </w:p>
    <w:p>
      <w:pPr>
        <w:sectPr>
          <w:pgSz w:w="12246" w:h="16498"/>
          <w:pgMar w:top="400" w:right="0" w:bottom="400" w:left="0" w:header="0" w:footer="0" w:gutter="0"/>
          <w:cols w:equalWidth="0" w:num="1">
            <w:col w:w="12246"/>
          </w:cols>
        </w:sectPr>
      </w:pPr>
    </w:p>
    <w:p>
      <w:pPr>
        <w:spacing w:before="94" w:line="182" w:lineRule="auto"/>
        <w:ind w:right="5"/>
        <w:jc w:val="right"/>
        <w:rPr>
          <w:rFonts w:ascii="Calibri" w:hAnsi="Calibri" w:eastAsia="Calibri" w:cs="Calibri"/>
          <w:sz w:val="19"/>
          <w:szCs w:val="19"/>
        </w:rPr>
      </w:pPr>
      <w:r>
        <w:rPr>
          <w:rFonts w:ascii="Calibri" w:hAnsi="Calibri" w:eastAsia="Calibri" w:cs="Calibri"/>
          <w:color w:val="030303"/>
          <w:spacing w:val="-2"/>
          <w:sz w:val="19"/>
          <w:szCs w:val="19"/>
        </w:rPr>
        <w:t>1</w:t>
      </w:r>
      <w:r>
        <w:rPr>
          <w:rFonts w:ascii="Calibri" w:hAnsi="Calibri" w:eastAsia="Calibri" w:cs="Calibri"/>
          <w:color w:val="030303"/>
          <w:spacing w:val="-1"/>
          <w:sz w:val="19"/>
          <w:szCs w:val="19"/>
        </w:rPr>
        <w:t>60</w:t>
      </w:r>
    </w:p>
    <w:p>
      <w:pPr>
        <w:spacing w:before="174" w:line="182" w:lineRule="auto"/>
        <w:ind w:right="5"/>
        <w:jc w:val="right"/>
        <w:rPr>
          <w:rFonts w:ascii="Calibri" w:hAnsi="Calibri" w:eastAsia="Calibri" w:cs="Calibri"/>
          <w:sz w:val="19"/>
          <w:szCs w:val="19"/>
        </w:rPr>
      </w:pPr>
      <w:r>
        <w:rPr>
          <w:rFonts w:ascii="Calibri" w:hAnsi="Calibri" w:eastAsia="Calibri" w:cs="Calibri"/>
          <w:color w:val="030303"/>
          <w:spacing w:val="-2"/>
          <w:sz w:val="19"/>
          <w:szCs w:val="19"/>
        </w:rPr>
        <w:t>1</w:t>
      </w:r>
      <w:r>
        <w:rPr>
          <w:rFonts w:ascii="Calibri" w:hAnsi="Calibri" w:eastAsia="Calibri" w:cs="Calibri"/>
          <w:color w:val="030303"/>
          <w:spacing w:val="-1"/>
          <w:sz w:val="19"/>
          <w:szCs w:val="19"/>
        </w:rPr>
        <w:t>40</w:t>
      </w:r>
    </w:p>
    <w:p>
      <w:pPr>
        <w:spacing w:before="175" w:line="182" w:lineRule="auto"/>
        <w:ind w:right="5"/>
        <w:jc w:val="right"/>
        <w:rPr>
          <w:rFonts w:ascii="Calibri" w:hAnsi="Calibri" w:eastAsia="Calibri" w:cs="Calibri"/>
          <w:sz w:val="19"/>
          <w:szCs w:val="19"/>
        </w:rPr>
      </w:pPr>
      <w:r>
        <w:rPr>
          <w:rFonts w:ascii="Calibri" w:hAnsi="Calibri" w:eastAsia="Calibri" w:cs="Calibri"/>
          <w:color w:val="030303"/>
          <w:spacing w:val="-2"/>
          <w:sz w:val="19"/>
          <w:szCs w:val="19"/>
        </w:rPr>
        <w:t>1</w:t>
      </w:r>
      <w:r>
        <w:rPr>
          <w:rFonts w:ascii="Calibri" w:hAnsi="Calibri" w:eastAsia="Calibri" w:cs="Calibri"/>
          <w:color w:val="030303"/>
          <w:spacing w:val="-1"/>
          <w:sz w:val="19"/>
          <w:szCs w:val="19"/>
        </w:rPr>
        <w:t>20</w:t>
      </w:r>
    </w:p>
    <w:p>
      <w:pPr>
        <w:spacing w:before="175" w:line="182" w:lineRule="auto"/>
        <w:ind w:right="5"/>
        <w:jc w:val="right"/>
        <w:rPr>
          <w:rFonts w:ascii="Calibri" w:hAnsi="Calibri" w:eastAsia="Calibri" w:cs="Calibri"/>
          <w:sz w:val="19"/>
          <w:szCs w:val="19"/>
        </w:rPr>
      </w:pPr>
      <w:r>
        <w:rPr>
          <w:rFonts w:ascii="Calibri" w:hAnsi="Calibri" w:eastAsia="Calibri" w:cs="Calibri"/>
          <w:color w:val="030303"/>
          <w:spacing w:val="-2"/>
          <w:sz w:val="19"/>
          <w:szCs w:val="19"/>
        </w:rPr>
        <w:t>1</w:t>
      </w:r>
      <w:r>
        <w:rPr>
          <w:rFonts w:ascii="Calibri" w:hAnsi="Calibri" w:eastAsia="Calibri" w:cs="Calibri"/>
          <w:color w:val="030303"/>
          <w:spacing w:val="-1"/>
          <w:sz w:val="19"/>
          <w:szCs w:val="19"/>
        </w:rPr>
        <w:t>00</w:t>
      </w:r>
    </w:p>
    <w:p>
      <w:pPr>
        <w:spacing w:before="175" w:line="182" w:lineRule="auto"/>
        <w:ind w:right="7"/>
        <w:jc w:val="right"/>
        <w:rPr>
          <w:rFonts w:ascii="Calibri" w:hAnsi="Calibri" w:eastAsia="Calibri" w:cs="Calibri"/>
          <w:sz w:val="19"/>
          <w:szCs w:val="19"/>
        </w:rPr>
      </w:pPr>
      <w:r>
        <w:rPr>
          <w:rFonts w:ascii="Calibri" w:hAnsi="Calibri" w:eastAsia="Calibri" w:cs="Calibri"/>
          <w:color w:val="030303"/>
          <w:spacing w:val="-1"/>
          <w:sz w:val="19"/>
          <w:szCs w:val="19"/>
        </w:rPr>
        <w:t>8</w:t>
      </w:r>
      <w:r>
        <w:rPr>
          <w:rFonts w:ascii="Calibri" w:hAnsi="Calibri" w:eastAsia="Calibri" w:cs="Calibri"/>
          <w:color w:val="030303"/>
          <w:sz w:val="19"/>
          <w:szCs w:val="19"/>
        </w:rPr>
        <w:t>0</w:t>
      </w:r>
    </w:p>
    <w:p>
      <w:pPr>
        <w:spacing w:before="174" w:line="182" w:lineRule="auto"/>
        <w:ind w:right="6"/>
        <w:jc w:val="right"/>
        <w:rPr>
          <w:rFonts w:ascii="Calibri" w:hAnsi="Calibri" w:eastAsia="Calibri" w:cs="Calibri"/>
          <w:sz w:val="19"/>
          <w:szCs w:val="19"/>
        </w:rPr>
      </w:pPr>
      <w:r>
        <w:rPr>
          <w:rFonts w:ascii="Calibri" w:hAnsi="Calibri" w:eastAsia="Calibri" w:cs="Calibri"/>
          <w:color w:val="030303"/>
          <w:spacing w:val="-1"/>
          <w:sz w:val="19"/>
          <w:szCs w:val="19"/>
        </w:rPr>
        <w:t>60</w:t>
      </w:r>
    </w:p>
    <w:p>
      <w:pPr>
        <w:spacing w:before="175" w:line="182" w:lineRule="auto"/>
        <w:ind w:right="7"/>
        <w:jc w:val="right"/>
        <w:rPr>
          <w:rFonts w:ascii="Calibri" w:hAnsi="Calibri" w:eastAsia="Calibri" w:cs="Calibri"/>
          <w:sz w:val="19"/>
          <w:szCs w:val="19"/>
        </w:rPr>
      </w:pPr>
      <w:r>
        <w:rPr>
          <w:rFonts w:ascii="Calibri" w:hAnsi="Calibri" w:eastAsia="Calibri" w:cs="Calibri"/>
          <w:color w:val="030303"/>
          <w:spacing w:val="1"/>
          <w:sz w:val="19"/>
          <w:szCs w:val="19"/>
        </w:rPr>
        <w:t>40</w:t>
      </w:r>
    </w:p>
    <w:p>
      <w:pPr>
        <w:spacing w:before="176" w:line="182" w:lineRule="auto"/>
        <w:ind w:right="5"/>
        <w:jc w:val="right"/>
        <w:rPr>
          <w:rFonts w:ascii="Calibri" w:hAnsi="Calibri" w:eastAsia="Calibri" w:cs="Calibri"/>
          <w:sz w:val="19"/>
          <w:szCs w:val="19"/>
        </w:rPr>
      </w:pPr>
      <w:r>
        <w:rPr>
          <w:rFonts w:ascii="Calibri" w:hAnsi="Calibri" w:eastAsia="Calibri" w:cs="Calibri"/>
          <w:color w:val="030303"/>
          <w:spacing w:val="-1"/>
          <w:sz w:val="19"/>
          <w:szCs w:val="19"/>
        </w:rPr>
        <w:t>20</w:t>
      </w:r>
    </w:p>
    <w:p>
      <w:pPr>
        <w:spacing w:before="175" w:line="182" w:lineRule="auto"/>
        <w:ind w:right="3"/>
        <w:jc w:val="right"/>
        <w:rPr>
          <w:rFonts w:ascii="Calibri" w:hAnsi="Calibri" w:eastAsia="Calibri" w:cs="Calibri"/>
          <w:sz w:val="19"/>
          <w:szCs w:val="19"/>
        </w:rPr>
      </w:pPr>
      <w:r>
        <w:rPr>
          <w:rFonts w:ascii="Calibri" w:hAnsi="Calibri" w:eastAsia="Calibri" w:cs="Calibri"/>
          <w:color w:val="030303"/>
          <w:sz w:val="19"/>
          <w:szCs w:val="19"/>
        </w:rPr>
        <w:t>0</w:t>
      </w:r>
    </w:p>
    <w:p>
      <w:pPr>
        <w:spacing w:line="14" w:lineRule="auto"/>
        <w:rPr>
          <w:rFonts w:ascii="Arial"/>
          <w:sz w:val="2"/>
        </w:rPr>
      </w:pPr>
      <w:r>
        <w:rPr>
          <w:rFonts w:ascii="Arial" w:hAnsi="Arial" w:eastAsia="Arial" w:cs="Arial"/>
          <w:sz w:val="2"/>
          <w:szCs w:val="2"/>
        </w:rPr>
        <w:br w:type="column"/>
      </w:r>
    </w:p>
    <w:p/>
    <w:p/>
    <w:p/>
    <w:p/>
    <w:p/>
    <w:p>
      <w:pPr>
        <w:spacing w:line="14" w:lineRule="exact"/>
      </w:pPr>
    </w:p>
    <w:tbl>
      <w:tblPr>
        <w:tblStyle w:val="4"/>
        <w:tblW w:w="7221" w:type="dxa"/>
        <w:tblInd w:w="13"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519"/>
        <w:gridCol w:w="1589"/>
        <w:gridCol w:w="1436"/>
        <w:gridCol w:w="1452"/>
        <w:gridCol w:w="1225"/>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53" w:hRule="atLeast"/>
        </w:trPr>
        <w:tc>
          <w:tcPr>
            <w:tcW w:w="7221" w:type="dxa"/>
            <w:gridSpan w:val="5"/>
            <w:tcBorders>
              <w:top w:val="dashed" w:color="CEE6ED" w:sz="2" w:space="0"/>
              <w:bottom w:val="dashed" w:color="CEE6ED" w:sz="2" w:space="0"/>
            </w:tcBorders>
            <w:vAlign w:val="top"/>
          </w:tcPr>
          <w:p>
            <w:pPr>
              <w:spacing w:before="179" w:line="173" w:lineRule="exact"/>
              <w:ind w:left="6068"/>
              <w:rPr>
                <w:rFonts w:ascii="微软雅黑" w:hAnsi="微软雅黑" w:eastAsia="微软雅黑" w:cs="微软雅黑"/>
                <w:sz w:val="19"/>
                <w:szCs w:val="19"/>
              </w:rPr>
            </w:pPr>
            <w:r>
              <w:pict>
                <v:shape id="_x0000_s1211" o:spid="_x0000_s1211" o:spt="202" type="#_x0000_t202" style="position:absolute;left:0pt;margin-left:-1pt;margin-top:-10.7pt;height:31.95pt;width:4.1pt;mso-position-horizontal-relative:page;mso-position-vertical-relative:page;z-index:251854848;mso-width-relative:page;mso-height-relative:page;" filled="f" stroked="f" coordsize="21600,21600">
                  <v:path/>
                  <v:fill on="f" focussize="0,0"/>
                  <v:stroke on="f"/>
                  <v:imagedata o:title=""/>
                  <o:lock v:ext="edit" aspectratio="f"/>
                  <v:textbox inset="0mm,0mm,0mm,0mm">
                    <w:txbxContent>
                      <w:p>
                        <w:pPr>
                          <w:tabs>
                            <w:tab w:val="left" w:pos="60"/>
                          </w:tabs>
                          <w:spacing w:before="20" w:line="241" w:lineRule="exact"/>
                          <w:ind w:left="20"/>
                          <w:rPr>
                            <w:rFonts w:ascii="Arial"/>
                            <w:sz w:val="21"/>
                          </w:rPr>
                        </w:pPr>
                        <w:r>
                          <w:rPr>
                            <w:rFonts w:ascii="Arial" w:hAnsi="Arial" w:eastAsia="Arial" w:cs="Arial"/>
                            <w:sz w:val="21"/>
                            <w:szCs w:val="21"/>
                            <w:u w:val="single" w:color="auto"/>
                          </w:rPr>
                          <w:tab/>
                        </w:r>
                      </w:p>
                      <w:p>
                        <w:pPr>
                          <w:tabs>
                            <w:tab w:val="left" w:pos="60"/>
                          </w:tabs>
                          <w:spacing w:before="115" w:line="241" w:lineRule="exact"/>
                          <w:ind w:left="20"/>
                          <w:rPr>
                            <w:rFonts w:ascii="Arial"/>
                            <w:sz w:val="21"/>
                          </w:rPr>
                        </w:pPr>
                        <w:r>
                          <w:rPr>
                            <w:rFonts w:ascii="Arial" w:hAnsi="Arial" w:eastAsia="Arial" w:cs="Arial"/>
                            <w:sz w:val="21"/>
                            <w:szCs w:val="21"/>
                            <w:u w:val="single" w:color="auto"/>
                          </w:rPr>
                          <w:tab/>
                        </w:r>
                      </w:p>
                    </w:txbxContent>
                  </v:textbox>
                </v:shape>
              </w:pict>
            </w:r>
            <w:r>
              <w:rPr>
                <w:rFonts w:ascii="微软雅黑" w:hAnsi="微软雅黑" w:eastAsia="微软雅黑" w:cs="微软雅黑"/>
                <w:color w:val="030303"/>
                <w:position w:val="-2"/>
                <w:sz w:val="19"/>
                <w:szCs w:val="19"/>
              </w:rPr>
              <w:t>151.5</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44" w:hRule="atLeast"/>
        </w:trPr>
        <w:tc>
          <w:tcPr>
            <w:tcW w:w="1519" w:type="dxa"/>
            <w:tcBorders>
              <w:top w:val="dashed" w:color="CEE6ED" w:sz="2" w:space="0"/>
              <w:bottom w:val="dashed" w:color="CEE6ED" w:sz="2" w:space="0"/>
            </w:tcBorders>
            <w:vAlign w:val="top"/>
          </w:tcPr>
          <w:p>
            <w:pPr>
              <w:spacing w:before="59" w:line="175" w:lineRule="auto"/>
              <w:ind w:left="366"/>
              <w:rPr>
                <w:rFonts w:ascii="微软雅黑" w:hAnsi="微软雅黑" w:eastAsia="微软雅黑" w:cs="微软雅黑"/>
                <w:sz w:val="19"/>
                <w:szCs w:val="19"/>
              </w:rPr>
            </w:pPr>
            <w:r>
              <w:rPr>
                <w:rFonts w:ascii="微软雅黑" w:hAnsi="微软雅黑" w:eastAsia="微软雅黑" w:cs="微软雅黑"/>
                <w:color w:val="030303"/>
                <w:sz w:val="19"/>
                <w:szCs w:val="19"/>
              </w:rPr>
              <w:t>130.0</w:t>
            </w:r>
          </w:p>
        </w:tc>
        <w:tc>
          <w:tcPr>
            <w:tcW w:w="1589" w:type="dxa"/>
            <w:tcBorders>
              <w:top w:val="dashed" w:color="CEE6ED" w:sz="2" w:space="0"/>
              <w:bottom w:val="dashed" w:color="CEE6ED" w:sz="2" w:space="0"/>
            </w:tcBorders>
            <w:vAlign w:val="top"/>
          </w:tcPr>
          <w:p>
            <w:pPr>
              <w:rPr>
                <w:rFonts w:ascii="Arial"/>
                <w:sz w:val="21"/>
              </w:rPr>
            </w:pPr>
          </w:p>
        </w:tc>
        <w:tc>
          <w:tcPr>
            <w:tcW w:w="1436" w:type="dxa"/>
            <w:tcBorders>
              <w:top w:val="dashed" w:color="CEE6ED" w:sz="2" w:space="0"/>
              <w:bottom w:val="dashed" w:color="CEE6ED" w:sz="2" w:space="0"/>
            </w:tcBorders>
            <w:vAlign w:val="top"/>
          </w:tcPr>
          <w:p>
            <w:pPr>
              <w:spacing w:before="217" w:line="127" w:lineRule="exact"/>
              <w:ind w:left="494"/>
              <w:rPr>
                <w:rFonts w:ascii="微软雅黑" w:hAnsi="微软雅黑" w:eastAsia="微软雅黑" w:cs="微软雅黑"/>
                <w:sz w:val="16"/>
                <w:szCs w:val="16"/>
              </w:rPr>
            </w:pPr>
            <w:r>
              <w:rPr>
                <w:rFonts w:ascii="微软雅黑" w:hAnsi="微软雅黑" w:eastAsia="微软雅黑" w:cs="微软雅黑"/>
                <w:color w:val="030303"/>
                <w:spacing w:val="18"/>
                <w:position w:val="-2"/>
                <w:sz w:val="16"/>
                <w:szCs w:val="16"/>
              </w:rPr>
              <w:t>1</w:t>
            </w:r>
            <w:r>
              <w:rPr>
                <w:rFonts w:ascii="微软雅黑" w:hAnsi="微软雅黑" w:eastAsia="微软雅黑" w:cs="微软雅黑"/>
                <w:color w:val="030303"/>
                <w:spacing w:val="15"/>
                <w:position w:val="-2"/>
                <w:sz w:val="16"/>
                <w:szCs w:val="16"/>
              </w:rPr>
              <w:t>16.9</w:t>
            </w:r>
          </w:p>
        </w:tc>
        <w:tc>
          <w:tcPr>
            <w:tcW w:w="1452" w:type="dxa"/>
            <w:tcBorders>
              <w:top w:val="dashed" w:color="CEE6ED" w:sz="2" w:space="0"/>
              <w:bottom w:val="dashed" w:color="CEE6ED" w:sz="2" w:space="0"/>
            </w:tcBorders>
            <w:vAlign w:val="top"/>
          </w:tcPr>
          <w:p>
            <w:pPr>
              <w:spacing w:before="222" w:line="122" w:lineRule="exact"/>
              <w:ind w:left="500"/>
              <w:rPr>
                <w:rFonts w:ascii="微软雅黑" w:hAnsi="微软雅黑" w:eastAsia="微软雅黑" w:cs="微软雅黑"/>
                <w:sz w:val="15"/>
                <w:szCs w:val="15"/>
              </w:rPr>
            </w:pPr>
            <w:r>
              <w:rPr>
                <w:rFonts w:ascii="微软雅黑" w:hAnsi="微软雅黑" w:eastAsia="微软雅黑" w:cs="微软雅黑"/>
                <w:color w:val="030303"/>
                <w:spacing w:val="21"/>
                <w:position w:val="-2"/>
                <w:sz w:val="15"/>
                <w:szCs w:val="15"/>
              </w:rPr>
              <w:t>119.</w:t>
            </w:r>
            <w:r>
              <w:rPr>
                <w:rFonts w:ascii="微软雅黑" w:hAnsi="微软雅黑" w:eastAsia="微软雅黑" w:cs="微软雅黑"/>
                <w:color w:val="030303"/>
                <w:spacing w:val="20"/>
                <w:position w:val="-2"/>
                <w:sz w:val="15"/>
                <w:szCs w:val="15"/>
              </w:rPr>
              <w:t>7</w:t>
            </w:r>
          </w:p>
        </w:tc>
        <w:tc>
          <w:tcPr>
            <w:tcW w:w="1225" w:type="dxa"/>
            <w:tcBorders>
              <w:top w:val="dashed" w:color="CEE6ED" w:sz="2" w:space="0"/>
              <w:bottom w:val="dashed" w:color="CEE6ED" w:sz="2" w:space="0"/>
            </w:tcBorders>
            <w:vAlign w:val="top"/>
          </w:tcPr>
          <w:p>
            <w:pPr>
              <w:spacing w:before="195" w:line="149" w:lineRule="exact"/>
              <w:ind w:left="470"/>
              <w:rPr>
                <w:rFonts w:ascii="微软雅黑" w:hAnsi="微软雅黑" w:eastAsia="微软雅黑" w:cs="微软雅黑"/>
                <w:sz w:val="18"/>
                <w:szCs w:val="18"/>
              </w:rPr>
            </w:pPr>
            <w:r>
              <w:rPr>
                <w:rFonts w:ascii="微软雅黑" w:hAnsi="微软雅黑" w:eastAsia="微软雅黑" w:cs="微软雅黑"/>
                <w:color w:val="030303"/>
                <w:spacing w:val="6"/>
                <w:position w:val="-2"/>
                <w:sz w:val="18"/>
                <w:szCs w:val="18"/>
              </w:rPr>
              <w:t>1</w:t>
            </w:r>
            <w:r>
              <w:rPr>
                <w:rFonts w:ascii="微软雅黑" w:hAnsi="微软雅黑" w:eastAsia="微软雅黑" w:cs="微软雅黑"/>
                <w:color w:val="030303"/>
                <w:spacing w:val="5"/>
                <w:position w:val="-2"/>
                <w:sz w:val="18"/>
                <w:szCs w:val="18"/>
              </w:rPr>
              <w:t>17.2</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52" w:hRule="atLeast"/>
        </w:trPr>
        <w:tc>
          <w:tcPr>
            <w:tcW w:w="1519" w:type="dxa"/>
            <w:tcBorders>
              <w:top w:val="dashed" w:color="CEE6ED" w:sz="2" w:space="0"/>
              <w:bottom w:val="dashed" w:color="CEE6ED" w:sz="2" w:space="0"/>
            </w:tcBorders>
            <w:vAlign w:val="top"/>
          </w:tcPr>
          <w:p>
            <w:pPr>
              <w:spacing w:line="147" w:lineRule="exact"/>
              <w:ind w:left="764"/>
              <w:rPr>
                <w:rFonts w:ascii="微软雅黑" w:hAnsi="微软雅黑" w:eastAsia="微软雅黑" w:cs="微软雅黑"/>
                <w:sz w:val="18"/>
                <w:szCs w:val="18"/>
              </w:rPr>
            </w:pPr>
            <w:r>
              <w:pict>
                <v:rect id="_x0000_s1212" o:spid="_x0000_s1212" o:spt="1" style="position:absolute;left:0pt;margin-left:0pt;margin-top:0.25pt;height:0.3pt;width:2.1pt;mso-position-horizontal-relative:page;mso-position-vertical-relative:page;z-index:251843584;mso-width-relative:page;mso-height-relative:page;" fillcolor="#231F20" filled="t" stroked="f" coordsize="21600,21600">
                  <v:path/>
                  <v:fill on="t" focussize="0,0"/>
                  <v:stroke on="f"/>
                  <v:imagedata o:title=""/>
                  <o:lock v:ext="edit"/>
                </v:rect>
              </w:pict>
            </w:r>
            <w:r>
              <w:rPr>
                <w:rFonts w:ascii="微软雅黑" w:hAnsi="微软雅黑" w:eastAsia="微软雅黑" w:cs="微软雅黑"/>
                <w:color w:val="030303"/>
                <w:spacing w:val="6"/>
                <w:position w:val="-2"/>
                <w:sz w:val="18"/>
                <w:szCs w:val="18"/>
              </w:rPr>
              <w:t>1</w:t>
            </w:r>
            <w:r>
              <w:rPr>
                <w:rFonts w:ascii="微软雅黑" w:hAnsi="微软雅黑" w:eastAsia="微软雅黑" w:cs="微软雅黑"/>
                <w:color w:val="030303"/>
                <w:spacing w:val="5"/>
                <w:position w:val="-2"/>
                <w:sz w:val="18"/>
                <w:szCs w:val="18"/>
              </w:rPr>
              <w:t>19.6</w:t>
            </w:r>
          </w:p>
          <w:p>
            <w:pPr>
              <w:tabs>
                <w:tab w:val="left" w:pos="40"/>
              </w:tabs>
              <w:spacing w:line="204" w:lineRule="exact"/>
              <w:rPr>
                <w:rFonts w:ascii="Arial"/>
                <w:sz w:val="21"/>
              </w:rPr>
            </w:pPr>
            <w:r>
              <w:rPr>
                <w:rFonts w:ascii="Arial" w:hAnsi="Arial" w:eastAsia="Arial" w:cs="Arial"/>
                <w:position w:val="-2"/>
                <w:sz w:val="21"/>
                <w:szCs w:val="21"/>
                <w:u w:val="single" w:color="auto"/>
              </w:rPr>
              <w:tab/>
            </w:r>
          </w:p>
        </w:tc>
        <w:tc>
          <w:tcPr>
            <w:tcW w:w="1589" w:type="dxa"/>
            <w:tcBorders>
              <w:top w:val="dashed" w:color="CEE6ED" w:sz="2" w:space="0"/>
              <w:bottom w:val="dashed" w:color="CEE6ED" w:sz="2" w:space="0"/>
            </w:tcBorders>
            <w:vAlign w:val="top"/>
          </w:tcPr>
          <w:p>
            <w:pPr>
              <w:rPr>
                <w:rFonts w:ascii="Arial"/>
                <w:sz w:val="21"/>
              </w:rPr>
            </w:pPr>
          </w:p>
        </w:tc>
        <w:tc>
          <w:tcPr>
            <w:tcW w:w="1436" w:type="dxa"/>
            <w:tcBorders>
              <w:top w:val="dashed" w:color="CEE6ED" w:sz="2" w:space="0"/>
              <w:bottom w:val="dashed" w:color="CEE6ED" w:sz="2" w:space="0"/>
            </w:tcBorders>
            <w:vAlign w:val="top"/>
          </w:tcPr>
          <w:p>
            <w:pPr>
              <w:rPr>
                <w:rFonts w:ascii="Arial"/>
                <w:sz w:val="21"/>
              </w:rPr>
            </w:pPr>
          </w:p>
        </w:tc>
        <w:tc>
          <w:tcPr>
            <w:tcW w:w="1452" w:type="dxa"/>
            <w:tcBorders>
              <w:top w:val="dashed" w:color="CEE6ED" w:sz="2" w:space="0"/>
              <w:bottom w:val="dashed" w:color="CEE6ED" w:sz="2" w:space="0"/>
            </w:tcBorders>
            <w:vAlign w:val="top"/>
          </w:tcPr>
          <w:p>
            <w:pPr>
              <w:rPr>
                <w:rFonts w:ascii="Arial"/>
                <w:sz w:val="21"/>
              </w:rPr>
            </w:pPr>
          </w:p>
        </w:tc>
        <w:tc>
          <w:tcPr>
            <w:tcW w:w="1225" w:type="dxa"/>
            <w:tcBorders>
              <w:top w:val="dashed" w:color="CEE6ED" w:sz="2" w:space="0"/>
              <w:bottom w:val="dashed" w:color="CEE6ED" w:sz="2" w:space="0"/>
            </w:tcBorders>
            <w:vAlign w:val="top"/>
          </w:tcPr>
          <w:p>
            <w:pPr>
              <w:rPr>
                <w:rFonts w:ascii="Arial"/>
                <w:sz w:val="21"/>
              </w:rPr>
            </w:pPr>
          </w:p>
        </w:tc>
      </w:tr>
    </w:tbl>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58" w:line="425" w:lineRule="exact"/>
        <w:ind w:left="638"/>
        <w:rPr>
          <w:rFonts w:ascii="Calibri" w:hAnsi="Calibri" w:eastAsia="Calibri" w:cs="Calibri"/>
          <w:sz w:val="19"/>
          <w:szCs w:val="19"/>
        </w:rPr>
      </w:pPr>
      <w:r>
        <w:rPr>
          <w:rFonts w:ascii="Calibri" w:hAnsi="Calibri" w:eastAsia="Calibri" w:cs="Calibri"/>
          <w:color w:val="030303"/>
          <w:spacing w:val="1"/>
          <w:position w:val="22"/>
          <w:sz w:val="19"/>
          <w:szCs w:val="19"/>
        </w:rPr>
        <w:t xml:space="preserve">2016                        2017  </w:t>
      </w:r>
      <w:r>
        <w:rPr>
          <w:rFonts w:ascii="Calibri" w:hAnsi="Calibri" w:eastAsia="Calibri" w:cs="Calibri"/>
          <w:color w:val="030303"/>
          <w:position w:val="22"/>
          <w:sz w:val="19"/>
          <w:szCs w:val="19"/>
        </w:rPr>
        <w:t xml:space="preserve">                      2018                        2019                        2020</w:t>
      </w:r>
    </w:p>
    <w:p>
      <w:pPr>
        <w:spacing w:line="189" w:lineRule="auto"/>
        <w:ind w:left="561"/>
        <w:rPr>
          <w:rFonts w:ascii="宋体" w:hAnsi="宋体" w:eastAsia="宋体" w:cs="宋体"/>
          <w:sz w:val="19"/>
          <w:szCs w:val="19"/>
        </w:rPr>
      </w:pPr>
      <w:r>
        <w:rPr>
          <w:rFonts w:ascii="宋体" w:hAnsi="宋体" w:eastAsia="宋体" w:cs="宋体"/>
          <w:color w:val="030303"/>
          <w:spacing w:val="11"/>
          <w:sz w:val="19"/>
          <w:szCs w:val="19"/>
        </w:rPr>
        <w:t>外资医药制造企业人均营业收入  全国医药制造企业人均营业收</w:t>
      </w:r>
      <w:r>
        <w:rPr>
          <w:rFonts w:ascii="宋体" w:hAnsi="宋体" w:eastAsia="宋体" w:cs="宋体"/>
          <w:color w:val="030303"/>
          <w:spacing w:val="10"/>
          <w:sz w:val="19"/>
          <w:szCs w:val="19"/>
        </w:rPr>
        <w:t>入</w:t>
      </w:r>
    </w:p>
    <w:p>
      <w:pPr>
        <w:sectPr>
          <w:type w:val="continuous"/>
          <w:pgSz w:w="12246" w:h="16498"/>
          <w:pgMar w:top="400" w:right="0" w:bottom="400" w:left="0" w:header="0" w:footer="0" w:gutter="0"/>
          <w:cols w:equalWidth="0" w:num="2">
            <w:col w:w="2616" w:space="100"/>
            <w:col w:w="9531"/>
          </w:cols>
        </w:sectPr>
      </w:pPr>
    </w:p>
    <w:p>
      <w:pPr>
        <w:spacing w:before="297" w:line="382" w:lineRule="exact"/>
        <w:ind w:left="3198"/>
        <w:rPr>
          <w:rFonts w:ascii="SimHei" w:hAnsi="SimHei" w:eastAsia="SimHei" w:cs="SimHei"/>
          <w:sz w:val="20"/>
          <w:szCs w:val="20"/>
        </w:rPr>
      </w:pPr>
      <w:r>
        <w:rPr>
          <w:rFonts w:ascii="SimHei" w:hAnsi="SimHei" w:eastAsia="SimHei" w:cs="SimHei"/>
          <w:color w:val="231F20"/>
          <w:spacing w:val="6"/>
          <w:position w:val="13"/>
          <w:sz w:val="20"/>
          <w:szCs w:val="20"/>
        </w:rPr>
        <w:t xml:space="preserve">图 </w:t>
      </w:r>
      <w:r>
        <w:rPr>
          <w:rFonts w:ascii="Times New Roman" w:hAnsi="Times New Roman" w:eastAsia="Times New Roman" w:cs="Times New Roman"/>
          <w:color w:val="231F20"/>
          <w:spacing w:val="6"/>
          <w:position w:val="13"/>
          <w:sz w:val="20"/>
          <w:szCs w:val="20"/>
        </w:rPr>
        <w:t>2-2 20</w:t>
      </w:r>
      <w:r>
        <w:rPr>
          <w:rFonts w:ascii="Times New Roman" w:hAnsi="Times New Roman" w:eastAsia="Times New Roman" w:cs="Times New Roman"/>
          <w:color w:val="231F20"/>
          <w:spacing w:val="3"/>
          <w:position w:val="13"/>
          <w:sz w:val="20"/>
          <w:szCs w:val="20"/>
        </w:rPr>
        <w:t xml:space="preserve">16-2020 </w:t>
      </w:r>
      <w:r>
        <w:rPr>
          <w:rFonts w:ascii="SimHei" w:hAnsi="SimHei" w:eastAsia="SimHei" w:cs="SimHei"/>
          <w:color w:val="231F20"/>
          <w:spacing w:val="3"/>
          <w:position w:val="13"/>
          <w:sz w:val="20"/>
          <w:szCs w:val="20"/>
        </w:rPr>
        <w:t>年规模以上医药制造企业人均营业收入变化情况</w:t>
      </w:r>
    </w:p>
    <w:p>
      <w:pPr>
        <w:spacing w:line="190"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ectPr>
          <w:type w:val="continuous"/>
          <w:pgSz w:w="12246" w:h="16498"/>
          <w:pgMar w:top="400" w:right="0" w:bottom="400" w:left="0" w:header="0" w:footer="0" w:gutter="0"/>
          <w:cols w:equalWidth="0" w:num="1">
            <w:col w:w="12246"/>
          </w:cols>
        </w:sectPr>
      </w:pPr>
    </w:p>
    <w:p>
      <w:pPr>
        <w:spacing w:line="357" w:lineRule="auto"/>
        <w:rPr>
          <w:rFonts w:ascii="Arial"/>
          <w:sz w:val="21"/>
        </w:rPr>
      </w:pPr>
      <w:r>
        <w:drawing>
          <wp:anchor distT="0" distB="0" distL="0" distR="0" simplePos="0" relativeHeight="25187020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89" name="IM 189"/>
            <wp:cNvGraphicFramePr/>
            <a:graphic xmlns:a="http://schemas.openxmlformats.org/drawingml/2006/main">
              <a:graphicData uri="http://schemas.openxmlformats.org/drawingml/2006/picture">
                <pic:pic xmlns:pic="http://schemas.openxmlformats.org/drawingml/2006/picture">
                  <pic:nvPicPr>
                    <pic:cNvPr id="189" name="IM 189"/>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bookmarkStart w:id="32" w:name="_bookmark25"/>
      <w:bookmarkEnd w:id="32"/>
      <w:r>
        <w:rPr>
          <w:rFonts w:ascii="Arial" w:hAnsi="Arial" w:eastAsia="Arial" w:cs="Arial"/>
          <w:color w:val="231F20"/>
          <w:spacing w:val="40"/>
          <w:sz w:val="20"/>
          <w:szCs w:val="20"/>
        </w:rPr>
        <w:t>3</w:t>
      </w:r>
      <w:r>
        <w:rPr>
          <w:rFonts w:ascii="Arial" w:hAnsi="Arial" w:eastAsia="Arial" w:cs="Arial"/>
          <w:color w:val="231F20"/>
          <w:spacing w:val="21"/>
          <w:sz w:val="20"/>
          <w:szCs w:val="20"/>
        </w:rPr>
        <w:t xml:space="preserve">4  </w:t>
      </w:r>
      <w:r>
        <w:rPr>
          <w:position w:val="-5"/>
          <w:sz w:val="20"/>
          <w:szCs w:val="20"/>
        </w:rPr>
        <w:drawing>
          <wp:inline distT="0" distB="0" distL="0" distR="0">
            <wp:extent cx="3175" cy="14732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191" name="IM 191"/>
            <wp:cNvGraphicFramePr/>
            <a:graphic xmlns:a="http://schemas.openxmlformats.org/drawingml/2006/main">
              <a:graphicData uri="http://schemas.openxmlformats.org/drawingml/2006/picture">
                <pic:pic xmlns:pic="http://schemas.openxmlformats.org/drawingml/2006/picture">
                  <pic:nvPicPr>
                    <pic:cNvPr id="191" name="IM 191"/>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产业篇</w:t>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2" w:line="217"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z w:val="22"/>
          <w:szCs w:val="22"/>
        </w:rPr>
        <w:t>外资药企创新能力较强</w:t>
      </w:r>
    </w:p>
    <w:p>
      <w:pPr>
        <w:spacing w:line="267" w:lineRule="auto"/>
        <w:rPr>
          <w:rFonts w:ascii="Arial"/>
          <w:sz w:val="21"/>
        </w:rPr>
      </w:pPr>
    </w:p>
    <w:p>
      <w:pPr>
        <w:spacing w:before="94" w:line="257" w:lineRule="auto"/>
        <w:ind w:left="1993" w:right="1980" w:firstLine="460"/>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近年来 ，外资药</w:t>
      </w:r>
      <w:r>
        <w:rPr>
          <w:rFonts w:ascii="微软雅黑" w:hAnsi="微软雅黑" w:eastAsia="微软雅黑" w:cs="微软雅黑"/>
          <w:color w:val="231F20"/>
          <w:spacing w:val="1"/>
          <w:sz w:val="22"/>
          <w:szCs w:val="22"/>
        </w:rPr>
        <w:t>企在设立研发中心开展早期研究、临床试验、教育培育等活动的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基</w:t>
      </w:r>
      <w:r>
        <w:rPr>
          <w:rFonts w:ascii="微软雅黑" w:hAnsi="微软雅黑" w:eastAsia="微软雅黑" w:cs="微软雅黑"/>
          <w:color w:val="231F20"/>
          <w:sz w:val="22"/>
          <w:szCs w:val="22"/>
        </w:rPr>
        <w:t xml:space="preserve">础上 ，积极推动研发本土化 ，对医药研发创新起到了积极的带动作用。《中国高技 </w:t>
      </w:r>
      <w:r>
        <w:rPr>
          <w:rFonts w:ascii="微软雅黑" w:hAnsi="微软雅黑" w:eastAsia="微软雅黑" w:cs="微软雅黑"/>
          <w:color w:val="231F20"/>
          <w:spacing w:val="1"/>
          <w:sz w:val="22"/>
          <w:szCs w:val="22"/>
        </w:rPr>
        <w:t>术产业统计年鉴》数</w:t>
      </w:r>
      <w:r>
        <w:rPr>
          <w:rFonts w:ascii="微软雅黑" w:hAnsi="微软雅黑" w:eastAsia="微软雅黑" w:cs="微软雅黑"/>
          <w:color w:val="231F20"/>
          <w:sz w:val="22"/>
          <w:szCs w:val="22"/>
        </w:rPr>
        <w:t>据显示，</w:t>
      </w:r>
      <w:r>
        <w:rPr>
          <w:rFonts w:ascii="Times New Roman" w:hAnsi="Times New Roman" w:eastAsia="Times New Roman" w:cs="Times New Roman"/>
          <w:color w:val="231F20"/>
          <w:sz w:val="22"/>
          <w:szCs w:val="22"/>
        </w:rPr>
        <w:t xml:space="preserve">2020 </w:t>
      </w:r>
      <w:r>
        <w:rPr>
          <w:rFonts w:ascii="微软雅黑" w:hAnsi="微软雅黑" w:eastAsia="微软雅黑" w:cs="微软雅黑"/>
          <w:color w:val="231F20"/>
          <w:sz w:val="22"/>
          <w:szCs w:val="22"/>
        </w:rPr>
        <w:t xml:space="preserve">年外资药企 </w:t>
      </w:r>
      <w:r>
        <w:rPr>
          <w:rFonts w:ascii="Times New Roman" w:hAnsi="Times New Roman" w:eastAsia="Times New Roman" w:cs="Times New Roman"/>
          <w:color w:val="231F20"/>
          <w:sz w:val="22"/>
          <w:szCs w:val="22"/>
        </w:rPr>
        <w:t xml:space="preserve">R&amp;D </w:t>
      </w:r>
      <w:r>
        <w:rPr>
          <w:rFonts w:ascii="微软雅黑" w:hAnsi="微软雅黑" w:eastAsia="微软雅黑" w:cs="微软雅黑"/>
          <w:color w:val="231F20"/>
          <w:sz w:val="22"/>
          <w:szCs w:val="22"/>
        </w:rPr>
        <w:t xml:space="preserve">机构数量达 </w:t>
      </w:r>
      <w:r>
        <w:rPr>
          <w:rFonts w:ascii="Times New Roman" w:hAnsi="Times New Roman" w:eastAsia="Times New Roman" w:cs="Times New Roman"/>
          <w:color w:val="231F20"/>
          <w:sz w:val="22"/>
          <w:szCs w:val="22"/>
        </w:rPr>
        <w:t xml:space="preserve">483 </w:t>
      </w:r>
      <w:r>
        <w:rPr>
          <w:rFonts w:ascii="微软雅黑" w:hAnsi="微软雅黑" w:eastAsia="微软雅黑" w:cs="微软雅黑"/>
          <w:color w:val="231F20"/>
          <w:sz w:val="22"/>
          <w:szCs w:val="22"/>
        </w:rPr>
        <w:t xml:space="preserve">个，较 </w:t>
      </w:r>
      <w:r>
        <w:rPr>
          <w:rFonts w:ascii="Times New Roman" w:hAnsi="Times New Roman" w:eastAsia="Times New Roman" w:cs="Times New Roman"/>
          <w:color w:val="231F20"/>
          <w:sz w:val="22"/>
          <w:szCs w:val="22"/>
        </w:rPr>
        <w:t xml:space="preserve">2019 </w:t>
      </w:r>
      <w:r>
        <w:rPr>
          <w:rFonts w:ascii="微软雅黑" w:hAnsi="微软雅黑" w:eastAsia="微软雅黑" w:cs="微软雅黑"/>
          <w:color w:val="231F20"/>
          <w:sz w:val="22"/>
          <w:szCs w:val="22"/>
        </w:rPr>
        <w:t xml:space="preserve">年增 </w:t>
      </w:r>
      <w:r>
        <w:rPr>
          <w:rFonts w:ascii="微软雅黑" w:hAnsi="微软雅黑" w:eastAsia="微软雅黑" w:cs="微软雅黑"/>
          <w:color w:val="231F20"/>
          <w:spacing w:val="-1"/>
          <w:sz w:val="22"/>
          <w:szCs w:val="22"/>
        </w:rPr>
        <w:t xml:space="preserve">加了 </w:t>
      </w:r>
      <w:r>
        <w:rPr>
          <w:rFonts w:ascii="Times New Roman" w:hAnsi="Times New Roman" w:eastAsia="Times New Roman" w:cs="Times New Roman"/>
          <w:color w:val="231F20"/>
          <w:spacing w:val="-1"/>
          <w:sz w:val="22"/>
          <w:szCs w:val="22"/>
        </w:rPr>
        <w:t xml:space="preserve">48 </w:t>
      </w:r>
      <w:r>
        <w:rPr>
          <w:rFonts w:ascii="微软雅黑" w:hAnsi="微软雅黑" w:eastAsia="微软雅黑" w:cs="微软雅黑"/>
          <w:color w:val="231F20"/>
          <w:spacing w:val="-1"/>
          <w:sz w:val="22"/>
          <w:szCs w:val="22"/>
        </w:rPr>
        <w:t>个；</w:t>
      </w:r>
      <w:r>
        <w:rPr>
          <w:rFonts w:ascii="Times New Roman" w:hAnsi="Times New Roman" w:eastAsia="Times New Roman" w:cs="Times New Roman"/>
          <w:color w:val="231F20"/>
          <w:sz w:val="22"/>
          <w:szCs w:val="22"/>
        </w:rPr>
        <w:t>R</w:t>
      </w:r>
      <w:r>
        <w:rPr>
          <w:rFonts w:ascii="Times New Roman" w:hAnsi="Times New Roman" w:eastAsia="Times New Roman" w:cs="Times New Roman"/>
          <w:color w:val="231F20"/>
          <w:spacing w:val="-1"/>
          <w:sz w:val="22"/>
          <w:szCs w:val="22"/>
        </w:rPr>
        <w:t>&amp;</w:t>
      </w:r>
      <w:r>
        <w:rPr>
          <w:rFonts w:ascii="Times New Roman" w:hAnsi="Times New Roman" w:eastAsia="Times New Roman" w:cs="Times New Roman"/>
          <w:color w:val="231F20"/>
          <w:sz w:val="22"/>
          <w:szCs w:val="22"/>
        </w:rPr>
        <w:t>D</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 xml:space="preserve">机构经费支出达 </w:t>
      </w:r>
      <w:r>
        <w:rPr>
          <w:rFonts w:ascii="Times New Roman" w:hAnsi="Times New Roman" w:eastAsia="Times New Roman" w:cs="Times New Roman"/>
          <w:color w:val="231F20"/>
          <w:spacing w:val="-1"/>
          <w:sz w:val="22"/>
          <w:szCs w:val="22"/>
        </w:rPr>
        <w:t xml:space="preserve">149. 1 </w:t>
      </w:r>
      <w:r>
        <w:rPr>
          <w:rFonts w:ascii="微软雅黑" w:hAnsi="微软雅黑" w:eastAsia="微软雅黑" w:cs="微软雅黑"/>
          <w:color w:val="231F20"/>
          <w:spacing w:val="-1"/>
          <w:sz w:val="22"/>
          <w:szCs w:val="22"/>
        </w:rPr>
        <w:t xml:space="preserve">亿元 ，较 </w:t>
      </w:r>
      <w:r>
        <w:rPr>
          <w:rFonts w:ascii="Times New Roman" w:hAnsi="Times New Roman" w:eastAsia="Times New Roman" w:cs="Times New Roman"/>
          <w:color w:val="231F20"/>
          <w:spacing w:val="-1"/>
          <w:sz w:val="22"/>
          <w:szCs w:val="22"/>
        </w:rPr>
        <w:t xml:space="preserve">2019 </w:t>
      </w:r>
      <w:r>
        <w:rPr>
          <w:rFonts w:ascii="微软雅黑" w:hAnsi="微软雅黑" w:eastAsia="微软雅黑" w:cs="微软雅黑"/>
          <w:color w:val="231F20"/>
          <w:spacing w:val="-1"/>
          <w:sz w:val="22"/>
          <w:szCs w:val="22"/>
        </w:rPr>
        <w:t xml:space="preserve">年提高 </w:t>
      </w:r>
      <w:r>
        <w:rPr>
          <w:rFonts w:ascii="Times New Roman" w:hAnsi="Times New Roman" w:eastAsia="Times New Roman" w:cs="Times New Roman"/>
          <w:color w:val="231F20"/>
          <w:spacing w:val="-1"/>
          <w:sz w:val="22"/>
          <w:szCs w:val="22"/>
        </w:rPr>
        <w:t>0.9%</w:t>
      </w:r>
      <w:r>
        <w:rPr>
          <w:rFonts w:ascii="微软雅黑" w:hAnsi="微软雅黑" w:eastAsia="微软雅黑" w:cs="微软雅黑"/>
          <w:color w:val="231F20"/>
          <w:spacing w:val="-1"/>
          <w:sz w:val="22"/>
          <w:szCs w:val="22"/>
        </w:rPr>
        <w:t>；  有效发</w:t>
      </w:r>
      <w:r>
        <w:rPr>
          <w:rFonts w:ascii="微软雅黑" w:hAnsi="微软雅黑" w:eastAsia="微软雅黑" w:cs="微软雅黑"/>
          <w:color w:val="231F20"/>
          <w:sz w:val="22"/>
          <w:szCs w:val="22"/>
        </w:rPr>
        <w:t xml:space="preserve">明专利 </w:t>
      </w:r>
      <w:r>
        <w:rPr>
          <w:rFonts w:ascii="微软雅黑" w:hAnsi="微软雅黑" w:eastAsia="微软雅黑" w:cs="微软雅黑"/>
          <w:color w:val="231F20"/>
          <w:spacing w:val="-1"/>
          <w:sz w:val="22"/>
          <w:szCs w:val="22"/>
        </w:rPr>
        <w:t xml:space="preserve">数达 </w:t>
      </w:r>
      <w:r>
        <w:rPr>
          <w:rFonts w:ascii="Times New Roman" w:hAnsi="Times New Roman" w:eastAsia="Times New Roman" w:cs="Times New Roman"/>
          <w:color w:val="231F20"/>
          <w:spacing w:val="-1"/>
          <w:sz w:val="22"/>
          <w:szCs w:val="22"/>
        </w:rPr>
        <w:t xml:space="preserve">8700 </w:t>
      </w:r>
      <w:r>
        <w:rPr>
          <w:rFonts w:ascii="微软雅黑" w:hAnsi="微软雅黑" w:eastAsia="微软雅黑" w:cs="微软雅黑"/>
          <w:color w:val="231F20"/>
          <w:spacing w:val="-1"/>
          <w:sz w:val="22"/>
          <w:szCs w:val="22"/>
        </w:rPr>
        <w:t xml:space="preserve">件 ，较 </w:t>
      </w:r>
      <w:r>
        <w:rPr>
          <w:rFonts w:ascii="Times New Roman" w:hAnsi="Times New Roman" w:eastAsia="Times New Roman" w:cs="Times New Roman"/>
          <w:color w:val="231F20"/>
          <w:spacing w:val="-1"/>
          <w:sz w:val="22"/>
          <w:szCs w:val="22"/>
        </w:rPr>
        <w:t>2</w:t>
      </w:r>
      <w:r>
        <w:rPr>
          <w:rFonts w:ascii="Times New Roman" w:hAnsi="Times New Roman" w:eastAsia="Times New Roman" w:cs="Times New Roman"/>
          <w:color w:val="231F20"/>
          <w:sz w:val="22"/>
          <w:szCs w:val="22"/>
        </w:rPr>
        <w:t xml:space="preserve">019 </w:t>
      </w:r>
      <w:r>
        <w:rPr>
          <w:rFonts w:ascii="微软雅黑" w:hAnsi="微软雅黑" w:eastAsia="微软雅黑" w:cs="微软雅黑"/>
          <w:color w:val="231F20"/>
          <w:sz w:val="22"/>
          <w:szCs w:val="22"/>
        </w:rPr>
        <w:t xml:space="preserve">年增加了 </w:t>
      </w:r>
      <w:r>
        <w:rPr>
          <w:rFonts w:ascii="Times New Roman" w:hAnsi="Times New Roman" w:eastAsia="Times New Roman" w:cs="Times New Roman"/>
          <w:color w:val="231F20"/>
          <w:sz w:val="22"/>
          <w:szCs w:val="22"/>
        </w:rPr>
        <w:t>6.5%</w:t>
      </w:r>
      <w:r>
        <w:rPr>
          <w:rFonts w:ascii="微软雅黑" w:hAnsi="微软雅黑" w:eastAsia="微软雅黑" w:cs="微软雅黑"/>
          <w:color w:val="231F20"/>
          <w:sz w:val="22"/>
          <w:szCs w:val="22"/>
        </w:rPr>
        <w:t xml:space="preserve">。有研发机构的企业数 </w:t>
      </w:r>
      <w:r>
        <w:rPr>
          <w:rFonts w:ascii="Times New Roman" w:hAnsi="Times New Roman" w:eastAsia="Times New Roman" w:cs="Times New Roman"/>
          <w:color w:val="231F20"/>
          <w:sz w:val="22"/>
          <w:szCs w:val="22"/>
        </w:rPr>
        <w:t xml:space="preserve">340 </w:t>
      </w:r>
      <w:r>
        <w:rPr>
          <w:rFonts w:ascii="微软雅黑" w:hAnsi="微软雅黑" w:eastAsia="微软雅黑" w:cs="微软雅黑"/>
          <w:color w:val="231F20"/>
          <w:sz w:val="22"/>
          <w:szCs w:val="22"/>
        </w:rPr>
        <w:t xml:space="preserve">个 ，较 </w:t>
      </w:r>
      <w:r>
        <w:rPr>
          <w:rFonts w:ascii="Times New Roman" w:hAnsi="Times New Roman" w:eastAsia="Times New Roman" w:cs="Times New Roman"/>
          <w:color w:val="231F20"/>
          <w:sz w:val="22"/>
          <w:szCs w:val="22"/>
        </w:rPr>
        <w:t xml:space="preserve">2019 </w:t>
      </w:r>
      <w:r>
        <w:rPr>
          <w:rFonts w:ascii="微软雅黑" w:hAnsi="微软雅黑" w:eastAsia="微软雅黑" w:cs="微软雅黑"/>
          <w:color w:val="231F20"/>
          <w:sz w:val="22"/>
          <w:szCs w:val="22"/>
        </w:rPr>
        <w:t xml:space="preserve">年增加 </w:t>
      </w:r>
      <w:r>
        <w:rPr>
          <w:rFonts w:ascii="Times New Roman" w:hAnsi="Times New Roman" w:eastAsia="Times New Roman" w:cs="Times New Roman"/>
          <w:color w:val="231F20"/>
          <w:spacing w:val="2"/>
          <w:sz w:val="22"/>
          <w:szCs w:val="22"/>
        </w:rPr>
        <w:t xml:space="preserve">19 </w:t>
      </w:r>
      <w:r>
        <w:rPr>
          <w:rFonts w:ascii="微软雅黑" w:hAnsi="微软雅黑" w:eastAsia="微软雅黑" w:cs="微软雅黑"/>
          <w:color w:val="231F20"/>
          <w:spacing w:val="2"/>
          <w:sz w:val="22"/>
          <w:szCs w:val="22"/>
        </w:rPr>
        <w:t>家。同时，越来越多的外资药企正在以“中国创新中心”或“创新开放平台”</w:t>
      </w:r>
      <w:r>
        <w:rPr>
          <w:rFonts w:ascii="微软雅黑" w:hAnsi="微软雅黑" w:eastAsia="微软雅黑" w:cs="微软雅黑"/>
          <w:color w:val="231F20"/>
          <w:sz w:val="22"/>
          <w:szCs w:val="22"/>
        </w:rPr>
        <w:t xml:space="preserve">的方 </w:t>
      </w:r>
      <w:r>
        <w:rPr>
          <w:rFonts w:ascii="微软雅黑" w:hAnsi="微软雅黑" w:eastAsia="微软雅黑" w:cs="微软雅黑"/>
          <w:color w:val="231F20"/>
          <w:spacing w:val="2"/>
          <w:sz w:val="22"/>
          <w:szCs w:val="22"/>
        </w:rPr>
        <w:t>式积极探索与中国本土创新公司或项目加强合作 ，外资药企在</w:t>
      </w:r>
      <w:r>
        <w:rPr>
          <w:rFonts w:ascii="微软雅黑" w:hAnsi="微软雅黑" w:eastAsia="微软雅黑" w:cs="微软雅黑"/>
          <w:color w:val="231F20"/>
          <w:spacing w:val="1"/>
          <w:sz w:val="22"/>
          <w:szCs w:val="22"/>
        </w:rPr>
        <w:t>华研发呈现出从自建内</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部研发中心到与国内企业或研究机构合作、协同创新的</w:t>
      </w:r>
      <w:r>
        <w:rPr>
          <w:rFonts w:ascii="微软雅黑" w:hAnsi="微软雅黑" w:eastAsia="微软雅黑" w:cs="微软雅黑"/>
          <w:color w:val="231F20"/>
          <w:sz w:val="22"/>
          <w:szCs w:val="22"/>
        </w:rPr>
        <w:t>发展趋势。</w:t>
      </w:r>
    </w:p>
    <w:p>
      <w:pPr>
        <w:spacing w:line="398" w:lineRule="auto"/>
        <w:rPr>
          <w:rFonts w:ascii="Arial"/>
          <w:sz w:val="21"/>
        </w:rPr>
      </w:pPr>
    </w:p>
    <w:p>
      <w:pPr>
        <w:spacing w:before="65" w:line="226" w:lineRule="auto"/>
        <w:ind w:left="4224"/>
        <w:rPr>
          <w:rFonts w:ascii="SimHei" w:hAnsi="SimHei" w:eastAsia="SimHei" w:cs="SimHei"/>
          <w:sz w:val="20"/>
          <w:szCs w:val="20"/>
        </w:rPr>
      </w:pPr>
      <w:r>
        <w:rPr>
          <w:rFonts w:ascii="SimHei" w:hAnsi="SimHei" w:eastAsia="SimHei" w:cs="SimHei"/>
          <w:color w:val="231F20"/>
          <w:spacing w:val="1"/>
          <w:sz w:val="20"/>
          <w:szCs w:val="20"/>
        </w:rPr>
        <w:t xml:space="preserve">表 </w:t>
      </w:r>
      <w:r>
        <w:rPr>
          <w:rFonts w:ascii="Times New Roman" w:hAnsi="Times New Roman" w:eastAsia="Times New Roman" w:cs="Times New Roman"/>
          <w:color w:val="231F20"/>
          <w:spacing w:val="1"/>
          <w:sz w:val="20"/>
          <w:szCs w:val="20"/>
        </w:rPr>
        <w:t xml:space="preserve">2- 1 2019-2020 </w:t>
      </w:r>
      <w:r>
        <w:rPr>
          <w:rFonts w:ascii="SimHei" w:hAnsi="SimHei" w:eastAsia="SimHei" w:cs="SimHei"/>
          <w:color w:val="231F20"/>
          <w:spacing w:val="1"/>
          <w:sz w:val="20"/>
          <w:szCs w:val="20"/>
        </w:rPr>
        <w:t>年在华外资药</w:t>
      </w:r>
      <w:r>
        <w:rPr>
          <w:rFonts w:ascii="SimHei" w:hAnsi="SimHei" w:eastAsia="SimHei" w:cs="SimHei"/>
          <w:color w:val="231F20"/>
          <w:sz w:val="20"/>
          <w:szCs w:val="20"/>
        </w:rPr>
        <w:t>企研发情况</w:t>
      </w:r>
    </w:p>
    <w:p>
      <w:pPr>
        <w:spacing w:before="159" w:line="3121" w:lineRule="exact"/>
        <w:ind w:firstLine="1984"/>
        <w:textAlignment w:val="center"/>
      </w:pPr>
      <w:r>
        <w:pict>
          <v:group id="_x0000_s1213" o:spid="_x0000_s1213" o:spt="203" style="height:156.1pt;width:413.9pt;" coordsize="8277,3122">
            <o:lock v:ext="edit"/>
            <v:shape id="_x0000_s1214" o:spid="_x0000_s1214" o:spt="75" type="#_x0000_t75" style="position:absolute;left:0;top:9;height:3102;width:8277;" filled="f" stroked="f" coordsize="21600,21600">
              <v:path/>
              <v:fill on="f" focussize="0,0"/>
              <v:stroke on="f"/>
              <v:imagedata r:id="rId95" o:title=""/>
              <o:lock v:ext="edit" aspectratio="t"/>
            </v:shape>
            <v:shape id="_x0000_s1215" o:spid="_x0000_s1215" o:spt="202" type="#_x0000_t202" style="position:absolute;left:-20;top:-20;height:3162;width:8317;" filled="f" stroked="f" coordsize="21600,21600">
              <v:path/>
              <v:fill on="f" focussize="0,0"/>
              <v:stroke on="f"/>
              <v:imagedata o:title=""/>
              <o:lock v:ext="edit" aspectratio="f"/>
              <v:textbox inset="0mm,0mm,0mm,0mm">
                <w:txbxContent>
                  <w:p>
                    <w:pPr>
                      <w:spacing w:line="20" w:lineRule="exact"/>
                    </w:pPr>
                  </w:p>
                  <w:tbl>
                    <w:tblPr>
                      <w:tblStyle w:val="4"/>
                      <w:tblW w:w="8277" w:type="dxa"/>
                      <w:tblInd w:w="20" w:type="dxa"/>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Layout w:type="fixed"/>
                      <w:tblCellMar>
                        <w:top w:w="0" w:type="dxa"/>
                        <w:left w:w="0" w:type="dxa"/>
                        <w:bottom w:w="0" w:type="dxa"/>
                        <w:right w:w="0" w:type="dxa"/>
                      </w:tblCellMar>
                    </w:tblPr>
                    <w:tblGrid>
                      <w:gridCol w:w="1842"/>
                      <w:gridCol w:w="1066"/>
                      <w:gridCol w:w="1067"/>
                      <w:gridCol w:w="1067"/>
                      <w:gridCol w:w="1067"/>
                      <w:gridCol w:w="1067"/>
                      <w:gridCol w:w="1101"/>
                    </w:tblGrid>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542" w:hRule="atLeast"/>
                      </w:trPr>
                      <w:tc>
                        <w:tcPr>
                          <w:tcW w:w="1842" w:type="dxa"/>
                          <w:vMerge w:val="restart"/>
                          <w:tcBorders>
                            <w:left w:val="nil"/>
                            <w:bottom w:val="nil"/>
                          </w:tcBorders>
                          <w:vAlign w:val="top"/>
                        </w:tcPr>
                        <w:p>
                          <w:pPr>
                            <w:spacing w:line="360" w:lineRule="auto"/>
                            <w:rPr>
                              <w:rFonts w:ascii="Arial"/>
                              <w:sz w:val="21"/>
                            </w:rPr>
                          </w:pPr>
                        </w:p>
                        <w:p>
                          <w:pPr>
                            <w:spacing w:before="65" w:line="222" w:lineRule="auto"/>
                            <w:ind w:left="728"/>
                            <w:rPr>
                              <w:rFonts w:ascii="SimHei" w:hAnsi="SimHei" w:eastAsia="SimHei" w:cs="SimHei"/>
                              <w:sz w:val="20"/>
                              <w:szCs w:val="20"/>
                            </w:rPr>
                          </w:pPr>
                          <w:r>
                            <w:rPr>
                              <w:rFonts w:ascii="SimHei" w:hAnsi="SimHei" w:eastAsia="SimHei" w:cs="SimHei"/>
                              <w:color w:val="231F20"/>
                              <w:spacing w:val="-2"/>
                              <w:sz w:val="20"/>
                              <w:szCs w:val="20"/>
                            </w:rPr>
                            <w:t>行业</w:t>
                          </w:r>
                        </w:p>
                      </w:tc>
                      <w:tc>
                        <w:tcPr>
                          <w:tcW w:w="2133" w:type="dxa"/>
                          <w:gridSpan w:val="2"/>
                          <w:vAlign w:val="top"/>
                        </w:tcPr>
                        <w:p>
                          <w:pPr>
                            <w:spacing w:before="174" w:line="222" w:lineRule="auto"/>
                            <w:ind w:left="319"/>
                            <w:rPr>
                              <w:rFonts w:ascii="SimHei" w:hAnsi="SimHei" w:eastAsia="SimHei" w:cs="SimHei"/>
                              <w:sz w:val="20"/>
                              <w:szCs w:val="20"/>
                            </w:rPr>
                          </w:pPr>
                          <w:r>
                            <w:rPr>
                              <w:rFonts w:ascii="SimHei" w:hAnsi="SimHei" w:eastAsia="SimHei" w:cs="SimHei"/>
                              <w:color w:val="231F20"/>
                              <w:spacing w:val="-15"/>
                              <w:sz w:val="20"/>
                              <w:szCs w:val="20"/>
                            </w:rPr>
                            <w:t>R</w:t>
                          </w:r>
                          <w:r>
                            <w:rPr>
                              <w:rFonts w:ascii="SimHei" w:hAnsi="SimHei" w:eastAsia="SimHei" w:cs="SimHei"/>
                              <w:color w:val="231F20"/>
                              <w:spacing w:val="-17"/>
                              <w:sz w:val="20"/>
                              <w:szCs w:val="20"/>
                            </w:rPr>
                            <w:t>&amp;</w:t>
                          </w:r>
                          <w:r>
                            <w:rPr>
                              <w:rFonts w:ascii="SimHei" w:hAnsi="SimHei" w:eastAsia="SimHei" w:cs="SimHei"/>
                              <w:color w:val="231F20"/>
                              <w:spacing w:val="-15"/>
                              <w:sz w:val="20"/>
                              <w:szCs w:val="20"/>
                            </w:rPr>
                            <w:t>D 机构数 ( 个 )</w:t>
                          </w:r>
                        </w:p>
                      </w:tc>
                      <w:tc>
                        <w:tcPr>
                          <w:tcW w:w="2134" w:type="dxa"/>
                          <w:gridSpan w:val="2"/>
                          <w:vAlign w:val="top"/>
                        </w:tcPr>
                        <w:p>
                          <w:pPr>
                            <w:spacing w:before="54" w:line="221" w:lineRule="auto"/>
                            <w:ind w:left="169"/>
                            <w:rPr>
                              <w:rFonts w:ascii="SimHei" w:hAnsi="SimHei" w:eastAsia="SimHei" w:cs="SimHei"/>
                              <w:sz w:val="20"/>
                              <w:szCs w:val="20"/>
                            </w:rPr>
                          </w:pPr>
                          <w:r>
                            <w:rPr>
                              <w:rFonts w:ascii="SimHei" w:hAnsi="SimHei" w:eastAsia="SimHei" w:cs="SimHei"/>
                              <w:color w:val="231F20"/>
                              <w:spacing w:val="-1"/>
                              <w:sz w:val="20"/>
                              <w:szCs w:val="20"/>
                            </w:rPr>
                            <w:t>有</w:t>
                          </w:r>
                          <w:r>
                            <w:rPr>
                              <w:rFonts w:ascii="SimHei" w:hAnsi="SimHei" w:eastAsia="SimHei" w:cs="SimHei"/>
                              <w:color w:val="231F20"/>
                              <w:sz w:val="20"/>
                              <w:szCs w:val="20"/>
                            </w:rPr>
                            <w:t>研发机构的企业数</w:t>
                          </w:r>
                        </w:p>
                        <w:p>
                          <w:pPr>
                            <w:spacing w:line="223" w:lineRule="auto"/>
                            <w:ind w:left="785"/>
                            <w:rPr>
                              <w:rFonts w:ascii="SimHei" w:hAnsi="SimHei" w:eastAsia="SimHei" w:cs="SimHei"/>
                              <w:sz w:val="20"/>
                              <w:szCs w:val="20"/>
                            </w:rPr>
                          </w:pPr>
                          <w:r>
                            <w:rPr>
                              <w:rFonts w:ascii="SimHei" w:hAnsi="SimHei" w:eastAsia="SimHei" w:cs="SimHei"/>
                              <w:color w:val="231F20"/>
                              <w:spacing w:val="20"/>
                              <w:sz w:val="20"/>
                              <w:szCs w:val="20"/>
                            </w:rPr>
                            <w:t>(个)</w:t>
                          </w:r>
                        </w:p>
                      </w:tc>
                      <w:tc>
                        <w:tcPr>
                          <w:tcW w:w="2168" w:type="dxa"/>
                          <w:gridSpan w:val="2"/>
                          <w:tcBorders>
                            <w:right w:val="nil"/>
                          </w:tcBorders>
                          <w:vAlign w:val="top"/>
                        </w:tcPr>
                        <w:p>
                          <w:pPr>
                            <w:spacing w:before="174" w:line="221" w:lineRule="auto"/>
                            <w:ind w:left="85"/>
                            <w:rPr>
                              <w:rFonts w:ascii="SimHei" w:hAnsi="SimHei" w:eastAsia="SimHei" w:cs="SimHei"/>
                              <w:sz w:val="20"/>
                              <w:szCs w:val="20"/>
                            </w:rPr>
                          </w:pPr>
                          <w:r>
                            <w:rPr>
                              <w:rFonts w:ascii="SimHei" w:hAnsi="SimHei" w:eastAsia="SimHei" w:cs="SimHei"/>
                              <w:color w:val="231F20"/>
                              <w:spacing w:val="8"/>
                              <w:sz w:val="20"/>
                              <w:szCs w:val="20"/>
                            </w:rPr>
                            <w:t>有效发明专利数(件)</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502" w:hRule="atLeast"/>
                      </w:trPr>
                      <w:tc>
                        <w:tcPr>
                          <w:tcW w:w="1842" w:type="dxa"/>
                          <w:vMerge w:val="continue"/>
                          <w:tcBorders>
                            <w:top w:val="nil"/>
                            <w:left w:val="nil"/>
                          </w:tcBorders>
                          <w:vAlign w:val="top"/>
                        </w:tcPr>
                        <w:p>
                          <w:pPr>
                            <w:rPr>
                              <w:rFonts w:ascii="Arial"/>
                              <w:sz w:val="21"/>
                            </w:rPr>
                          </w:pPr>
                        </w:p>
                      </w:tc>
                      <w:tc>
                        <w:tcPr>
                          <w:tcW w:w="1066" w:type="dxa"/>
                          <w:vAlign w:val="top"/>
                        </w:tcPr>
                        <w:p>
                          <w:pPr>
                            <w:spacing w:before="181" w:line="183" w:lineRule="auto"/>
                            <w:ind w:left="335"/>
                            <w:rPr>
                              <w:rFonts w:ascii="SimHei" w:hAnsi="SimHei" w:eastAsia="SimHei" w:cs="SimHei"/>
                              <w:sz w:val="20"/>
                              <w:szCs w:val="20"/>
                            </w:rPr>
                          </w:pPr>
                          <w:r>
                            <w:rPr>
                              <w:rFonts w:ascii="SimHei" w:hAnsi="SimHei" w:eastAsia="SimHei" w:cs="SimHei"/>
                              <w:color w:val="231F20"/>
                              <w:spacing w:val="-1"/>
                              <w:sz w:val="20"/>
                              <w:szCs w:val="20"/>
                            </w:rPr>
                            <w:t>201</w:t>
                          </w:r>
                          <w:r>
                            <w:rPr>
                              <w:rFonts w:ascii="SimHei" w:hAnsi="SimHei" w:eastAsia="SimHei" w:cs="SimHei"/>
                              <w:color w:val="231F20"/>
                              <w:sz w:val="20"/>
                              <w:szCs w:val="20"/>
                            </w:rPr>
                            <w:t>9</w:t>
                          </w:r>
                        </w:p>
                      </w:tc>
                      <w:tc>
                        <w:tcPr>
                          <w:tcW w:w="1067" w:type="dxa"/>
                          <w:vAlign w:val="top"/>
                        </w:tcPr>
                        <w:p>
                          <w:pPr>
                            <w:spacing w:before="181" w:line="183" w:lineRule="auto"/>
                            <w:ind w:left="336"/>
                            <w:rPr>
                              <w:rFonts w:ascii="SimHei" w:hAnsi="SimHei" w:eastAsia="SimHei" w:cs="SimHei"/>
                              <w:sz w:val="20"/>
                              <w:szCs w:val="20"/>
                            </w:rPr>
                          </w:pPr>
                          <w:r>
                            <w:rPr>
                              <w:rFonts w:ascii="SimHei" w:hAnsi="SimHei" w:eastAsia="SimHei" w:cs="SimHei"/>
                              <w:color w:val="231F20"/>
                              <w:spacing w:val="-1"/>
                              <w:sz w:val="20"/>
                              <w:szCs w:val="20"/>
                            </w:rPr>
                            <w:t>202</w:t>
                          </w:r>
                          <w:r>
                            <w:rPr>
                              <w:rFonts w:ascii="SimHei" w:hAnsi="SimHei" w:eastAsia="SimHei" w:cs="SimHei"/>
                              <w:color w:val="231F20"/>
                              <w:sz w:val="20"/>
                              <w:szCs w:val="20"/>
                            </w:rPr>
                            <w:t>0</w:t>
                          </w:r>
                        </w:p>
                      </w:tc>
                      <w:tc>
                        <w:tcPr>
                          <w:tcW w:w="1067" w:type="dxa"/>
                          <w:vAlign w:val="top"/>
                        </w:tcPr>
                        <w:p>
                          <w:pPr>
                            <w:spacing w:before="181" w:line="183" w:lineRule="auto"/>
                            <w:ind w:left="336"/>
                            <w:rPr>
                              <w:rFonts w:ascii="SimHei" w:hAnsi="SimHei" w:eastAsia="SimHei" w:cs="SimHei"/>
                              <w:sz w:val="20"/>
                              <w:szCs w:val="20"/>
                            </w:rPr>
                          </w:pPr>
                          <w:r>
                            <w:rPr>
                              <w:rFonts w:ascii="SimHei" w:hAnsi="SimHei" w:eastAsia="SimHei" w:cs="SimHei"/>
                              <w:color w:val="231F20"/>
                              <w:spacing w:val="-1"/>
                              <w:sz w:val="20"/>
                              <w:szCs w:val="20"/>
                            </w:rPr>
                            <w:t>201</w:t>
                          </w:r>
                          <w:r>
                            <w:rPr>
                              <w:rFonts w:ascii="SimHei" w:hAnsi="SimHei" w:eastAsia="SimHei" w:cs="SimHei"/>
                              <w:color w:val="231F20"/>
                              <w:sz w:val="20"/>
                              <w:szCs w:val="20"/>
                            </w:rPr>
                            <w:t>9</w:t>
                          </w:r>
                        </w:p>
                      </w:tc>
                      <w:tc>
                        <w:tcPr>
                          <w:tcW w:w="1067" w:type="dxa"/>
                          <w:vAlign w:val="top"/>
                        </w:tcPr>
                        <w:p>
                          <w:pPr>
                            <w:spacing w:before="181" w:line="183" w:lineRule="auto"/>
                            <w:ind w:left="336"/>
                            <w:rPr>
                              <w:rFonts w:ascii="SimHei" w:hAnsi="SimHei" w:eastAsia="SimHei" w:cs="SimHei"/>
                              <w:sz w:val="20"/>
                              <w:szCs w:val="20"/>
                            </w:rPr>
                          </w:pPr>
                          <w:r>
                            <w:rPr>
                              <w:rFonts w:ascii="SimHei" w:hAnsi="SimHei" w:eastAsia="SimHei" w:cs="SimHei"/>
                              <w:color w:val="231F20"/>
                              <w:spacing w:val="-1"/>
                              <w:sz w:val="20"/>
                              <w:szCs w:val="20"/>
                            </w:rPr>
                            <w:t>202</w:t>
                          </w:r>
                          <w:r>
                            <w:rPr>
                              <w:rFonts w:ascii="SimHei" w:hAnsi="SimHei" w:eastAsia="SimHei" w:cs="SimHei"/>
                              <w:color w:val="231F20"/>
                              <w:sz w:val="20"/>
                              <w:szCs w:val="20"/>
                            </w:rPr>
                            <w:t>0</w:t>
                          </w:r>
                        </w:p>
                      </w:tc>
                      <w:tc>
                        <w:tcPr>
                          <w:tcW w:w="1067" w:type="dxa"/>
                          <w:vAlign w:val="top"/>
                        </w:tcPr>
                        <w:p>
                          <w:pPr>
                            <w:spacing w:before="181" w:line="183" w:lineRule="auto"/>
                            <w:ind w:left="336"/>
                            <w:rPr>
                              <w:rFonts w:ascii="SimHei" w:hAnsi="SimHei" w:eastAsia="SimHei" w:cs="SimHei"/>
                              <w:sz w:val="20"/>
                              <w:szCs w:val="20"/>
                            </w:rPr>
                          </w:pPr>
                          <w:r>
                            <w:rPr>
                              <w:rFonts w:ascii="SimHei" w:hAnsi="SimHei" w:eastAsia="SimHei" w:cs="SimHei"/>
                              <w:color w:val="231F20"/>
                              <w:spacing w:val="-1"/>
                              <w:sz w:val="20"/>
                              <w:szCs w:val="20"/>
                            </w:rPr>
                            <w:t>201</w:t>
                          </w:r>
                          <w:r>
                            <w:rPr>
                              <w:rFonts w:ascii="SimHei" w:hAnsi="SimHei" w:eastAsia="SimHei" w:cs="SimHei"/>
                              <w:color w:val="231F20"/>
                              <w:sz w:val="20"/>
                              <w:szCs w:val="20"/>
                            </w:rPr>
                            <w:t>9</w:t>
                          </w:r>
                        </w:p>
                      </w:tc>
                      <w:tc>
                        <w:tcPr>
                          <w:tcW w:w="1101" w:type="dxa"/>
                          <w:tcBorders>
                            <w:right w:val="nil"/>
                          </w:tcBorders>
                          <w:vAlign w:val="top"/>
                        </w:tcPr>
                        <w:p>
                          <w:pPr>
                            <w:spacing w:before="181" w:line="183" w:lineRule="auto"/>
                            <w:ind w:left="352"/>
                            <w:rPr>
                              <w:rFonts w:ascii="SimHei" w:hAnsi="SimHei" w:eastAsia="SimHei" w:cs="SimHei"/>
                              <w:sz w:val="20"/>
                              <w:szCs w:val="20"/>
                            </w:rPr>
                          </w:pPr>
                          <w:r>
                            <w:rPr>
                              <w:rFonts w:ascii="SimHei" w:hAnsi="SimHei" w:eastAsia="SimHei" w:cs="SimHei"/>
                              <w:color w:val="231F20"/>
                              <w:spacing w:val="-1"/>
                              <w:sz w:val="20"/>
                              <w:szCs w:val="20"/>
                            </w:rPr>
                            <w:t>202</w:t>
                          </w:r>
                          <w:r>
                            <w:rPr>
                              <w:rFonts w:ascii="SimHei" w:hAnsi="SimHei" w:eastAsia="SimHei" w:cs="SimHei"/>
                              <w:color w:val="231F20"/>
                              <w:sz w:val="20"/>
                              <w:szCs w:val="20"/>
                            </w:rPr>
                            <w:t>0</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501" w:hRule="atLeast"/>
                      </w:trPr>
                      <w:tc>
                        <w:tcPr>
                          <w:tcW w:w="1842" w:type="dxa"/>
                          <w:tcBorders>
                            <w:left w:val="nil"/>
                          </w:tcBorders>
                          <w:vAlign w:val="top"/>
                        </w:tcPr>
                        <w:p>
                          <w:pPr>
                            <w:spacing w:before="150" w:line="224" w:lineRule="auto"/>
                            <w:ind w:left="246"/>
                            <w:rPr>
                              <w:rFonts w:ascii="SimHei" w:hAnsi="SimHei" w:eastAsia="SimHei" w:cs="SimHei"/>
                              <w:sz w:val="20"/>
                              <w:szCs w:val="20"/>
                            </w:rPr>
                          </w:pPr>
                          <w:r>
                            <w:rPr>
                              <w:rFonts w:ascii="SimHei" w:hAnsi="SimHei" w:eastAsia="SimHei" w:cs="SimHei"/>
                              <w:color w:val="231F20"/>
                              <w:spacing w:val="-2"/>
                              <w:sz w:val="20"/>
                              <w:szCs w:val="20"/>
                            </w:rPr>
                            <w:t>医药制造业</w:t>
                          </w:r>
                        </w:p>
                      </w:tc>
                      <w:tc>
                        <w:tcPr>
                          <w:tcW w:w="1066" w:type="dxa"/>
                          <w:vAlign w:val="top"/>
                        </w:tcPr>
                        <w:p>
                          <w:pPr>
                            <w:spacing w:before="185" w:line="186" w:lineRule="auto"/>
                            <w:ind w:left="383"/>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43</w:t>
                          </w:r>
                          <w:r>
                            <w:rPr>
                              <w:rFonts w:ascii="Times New Roman" w:hAnsi="Times New Roman" w:eastAsia="Times New Roman" w:cs="Times New Roman"/>
                              <w:color w:val="231F20"/>
                              <w:sz w:val="20"/>
                              <w:szCs w:val="20"/>
                            </w:rPr>
                            <w:t>5</w:t>
                          </w:r>
                        </w:p>
                      </w:tc>
                      <w:tc>
                        <w:tcPr>
                          <w:tcW w:w="1067" w:type="dxa"/>
                          <w:vAlign w:val="top"/>
                        </w:tcPr>
                        <w:p>
                          <w:pPr>
                            <w:spacing w:before="185" w:line="186" w:lineRule="auto"/>
                            <w:ind w:left="384"/>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48</w:t>
                          </w:r>
                          <w:r>
                            <w:rPr>
                              <w:rFonts w:ascii="Times New Roman" w:hAnsi="Times New Roman" w:eastAsia="Times New Roman" w:cs="Times New Roman"/>
                              <w:color w:val="231F20"/>
                              <w:sz w:val="20"/>
                              <w:szCs w:val="20"/>
                            </w:rPr>
                            <w:t>3</w:t>
                          </w:r>
                        </w:p>
                      </w:tc>
                      <w:tc>
                        <w:tcPr>
                          <w:tcW w:w="1067" w:type="dxa"/>
                          <w:vAlign w:val="top"/>
                        </w:tcPr>
                        <w:p>
                          <w:pPr>
                            <w:spacing w:before="185" w:line="186" w:lineRule="auto"/>
                            <w:ind w:left="389"/>
                            <w:rPr>
                              <w:rFonts w:ascii="Times New Roman" w:hAnsi="Times New Roman" w:eastAsia="Times New Roman" w:cs="Times New Roman"/>
                              <w:sz w:val="20"/>
                              <w:szCs w:val="20"/>
                            </w:rPr>
                          </w:pPr>
                          <w:r>
                            <w:rPr>
                              <w:rFonts w:ascii="Times New Roman" w:hAnsi="Times New Roman" w:eastAsia="Times New Roman" w:cs="Times New Roman"/>
                              <w:color w:val="231F20"/>
                              <w:spacing w:val="-3"/>
                              <w:sz w:val="20"/>
                              <w:szCs w:val="20"/>
                            </w:rPr>
                            <w:t>3</w:t>
                          </w:r>
                          <w:r>
                            <w:rPr>
                              <w:rFonts w:ascii="Times New Roman" w:hAnsi="Times New Roman" w:eastAsia="Times New Roman" w:cs="Times New Roman"/>
                              <w:color w:val="231F20"/>
                              <w:spacing w:val="-2"/>
                              <w:sz w:val="20"/>
                              <w:szCs w:val="20"/>
                            </w:rPr>
                            <w:t>21</w:t>
                          </w:r>
                        </w:p>
                      </w:tc>
                      <w:tc>
                        <w:tcPr>
                          <w:tcW w:w="1067" w:type="dxa"/>
                          <w:vAlign w:val="top"/>
                        </w:tcPr>
                        <w:p>
                          <w:pPr>
                            <w:spacing w:before="185" w:line="186" w:lineRule="auto"/>
                            <w:ind w:left="388"/>
                            <w:rPr>
                              <w:rFonts w:ascii="Times New Roman" w:hAnsi="Times New Roman" w:eastAsia="Times New Roman" w:cs="Times New Roman"/>
                              <w:sz w:val="20"/>
                              <w:szCs w:val="20"/>
                            </w:rPr>
                          </w:pPr>
                          <w:r>
                            <w:rPr>
                              <w:rFonts w:ascii="Times New Roman" w:hAnsi="Times New Roman" w:eastAsia="Times New Roman" w:cs="Times New Roman"/>
                              <w:color w:val="231F20"/>
                              <w:spacing w:val="-3"/>
                              <w:sz w:val="20"/>
                              <w:szCs w:val="20"/>
                            </w:rPr>
                            <w:t>3</w:t>
                          </w:r>
                          <w:r>
                            <w:rPr>
                              <w:rFonts w:ascii="Times New Roman" w:hAnsi="Times New Roman" w:eastAsia="Times New Roman" w:cs="Times New Roman"/>
                              <w:color w:val="231F20"/>
                              <w:spacing w:val="-2"/>
                              <w:sz w:val="20"/>
                              <w:szCs w:val="20"/>
                            </w:rPr>
                            <w:t>40</w:t>
                          </w:r>
                        </w:p>
                      </w:tc>
                      <w:tc>
                        <w:tcPr>
                          <w:tcW w:w="1067" w:type="dxa"/>
                          <w:vAlign w:val="top"/>
                        </w:tcPr>
                        <w:p>
                          <w:pPr>
                            <w:spacing w:before="185" w:line="186" w:lineRule="auto"/>
                            <w:ind w:left="342"/>
                            <w:rPr>
                              <w:rFonts w:ascii="Times New Roman" w:hAnsi="Times New Roman" w:eastAsia="Times New Roman" w:cs="Times New Roman"/>
                              <w:sz w:val="20"/>
                              <w:szCs w:val="20"/>
                            </w:rPr>
                          </w:pPr>
                          <w:r>
                            <w:rPr>
                              <w:rFonts w:ascii="Times New Roman" w:hAnsi="Times New Roman" w:eastAsia="Times New Roman" w:cs="Times New Roman"/>
                              <w:color w:val="231F20"/>
                              <w:spacing w:val="-4"/>
                              <w:sz w:val="20"/>
                              <w:szCs w:val="20"/>
                            </w:rPr>
                            <w:t>8</w:t>
                          </w:r>
                          <w:r>
                            <w:rPr>
                              <w:rFonts w:ascii="Times New Roman" w:hAnsi="Times New Roman" w:eastAsia="Times New Roman" w:cs="Times New Roman"/>
                              <w:color w:val="231F20"/>
                              <w:spacing w:val="-2"/>
                              <w:sz w:val="20"/>
                              <w:szCs w:val="20"/>
                            </w:rPr>
                            <w:t>168</w:t>
                          </w:r>
                        </w:p>
                      </w:tc>
                      <w:tc>
                        <w:tcPr>
                          <w:tcW w:w="1101" w:type="dxa"/>
                          <w:tcBorders>
                            <w:right w:val="nil"/>
                          </w:tcBorders>
                          <w:vAlign w:val="top"/>
                        </w:tcPr>
                        <w:p>
                          <w:pPr>
                            <w:spacing w:before="185" w:line="186" w:lineRule="auto"/>
                            <w:ind w:left="358"/>
                            <w:rPr>
                              <w:rFonts w:ascii="Times New Roman" w:hAnsi="Times New Roman" w:eastAsia="Times New Roman" w:cs="Times New Roman"/>
                              <w:sz w:val="20"/>
                              <w:szCs w:val="20"/>
                            </w:rPr>
                          </w:pPr>
                          <w:r>
                            <w:rPr>
                              <w:rFonts w:ascii="Times New Roman" w:hAnsi="Times New Roman" w:eastAsia="Times New Roman" w:cs="Times New Roman"/>
                              <w:color w:val="231F20"/>
                              <w:spacing w:val="-4"/>
                              <w:sz w:val="20"/>
                              <w:szCs w:val="20"/>
                            </w:rPr>
                            <w:t>8</w:t>
                          </w:r>
                          <w:r>
                            <w:rPr>
                              <w:rFonts w:ascii="Times New Roman" w:hAnsi="Times New Roman" w:eastAsia="Times New Roman" w:cs="Times New Roman"/>
                              <w:color w:val="231F20"/>
                              <w:spacing w:val="-2"/>
                              <w:sz w:val="20"/>
                              <w:szCs w:val="20"/>
                            </w:rPr>
                            <w:t>700</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501" w:hRule="atLeast"/>
                      </w:trPr>
                      <w:tc>
                        <w:tcPr>
                          <w:tcW w:w="1842" w:type="dxa"/>
                          <w:tcBorders>
                            <w:left w:val="nil"/>
                          </w:tcBorders>
                          <w:vAlign w:val="top"/>
                        </w:tcPr>
                        <w:p>
                          <w:pPr>
                            <w:spacing w:before="156" w:line="203" w:lineRule="auto"/>
                            <w:ind w:left="553"/>
                            <w:rPr>
                              <w:rFonts w:ascii="微软雅黑" w:hAnsi="微软雅黑" w:eastAsia="微软雅黑" w:cs="微软雅黑"/>
                              <w:sz w:val="18"/>
                              <w:szCs w:val="18"/>
                            </w:rPr>
                          </w:pPr>
                          <w:r>
                            <w:rPr>
                              <w:rFonts w:ascii="微软雅黑" w:hAnsi="微软雅黑" w:eastAsia="微软雅黑" w:cs="微软雅黑"/>
                              <w:color w:val="231F20"/>
                              <w:spacing w:val="-4"/>
                              <w:sz w:val="18"/>
                              <w:szCs w:val="18"/>
                            </w:rPr>
                            <w:t>#</w:t>
                          </w:r>
                          <w:r>
                            <w:rPr>
                              <w:rFonts w:ascii="微软雅黑" w:hAnsi="微软雅黑" w:eastAsia="微软雅黑" w:cs="微软雅黑"/>
                              <w:color w:val="231F20"/>
                              <w:spacing w:val="-2"/>
                              <w:sz w:val="18"/>
                              <w:szCs w:val="18"/>
                            </w:rPr>
                            <w:t xml:space="preserve"> 化学药品制造</w:t>
                          </w:r>
                        </w:p>
                      </w:tc>
                      <w:tc>
                        <w:tcPr>
                          <w:tcW w:w="1066" w:type="dxa"/>
                          <w:vAlign w:val="top"/>
                        </w:tcPr>
                        <w:p>
                          <w:pPr>
                            <w:spacing w:before="186" w:line="186" w:lineRule="auto"/>
                            <w:ind w:left="384"/>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204</w:t>
                          </w:r>
                        </w:p>
                      </w:tc>
                      <w:tc>
                        <w:tcPr>
                          <w:tcW w:w="1067" w:type="dxa"/>
                          <w:vAlign w:val="top"/>
                        </w:tcPr>
                        <w:p>
                          <w:pPr>
                            <w:spacing w:before="186" w:line="186" w:lineRule="auto"/>
                            <w:ind w:left="385"/>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216</w:t>
                          </w:r>
                        </w:p>
                      </w:tc>
                      <w:tc>
                        <w:tcPr>
                          <w:tcW w:w="1067" w:type="dxa"/>
                          <w:vAlign w:val="top"/>
                        </w:tcPr>
                        <w:p>
                          <w:pPr>
                            <w:spacing w:before="186" w:line="186" w:lineRule="auto"/>
                            <w:ind w:left="404"/>
                            <w:rPr>
                              <w:rFonts w:ascii="Times New Roman" w:hAnsi="Times New Roman" w:eastAsia="Times New Roman" w:cs="Times New Roman"/>
                              <w:sz w:val="20"/>
                              <w:szCs w:val="20"/>
                            </w:rPr>
                          </w:pPr>
                          <w:r>
                            <w:rPr>
                              <w:rFonts w:ascii="Times New Roman" w:hAnsi="Times New Roman" w:eastAsia="Times New Roman" w:cs="Times New Roman"/>
                              <w:color w:val="231F20"/>
                              <w:spacing w:val="-8"/>
                              <w:sz w:val="20"/>
                              <w:szCs w:val="20"/>
                            </w:rPr>
                            <w:t>1</w:t>
                          </w:r>
                          <w:r>
                            <w:rPr>
                              <w:rFonts w:ascii="Times New Roman" w:hAnsi="Times New Roman" w:eastAsia="Times New Roman" w:cs="Times New Roman"/>
                              <w:color w:val="231F20"/>
                              <w:spacing w:val="-7"/>
                              <w:sz w:val="20"/>
                              <w:szCs w:val="20"/>
                            </w:rPr>
                            <w:t>48</w:t>
                          </w:r>
                        </w:p>
                      </w:tc>
                      <w:tc>
                        <w:tcPr>
                          <w:tcW w:w="1067" w:type="dxa"/>
                          <w:vAlign w:val="top"/>
                        </w:tcPr>
                        <w:p>
                          <w:pPr>
                            <w:spacing w:before="186" w:line="186" w:lineRule="auto"/>
                            <w:ind w:left="403"/>
                            <w:rPr>
                              <w:rFonts w:ascii="Times New Roman" w:hAnsi="Times New Roman" w:eastAsia="Times New Roman" w:cs="Times New Roman"/>
                              <w:sz w:val="20"/>
                              <w:szCs w:val="20"/>
                            </w:rPr>
                          </w:pPr>
                          <w:r>
                            <w:rPr>
                              <w:rFonts w:ascii="Times New Roman" w:hAnsi="Times New Roman" w:eastAsia="Times New Roman" w:cs="Times New Roman"/>
                              <w:color w:val="231F20"/>
                              <w:spacing w:val="-8"/>
                              <w:sz w:val="20"/>
                              <w:szCs w:val="20"/>
                            </w:rPr>
                            <w:t>1</w:t>
                          </w:r>
                          <w:r>
                            <w:rPr>
                              <w:rFonts w:ascii="Times New Roman" w:hAnsi="Times New Roman" w:eastAsia="Times New Roman" w:cs="Times New Roman"/>
                              <w:color w:val="231F20"/>
                              <w:spacing w:val="-7"/>
                              <w:sz w:val="20"/>
                              <w:szCs w:val="20"/>
                            </w:rPr>
                            <w:t>52</w:t>
                          </w:r>
                        </w:p>
                      </w:tc>
                      <w:tc>
                        <w:tcPr>
                          <w:tcW w:w="1067" w:type="dxa"/>
                          <w:vAlign w:val="top"/>
                        </w:tcPr>
                        <w:p>
                          <w:pPr>
                            <w:spacing w:before="186" w:line="186" w:lineRule="auto"/>
                            <w:ind w:left="333"/>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4</w:t>
                          </w:r>
                          <w:r>
                            <w:rPr>
                              <w:rFonts w:ascii="Times New Roman" w:hAnsi="Times New Roman" w:eastAsia="Times New Roman" w:cs="Times New Roman"/>
                              <w:color w:val="231F20"/>
                              <w:sz w:val="20"/>
                              <w:szCs w:val="20"/>
                            </w:rPr>
                            <w:t>341</w:t>
                          </w:r>
                        </w:p>
                      </w:tc>
                      <w:tc>
                        <w:tcPr>
                          <w:tcW w:w="1101" w:type="dxa"/>
                          <w:tcBorders>
                            <w:right w:val="nil"/>
                          </w:tcBorders>
                          <w:vAlign w:val="top"/>
                        </w:tcPr>
                        <w:p>
                          <w:pPr>
                            <w:spacing w:before="186" w:line="186" w:lineRule="auto"/>
                            <w:ind w:left="349"/>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4</w:t>
                          </w:r>
                          <w:r>
                            <w:rPr>
                              <w:rFonts w:ascii="Times New Roman" w:hAnsi="Times New Roman" w:eastAsia="Times New Roman" w:cs="Times New Roman"/>
                              <w:color w:val="231F20"/>
                              <w:sz w:val="20"/>
                              <w:szCs w:val="20"/>
                            </w:rPr>
                            <w:t>588</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502" w:hRule="atLeast"/>
                      </w:trPr>
                      <w:tc>
                        <w:tcPr>
                          <w:tcW w:w="1842" w:type="dxa"/>
                          <w:tcBorders>
                            <w:left w:val="nil"/>
                          </w:tcBorders>
                          <w:vAlign w:val="top"/>
                        </w:tcPr>
                        <w:p>
                          <w:pPr>
                            <w:spacing w:before="156" w:line="203" w:lineRule="auto"/>
                            <w:ind w:left="543"/>
                            <w:rPr>
                              <w:rFonts w:ascii="微软雅黑" w:hAnsi="微软雅黑" w:eastAsia="微软雅黑" w:cs="微软雅黑"/>
                              <w:sz w:val="18"/>
                              <w:szCs w:val="18"/>
                            </w:rPr>
                          </w:pPr>
                          <w:r>
                            <w:rPr>
                              <w:rFonts w:ascii="微软雅黑" w:hAnsi="微软雅黑" w:eastAsia="微软雅黑" w:cs="微软雅黑"/>
                              <w:color w:val="231F20"/>
                              <w:spacing w:val="-5"/>
                              <w:sz w:val="18"/>
                              <w:szCs w:val="18"/>
                            </w:rPr>
                            <w:t>中</w:t>
                          </w:r>
                          <w:r>
                            <w:rPr>
                              <w:rFonts w:ascii="微软雅黑" w:hAnsi="微软雅黑" w:eastAsia="微软雅黑" w:cs="微软雅黑"/>
                              <w:color w:val="231F20"/>
                              <w:spacing w:val="-3"/>
                              <w:sz w:val="18"/>
                              <w:szCs w:val="18"/>
                            </w:rPr>
                            <w:t>成药生产</w:t>
                          </w:r>
                        </w:p>
                      </w:tc>
                      <w:tc>
                        <w:tcPr>
                          <w:tcW w:w="1066" w:type="dxa"/>
                          <w:vAlign w:val="top"/>
                        </w:tcPr>
                        <w:p>
                          <w:pPr>
                            <w:spacing w:before="188" w:line="186" w:lineRule="auto"/>
                            <w:ind w:left="438"/>
                            <w:rPr>
                              <w:rFonts w:ascii="Times New Roman" w:hAnsi="Times New Roman" w:eastAsia="Times New Roman" w:cs="Times New Roman"/>
                              <w:sz w:val="20"/>
                              <w:szCs w:val="20"/>
                            </w:rPr>
                          </w:pPr>
                          <w:r>
                            <w:rPr>
                              <w:rFonts w:ascii="Times New Roman" w:hAnsi="Times New Roman" w:eastAsia="Times New Roman" w:cs="Times New Roman"/>
                              <w:color w:val="231F20"/>
                              <w:spacing w:val="-4"/>
                              <w:sz w:val="20"/>
                              <w:szCs w:val="20"/>
                            </w:rPr>
                            <w:t>7</w:t>
                          </w:r>
                          <w:r>
                            <w:rPr>
                              <w:rFonts w:ascii="Times New Roman" w:hAnsi="Times New Roman" w:eastAsia="Times New Roman" w:cs="Times New Roman"/>
                              <w:color w:val="231F20"/>
                              <w:spacing w:val="-3"/>
                              <w:sz w:val="20"/>
                              <w:szCs w:val="20"/>
                            </w:rPr>
                            <w:t>4</w:t>
                          </w:r>
                        </w:p>
                      </w:tc>
                      <w:tc>
                        <w:tcPr>
                          <w:tcW w:w="1067" w:type="dxa"/>
                          <w:vAlign w:val="top"/>
                        </w:tcPr>
                        <w:p>
                          <w:pPr>
                            <w:spacing w:before="188" w:line="186" w:lineRule="auto"/>
                            <w:ind w:left="443"/>
                            <w:rPr>
                              <w:rFonts w:ascii="Times New Roman" w:hAnsi="Times New Roman" w:eastAsia="Times New Roman" w:cs="Times New Roman"/>
                              <w:sz w:val="20"/>
                              <w:szCs w:val="20"/>
                            </w:rPr>
                          </w:pPr>
                          <w:r>
                            <w:rPr>
                              <w:rFonts w:ascii="Times New Roman" w:hAnsi="Times New Roman" w:eastAsia="Times New Roman" w:cs="Times New Roman"/>
                              <w:color w:val="231F20"/>
                              <w:spacing w:val="-7"/>
                              <w:sz w:val="20"/>
                              <w:szCs w:val="20"/>
                            </w:rPr>
                            <w:t>8</w:t>
                          </w:r>
                          <w:r>
                            <w:rPr>
                              <w:rFonts w:ascii="Times New Roman" w:hAnsi="Times New Roman" w:eastAsia="Times New Roman" w:cs="Times New Roman"/>
                              <w:color w:val="231F20"/>
                              <w:spacing w:val="-5"/>
                              <w:sz w:val="20"/>
                              <w:szCs w:val="20"/>
                            </w:rPr>
                            <w:t>1</w:t>
                          </w:r>
                        </w:p>
                      </w:tc>
                      <w:tc>
                        <w:tcPr>
                          <w:tcW w:w="1067" w:type="dxa"/>
                          <w:vAlign w:val="top"/>
                        </w:tcPr>
                        <w:p>
                          <w:pPr>
                            <w:spacing w:before="188" w:line="186" w:lineRule="auto"/>
                            <w:ind w:left="434"/>
                            <w:rPr>
                              <w:rFonts w:ascii="Times New Roman" w:hAnsi="Times New Roman" w:eastAsia="Times New Roman" w:cs="Times New Roman"/>
                              <w:sz w:val="20"/>
                              <w:szCs w:val="20"/>
                            </w:rPr>
                          </w:pPr>
                          <w:r>
                            <w:rPr>
                              <w:rFonts w:ascii="Times New Roman" w:hAnsi="Times New Roman" w:eastAsia="Times New Roman" w:cs="Times New Roman"/>
                              <w:color w:val="231F20"/>
                              <w:spacing w:val="-2"/>
                              <w:sz w:val="20"/>
                              <w:szCs w:val="20"/>
                            </w:rPr>
                            <w:t>4</w:t>
                          </w:r>
                          <w:r>
                            <w:rPr>
                              <w:rFonts w:ascii="Times New Roman" w:hAnsi="Times New Roman" w:eastAsia="Times New Roman" w:cs="Times New Roman"/>
                              <w:color w:val="231F20"/>
                              <w:spacing w:val="-1"/>
                              <w:sz w:val="20"/>
                              <w:szCs w:val="20"/>
                            </w:rPr>
                            <w:t>9</w:t>
                          </w:r>
                        </w:p>
                      </w:tc>
                      <w:tc>
                        <w:tcPr>
                          <w:tcW w:w="1067" w:type="dxa"/>
                          <w:vAlign w:val="top"/>
                        </w:tcPr>
                        <w:p>
                          <w:pPr>
                            <w:spacing w:before="188" w:line="186" w:lineRule="auto"/>
                            <w:ind w:left="440"/>
                            <w:rPr>
                              <w:rFonts w:ascii="Times New Roman" w:hAnsi="Times New Roman" w:eastAsia="Times New Roman" w:cs="Times New Roman"/>
                              <w:sz w:val="20"/>
                              <w:szCs w:val="20"/>
                            </w:rPr>
                          </w:pPr>
                          <w:r>
                            <w:rPr>
                              <w:rFonts w:ascii="Times New Roman" w:hAnsi="Times New Roman" w:eastAsia="Times New Roman" w:cs="Times New Roman"/>
                              <w:color w:val="231F20"/>
                              <w:spacing w:val="-5"/>
                              <w:sz w:val="20"/>
                              <w:szCs w:val="20"/>
                            </w:rPr>
                            <w:t>5</w:t>
                          </w:r>
                          <w:r>
                            <w:rPr>
                              <w:rFonts w:ascii="Times New Roman" w:hAnsi="Times New Roman" w:eastAsia="Times New Roman" w:cs="Times New Roman"/>
                              <w:color w:val="231F20"/>
                              <w:spacing w:val="-4"/>
                              <w:sz w:val="20"/>
                              <w:szCs w:val="20"/>
                            </w:rPr>
                            <w:t>6</w:t>
                          </w:r>
                        </w:p>
                      </w:tc>
                      <w:tc>
                        <w:tcPr>
                          <w:tcW w:w="1067" w:type="dxa"/>
                          <w:vAlign w:val="top"/>
                        </w:tcPr>
                        <w:p>
                          <w:pPr>
                            <w:spacing w:before="188" w:line="186" w:lineRule="auto"/>
                            <w:ind w:left="353"/>
                            <w:rPr>
                              <w:rFonts w:ascii="Times New Roman" w:hAnsi="Times New Roman" w:eastAsia="Times New Roman" w:cs="Times New Roman"/>
                              <w:sz w:val="20"/>
                              <w:szCs w:val="20"/>
                            </w:rPr>
                          </w:pPr>
                          <w:r>
                            <w:rPr>
                              <w:rFonts w:ascii="Times New Roman" w:hAnsi="Times New Roman" w:eastAsia="Times New Roman" w:cs="Times New Roman"/>
                              <w:color w:val="231F20"/>
                              <w:spacing w:val="-6"/>
                              <w:sz w:val="20"/>
                              <w:szCs w:val="20"/>
                            </w:rPr>
                            <w:t>1</w:t>
                          </w:r>
                          <w:r>
                            <w:rPr>
                              <w:rFonts w:ascii="Times New Roman" w:hAnsi="Times New Roman" w:eastAsia="Times New Roman" w:cs="Times New Roman"/>
                              <w:color w:val="231F20"/>
                              <w:spacing w:val="-5"/>
                              <w:sz w:val="20"/>
                              <w:szCs w:val="20"/>
                            </w:rPr>
                            <w:t>305</w:t>
                          </w:r>
                        </w:p>
                      </w:tc>
                      <w:tc>
                        <w:tcPr>
                          <w:tcW w:w="1101" w:type="dxa"/>
                          <w:tcBorders>
                            <w:right w:val="nil"/>
                          </w:tcBorders>
                          <w:vAlign w:val="top"/>
                        </w:tcPr>
                        <w:p>
                          <w:pPr>
                            <w:spacing w:before="188" w:line="186" w:lineRule="auto"/>
                            <w:ind w:left="370"/>
                            <w:rPr>
                              <w:rFonts w:ascii="Times New Roman" w:hAnsi="Times New Roman" w:eastAsia="Times New Roman" w:cs="Times New Roman"/>
                              <w:sz w:val="20"/>
                              <w:szCs w:val="20"/>
                            </w:rPr>
                          </w:pPr>
                          <w:r>
                            <w:rPr>
                              <w:rFonts w:ascii="Times New Roman" w:hAnsi="Times New Roman" w:eastAsia="Times New Roman" w:cs="Times New Roman"/>
                              <w:color w:val="231F20"/>
                              <w:spacing w:val="-6"/>
                              <w:sz w:val="20"/>
                              <w:szCs w:val="20"/>
                            </w:rPr>
                            <w:t>1</w:t>
                          </w:r>
                          <w:r>
                            <w:rPr>
                              <w:rFonts w:ascii="Times New Roman" w:hAnsi="Times New Roman" w:eastAsia="Times New Roman" w:cs="Times New Roman"/>
                              <w:color w:val="231F20"/>
                              <w:spacing w:val="-5"/>
                              <w:sz w:val="20"/>
                              <w:szCs w:val="20"/>
                            </w:rPr>
                            <w:t>546</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538" w:hRule="atLeast"/>
                      </w:trPr>
                      <w:tc>
                        <w:tcPr>
                          <w:tcW w:w="1842" w:type="dxa"/>
                          <w:tcBorders>
                            <w:left w:val="nil"/>
                          </w:tcBorders>
                          <w:vAlign w:val="top"/>
                        </w:tcPr>
                        <w:p>
                          <w:pPr>
                            <w:spacing w:before="171" w:line="203" w:lineRule="auto"/>
                            <w:ind w:left="378"/>
                            <w:rPr>
                              <w:rFonts w:ascii="微软雅黑" w:hAnsi="微软雅黑" w:eastAsia="微软雅黑" w:cs="微软雅黑"/>
                              <w:sz w:val="18"/>
                              <w:szCs w:val="18"/>
                            </w:rPr>
                          </w:pPr>
                          <w:r>
                            <w:rPr>
                              <w:rFonts w:ascii="微软雅黑" w:hAnsi="微软雅黑" w:eastAsia="微软雅黑" w:cs="微软雅黑"/>
                              <w:color w:val="231F20"/>
                              <w:spacing w:val="-1"/>
                              <w:sz w:val="18"/>
                              <w:szCs w:val="18"/>
                            </w:rPr>
                            <w:t>生物药品制</w:t>
                          </w:r>
                          <w:r>
                            <w:rPr>
                              <w:rFonts w:ascii="微软雅黑" w:hAnsi="微软雅黑" w:eastAsia="微软雅黑" w:cs="微软雅黑"/>
                              <w:color w:val="231F20"/>
                              <w:sz w:val="18"/>
                              <w:szCs w:val="18"/>
                            </w:rPr>
                            <w:t>品制造</w:t>
                          </w:r>
                        </w:p>
                      </w:tc>
                      <w:tc>
                        <w:tcPr>
                          <w:tcW w:w="1066" w:type="dxa"/>
                          <w:vAlign w:val="top"/>
                        </w:tcPr>
                        <w:p>
                          <w:pPr>
                            <w:spacing w:before="201" w:line="186" w:lineRule="auto"/>
                            <w:ind w:left="442"/>
                            <w:rPr>
                              <w:rFonts w:ascii="Times New Roman" w:hAnsi="Times New Roman" w:eastAsia="Times New Roman" w:cs="Times New Roman"/>
                              <w:sz w:val="20"/>
                              <w:szCs w:val="20"/>
                            </w:rPr>
                          </w:pPr>
                          <w:r>
                            <w:rPr>
                              <w:rFonts w:ascii="Times New Roman" w:hAnsi="Times New Roman" w:eastAsia="Times New Roman" w:cs="Times New Roman"/>
                              <w:color w:val="231F20"/>
                              <w:spacing w:val="-7"/>
                              <w:sz w:val="20"/>
                              <w:szCs w:val="20"/>
                            </w:rPr>
                            <w:t>8</w:t>
                          </w:r>
                          <w:r>
                            <w:rPr>
                              <w:rFonts w:ascii="Times New Roman" w:hAnsi="Times New Roman" w:eastAsia="Times New Roman" w:cs="Times New Roman"/>
                              <w:color w:val="231F20"/>
                              <w:spacing w:val="-5"/>
                              <w:sz w:val="20"/>
                              <w:szCs w:val="20"/>
                            </w:rPr>
                            <w:t>8</w:t>
                          </w:r>
                        </w:p>
                      </w:tc>
                      <w:tc>
                        <w:tcPr>
                          <w:tcW w:w="1067" w:type="dxa"/>
                          <w:vAlign w:val="top"/>
                        </w:tcPr>
                        <w:p>
                          <w:pPr>
                            <w:spacing w:before="201" w:line="186" w:lineRule="auto"/>
                            <w:ind w:left="404"/>
                            <w:rPr>
                              <w:rFonts w:ascii="Times New Roman" w:hAnsi="Times New Roman" w:eastAsia="Times New Roman" w:cs="Times New Roman"/>
                              <w:sz w:val="20"/>
                              <w:szCs w:val="20"/>
                            </w:rPr>
                          </w:pPr>
                          <w:r>
                            <w:rPr>
                              <w:rFonts w:ascii="Times New Roman" w:hAnsi="Times New Roman" w:eastAsia="Times New Roman" w:cs="Times New Roman"/>
                              <w:color w:val="231F20"/>
                              <w:spacing w:val="-8"/>
                              <w:sz w:val="20"/>
                              <w:szCs w:val="20"/>
                            </w:rPr>
                            <w:t>1</w:t>
                          </w:r>
                          <w:r>
                            <w:rPr>
                              <w:rFonts w:ascii="Times New Roman" w:hAnsi="Times New Roman" w:eastAsia="Times New Roman" w:cs="Times New Roman"/>
                              <w:color w:val="231F20"/>
                              <w:spacing w:val="-7"/>
                              <w:sz w:val="20"/>
                              <w:szCs w:val="20"/>
                            </w:rPr>
                            <w:t>02</w:t>
                          </w:r>
                        </w:p>
                      </w:tc>
                      <w:tc>
                        <w:tcPr>
                          <w:tcW w:w="1067" w:type="dxa"/>
                          <w:vAlign w:val="top"/>
                        </w:tcPr>
                        <w:p>
                          <w:pPr>
                            <w:spacing w:before="201" w:line="186" w:lineRule="auto"/>
                            <w:ind w:left="439"/>
                            <w:rPr>
                              <w:rFonts w:ascii="Times New Roman" w:hAnsi="Times New Roman" w:eastAsia="Times New Roman" w:cs="Times New Roman"/>
                              <w:sz w:val="20"/>
                              <w:szCs w:val="20"/>
                            </w:rPr>
                          </w:pPr>
                          <w:r>
                            <w:rPr>
                              <w:rFonts w:ascii="Times New Roman" w:hAnsi="Times New Roman" w:eastAsia="Times New Roman" w:cs="Times New Roman"/>
                              <w:color w:val="231F20"/>
                              <w:spacing w:val="-4"/>
                              <w:sz w:val="20"/>
                              <w:szCs w:val="20"/>
                            </w:rPr>
                            <w:t>65</w:t>
                          </w:r>
                        </w:p>
                      </w:tc>
                      <w:tc>
                        <w:tcPr>
                          <w:tcW w:w="1067" w:type="dxa"/>
                          <w:vAlign w:val="top"/>
                        </w:tcPr>
                        <w:p>
                          <w:pPr>
                            <w:spacing w:before="201" w:line="186" w:lineRule="auto"/>
                            <w:ind w:left="439"/>
                            <w:rPr>
                              <w:rFonts w:ascii="Times New Roman" w:hAnsi="Times New Roman" w:eastAsia="Times New Roman" w:cs="Times New Roman"/>
                              <w:sz w:val="20"/>
                              <w:szCs w:val="20"/>
                            </w:rPr>
                          </w:pPr>
                          <w:r>
                            <w:rPr>
                              <w:rFonts w:ascii="Times New Roman" w:hAnsi="Times New Roman" w:eastAsia="Times New Roman" w:cs="Times New Roman"/>
                              <w:color w:val="231F20"/>
                              <w:spacing w:val="-4"/>
                              <w:sz w:val="20"/>
                              <w:szCs w:val="20"/>
                            </w:rPr>
                            <w:t>61</w:t>
                          </w:r>
                        </w:p>
                      </w:tc>
                      <w:tc>
                        <w:tcPr>
                          <w:tcW w:w="1067" w:type="dxa"/>
                          <w:vAlign w:val="top"/>
                        </w:tcPr>
                        <w:p>
                          <w:pPr>
                            <w:spacing w:before="201" w:line="186" w:lineRule="auto"/>
                            <w:ind w:left="353"/>
                            <w:rPr>
                              <w:rFonts w:ascii="Times New Roman" w:hAnsi="Times New Roman" w:eastAsia="Times New Roman" w:cs="Times New Roman"/>
                              <w:sz w:val="20"/>
                              <w:szCs w:val="20"/>
                            </w:rPr>
                          </w:pPr>
                          <w:r>
                            <w:rPr>
                              <w:rFonts w:ascii="Times New Roman" w:hAnsi="Times New Roman" w:eastAsia="Times New Roman" w:cs="Times New Roman"/>
                              <w:color w:val="231F20"/>
                              <w:spacing w:val="-6"/>
                              <w:sz w:val="20"/>
                              <w:szCs w:val="20"/>
                            </w:rPr>
                            <w:t>1</w:t>
                          </w:r>
                          <w:r>
                            <w:rPr>
                              <w:rFonts w:ascii="Times New Roman" w:hAnsi="Times New Roman" w:eastAsia="Times New Roman" w:cs="Times New Roman"/>
                              <w:color w:val="231F20"/>
                              <w:spacing w:val="-5"/>
                              <w:sz w:val="20"/>
                              <w:szCs w:val="20"/>
                            </w:rPr>
                            <w:t>398</w:t>
                          </w:r>
                        </w:p>
                      </w:tc>
                      <w:tc>
                        <w:tcPr>
                          <w:tcW w:w="1101" w:type="dxa"/>
                          <w:tcBorders>
                            <w:right w:val="nil"/>
                          </w:tcBorders>
                          <w:vAlign w:val="top"/>
                        </w:tcPr>
                        <w:p>
                          <w:pPr>
                            <w:spacing w:before="201" w:line="186" w:lineRule="auto"/>
                            <w:ind w:left="369"/>
                            <w:rPr>
                              <w:rFonts w:ascii="Times New Roman" w:hAnsi="Times New Roman" w:eastAsia="Times New Roman" w:cs="Times New Roman"/>
                              <w:sz w:val="20"/>
                              <w:szCs w:val="20"/>
                            </w:rPr>
                          </w:pPr>
                          <w:r>
                            <w:rPr>
                              <w:rFonts w:ascii="Times New Roman" w:hAnsi="Times New Roman" w:eastAsia="Times New Roman" w:cs="Times New Roman"/>
                              <w:color w:val="231F20"/>
                              <w:spacing w:val="-6"/>
                              <w:sz w:val="20"/>
                              <w:szCs w:val="20"/>
                            </w:rPr>
                            <w:t>1</w:t>
                          </w:r>
                          <w:r>
                            <w:rPr>
                              <w:rFonts w:ascii="Times New Roman" w:hAnsi="Times New Roman" w:eastAsia="Times New Roman" w:cs="Times New Roman"/>
                              <w:color w:val="231F20"/>
                              <w:spacing w:val="-5"/>
                              <w:sz w:val="20"/>
                              <w:szCs w:val="20"/>
                            </w:rPr>
                            <w:t>565</w:t>
                          </w:r>
                        </w:p>
                      </w:tc>
                    </w:tr>
                  </w:tbl>
                  <w:p>
                    <w:pPr>
                      <w:rPr>
                        <w:rFonts w:ascii="Arial"/>
                        <w:sz w:val="21"/>
                      </w:rPr>
                    </w:pPr>
                  </w:p>
                </w:txbxContent>
              </v:textbox>
            </v:shape>
            <w10:wrap type="none"/>
            <w10:anchorlock/>
          </v:group>
        </w:pict>
      </w:r>
    </w:p>
    <w:p>
      <w:pPr>
        <w:spacing w:before="58" w:line="221" w:lineRule="auto"/>
        <w:ind w:left="1987"/>
        <w:rPr>
          <w:rFonts w:ascii="KaiTi" w:hAnsi="KaiTi" w:eastAsia="KaiTi" w:cs="KaiTi"/>
          <w:sz w:val="17"/>
          <w:szCs w:val="17"/>
        </w:rPr>
      </w:pPr>
      <w:r>
        <w:rPr>
          <w:rFonts w:ascii="KaiTi" w:hAnsi="KaiTi" w:eastAsia="KaiTi" w:cs="KaiTi"/>
          <w:color w:val="231F20"/>
          <w:spacing w:val="-6"/>
          <w:sz w:val="17"/>
          <w:szCs w:val="17"/>
        </w:rPr>
        <w:t>数</w:t>
      </w:r>
      <w:r>
        <w:rPr>
          <w:rFonts w:ascii="KaiTi" w:hAnsi="KaiTi" w:eastAsia="KaiTi" w:cs="KaiTi"/>
          <w:color w:val="231F20"/>
          <w:spacing w:val="-5"/>
          <w:sz w:val="17"/>
          <w:szCs w:val="17"/>
        </w:rPr>
        <w:t>据</w:t>
      </w:r>
      <w:r>
        <w:rPr>
          <w:rFonts w:ascii="KaiTi" w:hAnsi="KaiTi" w:eastAsia="KaiTi" w:cs="KaiTi"/>
          <w:color w:val="231F20"/>
          <w:spacing w:val="-3"/>
          <w:sz w:val="17"/>
          <w:szCs w:val="17"/>
        </w:rPr>
        <w:t xml:space="preserve">来源：  《中国高技术产业统计年鉴 </w:t>
      </w:r>
      <w:r>
        <w:rPr>
          <w:rFonts w:ascii="Times New Roman" w:hAnsi="Times New Roman" w:eastAsia="Times New Roman" w:cs="Times New Roman"/>
          <w:color w:val="231F20"/>
          <w:spacing w:val="-3"/>
          <w:sz w:val="17"/>
          <w:szCs w:val="17"/>
        </w:rPr>
        <w:t>2021</w:t>
      </w:r>
      <w:r>
        <w:rPr>
          <w:rFonts w:ascii="KaiTi" w:hAnsi="KaiTi" w:eastAsia="KaiTi" w:cs="KaiTi"/>
          <w:color w:val="231F20"/>
          <w:spacing w:val="-3"/>
          <w:sz w:val="17"/>
          <w:szCs w:val="17"/>
        </w:rPr>
        <w:t>》。</w:t>
      </w:r>
    </w:p>
    <w:p>
      <w:pPr>
        <w:spacing w:line="352" w:lineRule="auto"/>
        <w:rPr>
          <w:rFonts w:ascii="Arial"/>
          <w:sz w:val="21"/>
        </w:rPr>
      </w:pPr>
    </w:p>
    <w:p>
      <w:pPr>
        <w:spacing w:line="352" w:lineRule="auto"/>
        <w:rPr>
          <w:rFonts w:ascii="Arial"/>
          <w:sz w:val="21"/>
        </w:rPr>
      </w:pPr>
    </w:p>
    <w:p>
      <w:pPr>
        <w:spacing w:before="92" w:line="242" w:lineRule="auto"/>
        <w:ind w:left="2566"/>
        <w:rPr>
          <w:rFonts w:ascii="SimHei" w:hAnsi="SimHei" w:eastAsia="SimHei" w:cs="SimHei"/>
          <w:sz w:val="28"/>
          <w:szCs w:val="28"/>
        </w:rPr>
      </w:pPr>
      <w:r>
        <w:rPr>
          <w:rFonts w:ascii="SimHei" w:hAnsi="SimHei" w:eastAsia="SimHei" w:cs="SimHei"/>
          <w:color w:val="015DAC"/>
          <w:spacing w:val="-1"/>
          <w:sz w:val="28"/>
          <w:szCs w:val="28"/>
        </w:rPr>
        <w:t>二、电子信</w:t>
      </w:r>
      <w:r>
        <w:rPr>
          <w:rFonts w:ascii="SimHei" w:hAnsi="SimHei" w:eastAsia="SimHei" w:cs="SimHei"/>
          <w:color w:val="015DAC"/>
          <w:sz w:val="28"/>
          <w:szCs w:val="28"/>
        </w:rPr>
        <w:t>息制造业</w:t>
      </w:r>
    </w:p>
    <w:p>
      <w:pPr>
        <w:spacing w:line="327" w:lineRule="auto"/>
        <w:rPr>
          <w:rFonts w:ascii="Arial"/>
          <w:sz w:val="21"/>
        </w:rPr>
      </w:pPr>
    </w:p>
    <w:p>
      <w:pPr>
        <w:spacing w:before="94" w:line="263" w:lineRule="auto"/>
        <w:ind w:left="1989" w:right="1985" w:firstLine="485"/>
        <w:rPr>
          <w:rFonts w:ascii="微软雅黑" w:hAnsi="微软雅黑" w:eastAsia="微软雅黑" w:cs="微软雅黑"/>
          <w:sz w:val="22"/>
          <w:szCs w:val="22"/>
        </w:rPr>
      </w:pPr>
      <w:r>
        <w:rPr>
          <w:rFonts w:ascii="微软雅黑" w:hAnsi="微软雅黑" w:eastAsia="微软雅黑" w:cs="微软雅黑"/>
          <w:color w:val="231F20"/>
          <w:spacing w:val="7"/>
          <w:sz w:val="22"/>
          <w:szCs w:val="22"/>
        </w:rPr>
        <w:t>电子信息制造业是中国经济发展的重要支柱产业之一 ，也是外资进入最早的</w:t>
      </w:r>
      <w:r>
        <w:rPr>
          <w:rFonts w:ascii="微软雅黑" w:hAnsi="微软雅黑" w:eastAsia="微软雅黑" w:cs="微软雅黑"/>
          <w:color w:val="231F20"/>
          <w:spacing w:val="1"/>
          <w:sz w:val="22"/>
          <w:szCs w:val="22"/>
        </w:rPr>
        <w:t>行</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业之一。改革开放以来，  中国凭借要素优势 ，吸引了</w:t>
      </w:r>
      <w:r>
        <w:rPr>
          <w:rFonts w:ascii="微软雅黑" w:hAnsi="微软雅黑" w:eastAsia="微软雅黑" w:cs="微软雅黑"/>
          <w:color w:val="231F20"/>
          <w:spacing w:val="-1"/>
          <w:sz w:val="22"/>
          <w:szCs w:val="22"/>
        </w:rPr>
        <w:t>跨国电子信息企业到中国投资，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4"/>
          <w:sz w:val="22"/>
          <w:szCs w:val="22"/>
        </w:rPr>
        <w:t>使中国</w:t>
      </w:r>
      <w:r>
        <w:rPr>
          <w:rFonts w:ascii="微软雅黑" w:hAnsi="微软雅黑" w:eastAsia="微软雅黑" w:cs="微软雅黑"/>
          <w:color w:val="231F20"/>
          <w:spacing w:val="11"/>
          <w:sz w:val="22"/>
          <w:szCs w:val="22"/>
        </w:rPr>
        <w:t>电</w:t>
      </w:r>
      <w:r>
        <w:rPr>
          <w:rFonts w:ascii="微软雅黑" w:hAnsi="微软雅黑" w:eastAsia="微软雅黑" w:cs="微软雅黑"/>
          <w:color w:val="231F20"/>
          <w:spacing w:val="7"/>
          <w:sz w:val="22"/>
          <w:szCs w:val="22"/>
        </w:rPr>
        <w:t>子信息产业逐步由组装加工为主向高附加值产业链环节延伸 ，形成了产业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链</w:t>
      </w:r>
      <w:r>
        <w:rPr>
          <w:rFonts w:ascii="微软雅黑" w:hAnsi="微软雅黑" w:eastAsia="微软雅黑" w:cs="微软雅黑"/>
          <w:color w:val="231F20"/>
          <w:spacing w:val="4"/>
          <w:sz w:val="22"/>
          <w:szCs w:val="22"/>
        </w:rPr>
        <w:t>配</w:t>
      </w:r>
      <w:r>
        <w:rPr>
          <w:rFonts w:ascii="微软雅黑" w:hAnsi="微软雅黑" w:eastAsia="微软雅黑" w:cs="微软雅黑"/>
          <w:color w:val="231F20"/>
          <w:spacing w:val="3"/>
          <w:sz w:val="22"/>
          <w:szCs w:val="22"/>
        </w:rPr>
        <w:t>套完备的电子信息产业体系。</w:t>
      </w:r>
    </w:p>
    <w:p>
      <w:pPr>
        <w:spacing w:before="177"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0"/>
          <w:sz w:val="24"/>
          <w:szCs w:val="24"/>
        </w:rPr>
        <w:t>一) 行业政策变化</w:t>
      </w:r>
    </w:p>
    <w:p>
      <w:pPr>
        <w:spacing w:before="332" w:line="202" w:lineRule="auto"/>
        <w:ind w:left="2454"/>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近</w:t>
      </w:r>
      <w:r>
        <w:rPr>
          <w:rFonts w:ascii="微软雅黑" w:hAnsi="微软雅黑" w:eastAsia="微软雅黑" w:cs="微软雅黑"/>
          <w:color w:val="231F20"/>
          <w:sz w:val="22"/>
          <w:szCs w:val="22"/>
        </w:rPr>
        <w:t>年来，  中国密集出台了一 系列支持电子信息产业发展的政策措施，  为电子信</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87123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r>
        <w:rPr>
          <w:rFonts w:ascii="SimHei" w:hAnsi="SimHei" w:eastAsia="SimHei" w:cs="SimHei"/>
          <w:color w:val="1A67B3"/>
          <w:spacing w:val="39"/>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35</w:t>
      </w: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94" w:line="202" w:lineRule="auto"/>
        <w:ind w:left="1994"/>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息产业健康发展和</w:t>
      </w:r>
      <w:r>
        <w:rPr>
          <w:rFonts w:ascii="微软雅黑" w:hAnsi="微软雅黑" w:eastAsia="微软雅黑" w:cs="微软雅黑"/>
          <w:color w:val="231F20"/>
          <w:spacing w:val="3"/>
          <w:sz w:val="22"/>
          <w:szCs w:val="22"/>
        </w:rPr>
        <w:t>内外资企业公平竞争提供了良好的制度和政策保障。</w:t>
      </w:r>
    </w:p>
    <w:p>
      <w:pPr>
        <w:spacing w:line="244" w:lineRule="auto"/>
        <w:rPr>
          <w:rFonts w:ascii="Arial"/>
          <w:sz w:val="21"/>
        </w:rPr>
      </w:pPr>
    </w:p>
    <w:p>
      <w:pPr>
        <w:spacing w:before="71" w:line="214" w:lineRule="auto"/>
        <w:ind w:left="2463"/>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1. </w:t>
      </w:r>
      <w:r>
        <w:rPr>
          <w:rFonts w:ascii="KaiTi" w:hAnsi="KaiTi" w:eastAsia="KaiTi" w:cs="KaiTi"/>
          <w:color w:val="015DAC"/>
          <w:spacing w:val="1"/>
          <w:sz w:val="22"/>
          <w:szCs w:val="22"/>
        </w:rPr>
        <w:t>加强电</w:t>
      </w:r>
      <w:r>
        <w:rPr>
          <w:rFonts w:ascii="KaiTi" w:hAnsi="KaiTi" w:eastAsia="KaiTi" w:cs="KaiTi"/>
          <w:color w:val="015DAC"/>
          <w:sz w:val="22"/>
          <w:szCs w:val="22"/>
        </w:rPr>
        <w:t>子信息产业发展顶层设计，促进电子信息领域国际合作</w:t>
      </w:r>
    </w:p>
    <w:p>
      <w:pPr>
        <w:spacing w:before="275" w:line="258" w:lineRule="auto"/>
        <w:ind w:left="1988" w:right="1918" w:firstLine="465"/>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近</w:t>
      </w:r>
      <w:r>
        <w:rPr>
          <w:rFonts w:ascii="微软雅黑" w:hAnsi="微软雅黑" w:eastAsia="微软雅黑" w:cs="微软雅黑"/>
          <w:color w:val="231F20"/>
          <w:sz w:val="22"/>
          <w:szCs w:val="22"/>
        </w:rPr>
        <w:t xml:space="preserve">年来，  为推动电子信息产业向价值链高端环节升级，  中国加强顶层设计 ，不 </w:t>
      </w:r>
      <w:r>
        <w:rPr>
          <w:rFonts w:ascii="微软雅黑" w:hAnsi="微软雅黑" w:eastAsia="微软雅黑" w:cs="微软雅黑"/>
          <w:color w:val="231F20"/>
          <w:spacing w:val="10"/>
          <w:sz w:val="22"/>
          <w:szCs w:val="22"/>
        </w:rPr>
        <w:t>仅在《中华人</w:t>
      </w:r>
      <w:r>
        <w:rPr>
          <w:rFonts w:ascii="微软雅黑" w:hAnsi="微软雅黑" w:eastAsia="微软雅黑" w:cs="微软雅黑"/>
          <w:color w:val="231F20"/>
          <w:spacing w:val="6"/>
          <w:sz w:val="22"/>
          <w:szCs w:val="22"/>
        </w:rPr>
        <w:t>民</w:t>
      </w:r>
      <w:r>
        <w:rPr>
          <w:rFonts w:ascii="微软雅黑" w:hAnsi="微软雅黑" w:eastAsia="微软雅黑" w:cs="微软雅黑"/>
          <w:color w:val="231F20"/>
          <w:spacing w:val="5"/>
          <w:sz w:val="22"/>
          <w:szCs w:val="22"/>
        </w:rPr>
        <w:t xml:space="preserve">共和国国民经济和社会发展第十四个五年规划和 </w:t>
      </w:r>
      <w:r>
        <w:rPr>
          <w:rFonts w:ascii="Times New Roman" w:hAnsi="Times New Roman" w:eastAsia="Times New Roman" w:cs="Times New Roman"/>
          <w:color w:val="231F20"/>
          <w:spacing w:val="5"/>
          <w:sz w:val="22"/>
          <w:szCs w:val="22"/>
        </w:rPr>
        <w:t xml:space="preserve">2035 </w:t>
      </w:r>
      <w:r>
        <w:rPr>
          <w:rFonts w:ascii="微软雅黑" w:hAnsi="微软雅黑" w:eastAsia="微软雅黑" w:cs="微软雅黑"/>
          <w:color w:val="231F20"/>
          <w:spacing w:val="5"/>
          <w:sz w:val="22"/>
          <w:szCs w:val="22"/>
        </w:rPr>
        <w:t>年远景目标纲</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要》《  “十四五”利用外资发展规划》 等综合性规划中明确提出鼓励企业投向集</w:t>
      </w:r>
      <w:r>
        <w:rPr>
          <w:rFonts w:ascii="微软雅黑" w:hAnsi="微软雅黑" w:eastAsia="微软雅黑" w:cs="微软雅黑"/>
          <w:color w:val="231F20"/>
          <w:spacing w:val="2"/>
          <w:sz w:val="22"/>
          <w:szCs w:val="22"/>
        </w:rPr>
        <w:t>成</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电</w:t>
      </w:r>
      <w:r>
        <w:rPr>
          <w:rFonts w:ascii="微软雅黑" w:hAnsi="微软雅黑" w:eastAsia="微软雅黑" w:cs="微软雅黑"/>
          <w:color w:val="231F20"/>
          <w:spacing w:val="-1"/>
          <w:sz w:val="22"/>
          <w:szCs w:val="22"/>
        </w:rPr>
        <w:t>路制造等领域，  而且在《  “十四五”数字经济发展规划》《  “十四五”信息通信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行业发</w:t>
      </w:r>
      <w:r>
        <w:rPr>
          <w:rFonts w:ascii="微软雅黑" w:hAnsi="微软雅黑" w:eastAsia="微软雅黑" w:cs="微软雅黑"/>
          <w:color w:val="231F20"/>
          <w:spacing w:val="5"/>
          <w:sz w:val="22"/>
          <w:szCs w:val="22"/>
        </w:rPr>
        <w:t xml:space="preserve">展规划》《基础电子元器件产业发展行动计划 ( </w:t>
      </w:r>
      <w:r>
        <w:rPr>
          <w:rFonts w:ascii="Times New Roman" w:hAnsi="Times New Roman" w:eastAsia="Times New Roman" w:cs="Times New Roman"/>
          <w:color w:val="231F20"/>
          <w:spacing w:val="5"/>
          <w:sz w:val="22"/>
          <w:szCs w:val="22"/>
        </w:rPr>
        <w:t>2021</w:t>
      </w:r>
      <w:r>
        <w:rPr>
          <w:rFonts w:ascii="微软雅黑" w:hAnsi="微软雅黑" w:eastAsia="微软雅黑" w:cs="微软雅黑"/>
          <w:color w:val="231F20"/>
          <w:spacing w:val="5"/>
          <w:sz w:val="22"/>
          <w:szCs w:val="22"/>
        </w:rPr>
        <w:t>—</w:t>
      </w:r>
      <w:r>
        <w:rPr>
          <w:rFonts w:ascii="Times New Roman" w:hAnsi="Times New Roman" w:eastAsia="Times New Roman" w:cs="Times New Roman"/>
          <w:color w:val="231F20"/>
          <w:spacing w:val="5"/>
          <w:sz w:val="22"/>
          <w:szCs w:val="22"/>
        </w:rPr>
        <w:t xml:space="preserve">2023 </w:t>
      </w:r>
      <w:r>
        <w:rPr>
          <w:rFonts w:ascii="微软雅黑" w:hAnsi="微软雅黑" w:eastAsia="微软雅黑" w:cs="微软雅黑"/>
          <w:color w:val="231F20"/>
          <w:spacing w:val="5"/>
          <w:sz w:val="22"/>
          <w:szCs w:val="22"/>
        </w:rPr>
        <w:t>年 )  》等专项规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2"/>
          <w:sz w:val="22"/>
          <w:szCs w:val="22"/>
        </w:rPr>
        <w:t>划</w:t>
      </w:r>
      <w:r>
        <w:rPr>
          <w:rFonts w:ascii="微软雅黑" w:hAnsi="微软雅黑" w:eastAsia="微软雅黑" w:cs="微软雅黑"/>
          <w:color w:val="231F20"/>
          <w:spacing w:val="-7"/>
          <w:sz w:val="22"/>
          <w:szCs w:val="22"/>
        </w:rPr>
        <w:t>中</w:t>
      </w:r>
      <w:r>
        <w:rPr>
          <w:rFonts w:ascii="微软雅黑" w:hAnsi="微软雅黑" w:eastAsia="微软雅黑" w:cs="微软雅黑"/>
          <w:color w:val="231F20"/>
          <w:spacing w:val="-6"/>
          <w:sz w:val="22"/>
          <w:szCs w:val="22"/>
        </w:rPr>
        <w:t>，明确提出支持集成电路、新型显示、智慧健康养老、超高清视频等重点领域发展，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加强集成电路关键技术攻关 、研发设计和产品制造，  鼓励全球领先电子信息企业</w:t>
      </w:r>
      <w:r>
        <w:rPr>
          <w:rFonts w:ascii="微软雅黑" w:hAnsi="微软雅黑" w:eastAsia="微软雅黑" w:cs="微软雅黑"/>
          <w:color w:val="231F20"/>
          <w:spacing w:val="3"/>
          <w:sz w:val="22"/>
          <w:szCs w:val="22"/>
        </w:rPr>
        <w:t>深</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化对华合作，为电子信息产业重点领域深化开放合作指明了方向。其中，</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1 </w:t>
      </w:r>
      <w:r>
        <w:rPr>
          <w:rFonts w:ascii="微软雅黑" w:hAnsi="微软雅黑" w:eastAsia="微软雅黑" w:cs="微软雅黑"/>
          <w:color w:val="231F20"/>
          <w:spacing w:val="-2"/>
          <w:sz w:val="22"/>
          <w:szCs w:val="22"/>
        </w:rPr>
        <w:t>月，</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工</w:t>
      </w:r>
      <w:r>
        <w:rPr>
          <w:rFonts w:ascii="微软雅黑" w:hAnsi="微软雅黑" w:eastAsia="微软雅黑" w:cs="微软雅黑"/>
          <w:color w:val="231F20"/>
          <w:spacing w:val="4"/>
          <w:sz w:val="22"/>
          <w:szCs w:val="22"/>
        </w:rPr>
        <w:t xml:space="preserve">业和信息化部发布的《基础电子元器件产业发展行动计划 ( </w:t>
      </w:r>
      <w:r>
        <w:rPr>
          <w:rFonts w:ascii="Times New Roman" w:hAnsi="Times New Roman" w:eastAsia="Times New Roman" w:cs="Times New Roman"/>
          <w:color w:val="231F20"/>
          <w:spacing w:val="4"/>
          <w:sz w:val="22"/>
          <w:szCs w:val="22"/>
        </w:rPr>
        <w:t xml:space="preserve">2021-2023 </w:t>
      </w:r>
      <w:r>
        <w:rPr>
          <w:rFonts w:ascii="微软雅黑" w:hAnsi="微软雅黑" w:eastAsia="微软雅黑" w:cs="微软雅黑"/>
          <w:color w:val="231F20"/>
          <w:spacing w:val="4"/>
          <w:sz w:val="22"/>
          <w:szCs w:val="22"/>
        </w:rPr>
        <w:t>年 )  》明确</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指出，要推动电子元器件产业国内国际相互促进 ，与境外企</w:t>
      </w:r>
      <w:r>
        <w:rPr>
          <w:rFonts w:ascii="微软雅黑" w:hAnsi="微软雅黑" w:eastAsia="微软雅黑" w:cs="微软雅黑"/>
          <w:color w:val="231F20"/>
          <w:sz w:val="22"/>
          <w:szCs w:val="22"/>
        </w:rPr>
        <w:t xml:space="preserve">业开展多种形式的技术 、 </w:t>
      </w:r>
      <w:r>
        <w:rPr>
          <w:rFonts w:ascii="微软雅黑" w:hAnsi="微软雅黑" w:eastAsia="微软雅黑" w:cs="微软雅黑"/>
          <w:color w:val="231F20"/>
          <w:spacing w:val="-6"/>
          <w:sz w:val="22"/>
          <w:szCs w:val="22"/>
        </w:rPr>
        <w:t>人才 、</w:t>
      </w:r>
      <w:r>
        <w:rPr>
          <w:rFonts w:ascii="微软雅黑" w:hAnsi="微软雅黑" w:eastAsia="微软雅黑" w:cs="微软雅黑"/>
          <w:color w:val="231F20"/>
          <w:spacing w:val="-5"/>
          <w:sz w:val="22"/>
          <w:szCs w:val="22"/>
        </w:rPr>
        <w:t>资</w:t>
      </w:r>
      <w:r>
        <w:rPr>
          <w:rFonts w:ascii="微软雅黑" w:hAnsi="微软雅黑" w:eastAsia="微软雅黑" w:cs="微软雅黑"/>
          <w:color w:val="231F20"/>
          <w:spacing w:val="-3"/>
          <w:sz w:val="22"/>
          <w:szCs w:val="22"/>
        </w:rPr>
        <w:t>本合作 ，构建开放发展 、合作共赢的产业格局。</w:t>
      </w:r>
    </w:p>
    <w:p>
      <w:pPr>
        <w:spacing w:before="180" w:line="214"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扩大外商投资产业目录范围，引导外商投向电子信息重</w:t>
      </w:r>
      <w:r>
        <w:rPr>
          <w:rFonts w:ascii="KaiTi" w:hAnsi="KaiTi" w:eastAsia="KaiTi" w:cs="KaiTi"/>
          <w:color w:val="015DAC"/>
          <w:sz w:val="22"/>
          <w:szCs w:val="22"/>
        </w:rPr>
        <w:t>点领域</w:t>
      </w:r>
    </w:p>
    <w:p>
      <w:pPr>
        <w:tabs>
          <w:tab w:val="left" w:pos="2093"/>
        </w:tabs>
        <w:spacing w:before="285" w:line="258" w:lineRule="auto"/>
        <w:ind w:left="1983" w:right="1977" w:firstLine="459"/>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w:t>
      </w:r>
      <w:r>
        <w:rPr>
          <w:rFonts w:ascii="微软雅黑" w:hAnsi="微软雅黑" w:eastAsia="微软雅黑" w:cs="微软雅黑"/>
          <w:color w:val="231F20"/>
          <w:spacing w:val="1"/>
          <w:sz w:val="22"/>
          <w:szCs w:val="22"/>
        </w:rPr>
        <w:t xml:space="preserve"> </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 xml:space="preserve">月实施《鼓励外商投资产业目录 ( </w:t>
      </w:r>
      <w:r>
        <w:rPr>
          <w:rFonts w:ascii="Times New Roman" w:hAnsi="Times New Roman" w:eastAsia="Times New Roman" w:cs="Times New Roman"/>
          <w:color w:val="231F20"/>
          <w:spacing w:val="1"/>
          <w:sz w:val="22"/>
          <w:szCs w:val="22"/>
        </w:rPr>
        <w:t xml:space="preserve">2020 </w:t>
      </w:r>
      <w:r>
        <w:rPr>
          <w:rFonts w:ascii="微软雅黑" w:hAnsi="微软雅黑" w:eastAsia="微软雅黑" w:cs="微软雅黑"/>
          <w:color w:val="231F20"/>
          <w:spacing w:val="1"/>
          <w:sz w:val="22"/>
          <w:szCs w:val="22"/>
        </w:rPr>
        <w:t>年版 )  》  ，在保持已有电子信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息产业鼓励政策基本稳定的基础上 ，新增或修改集成电路测试设备 、</w:t>
      </w:r>
      <w:r>
        <w:rPr>
          <w:rFonts w:ascii="Times New Roman" w:hAnsi="Times New Roman" w:eastAsia="Times New Roman" w:cs="Times New Roman"/>
          <w:color w:val="231F20"/>
          <w:sz w:val="22"/>
          <w:szCs w:val="22"/>
        </w:rPr>
        <w:t>L</w:t>
      </w:r>
      <w:r>
        <w:rPr>
          <w:rFonts w:ascii="Times New Roman" w:hAnsi="Times New Roman" w:eastAsia="Times New Roman" w:cs="Times New Roman"/>
          <w:color w:val="231F20"/>
          <w:spacing w:val="5"/>
          <w:sz w:val="22"/>
          <w:szCs w:val="22"/>
        </w:rPr>
        <w:t>3/</w:t>
      </w:r>
      <w:r>
        <w:rPr>
          <w:rFonts w:ascii="Times New Roman" w:hAnsi="Times New Roman" w:eastAsia="Times New Roman" w:cs="Times New Roman"/>
          <w:color w:val="231F20"/>
          <w:sz w:val="22"/>
          <w:szCs w:val="22"/>
        </w:rPr>
        <w:t>L</w:t>
      </w:r>
      <w:r>
        <w:rPr>
          <w:rFonts w:ascii="Times New Roman" w:hAnsi="Times New Roman" w:eastAsia="Times New Roman" w:cs="Times New Roman"/>
          <w:color w:val="231F20"/>
          <w:spacing w:val="5"/>
          <w:sz w:val="22"/>
          <w:szCs w:val="22"/>
        </w:rPr>
        <w:t>4/</w:t>
      </w:r>
      <w:r>
        <w:rPr>
          <w:rFonts w:ascii="Times New Roman" w:hAnsi="Times New Roman" w:eastAsia="Times New Roman" w:cs="Times New Roman"/>
          <w:color w:val="231F20"/>
          <w:sz w:val="22"/>
          <w:szCs w:val="22"/>
        </w:rPr>
        <w:t>L</w:t>
      </w:r>
      <w:r>
        <w:rPr>
          <w:rFonts w:ascii="Times New Roman" w:hAnsi="Times New Roman" w:eastAsia="Times New Roman" w:cs="Times New Roman"/>
          <w:color w:val="231F20"/>
          <w:spacing w:val="5"/>
          <w:sz w:val="22"/>
          <w:szCs w:val="22"/>
        </w:rPr>
        <w:t xml:space="preserve">5 </w:t>
      </w:r>
      <w:r>
        <w:rPr>
          <w:rFonts w:ascii="微软雅黑" w:hAnsi="微软雅黑" w:eastAsia="微软雅黑" w:cs="微软雅黑"/>
          <w:color w:val="231F20"/>
          <w:spacing w:val="5"/>
          <w:sz w:val="22"/>
          <w:szCs w:val="22"/>
        </w:rPr>
        <w:t>自</w:t>
      </w:r>
      <w:r>
        <w:rPr>
          <w:rFonts w:ascii="微软雅黑" w:hAnsi="微软雅黑" w:eastAsia="微软雅黑" w:cs="微软雅黑"/>
          <w:color w:val="231F20"/>
          <w:spacing w:val="2"/>
          <w:sz w:val="22"/>
          <w:szCs w:val="22"/>
        </w:rPr>
        <w:t>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驾驶</w:t>
      </w:r>
      <w:r>
        <w:rPr>
          <w:rFonts w:ascii="微软雅黑" w:hAnsi="微软雅黑" w:eastAsia="微软雅黑" w:cs="微软雅黑"/>
          <w:color w:val="231F20"/>
          <w:spacing w:val="5"/>
          <w:sz w:val="22"/>
          <w:szCs w:val="22"/>
        </w:rPr>
        <w:t>硬</w:t>
      </w:r>
      <w:r>
        <w:rPr>
          <w:rFonts w:ascii="微软雅黑" w:hAnsi="微软雅黑" w:eastAsia="微软雅黑" w:cs="微软雅黑"/>
          <w:color w:val="231F20"/>
          <w:spacing w:val="4"/>
          <w:sz w:val="22"/>
          <w:szCs w:val="22"/>
        </w:rPr>
        <w:t>件 、呼吸机 、人工智能辅助医疗设备等条目 。</w:t>
      </w:r>
      <w:r>
        <w:rPr>
          <w:rFonts w:ascii="Times New Roman" w:hAnsi="Times New Roman" w:eastAsia="Times New Roman" w:cs="Times New Roman"/>
          <w:color w:val="231F20"/>
          <w:spacing w:val="4"/>
          <w:sz w:val="22"/>
          <w:szCs w:val="22"/>
        </w:rPr>
        <w:t xml:space="preserve">2022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 xml:space="preserve">5 </w:t>
      </w:r>
      <w:r>
        <w:rPr>
          <w:rFonts w:ascii="微软雅黑" w:hAnsi="微软雅黑" w:eastAsia="微软雅黑" w:cs="微软雅黑"/>
          <w:color w:val="231F20"/>
          <w:spacing w:val="4"/>
          <w:sz w:val="22"/>
          <w:szCs w:val="22"/>
        </w:rPr>
        <w:t>月，  国家发展改革</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委和</w:t>
      </w:r>
      <w:r>
        <w:rPr>
          <w:rFonts w:ascii="微软雅黑" w:hAnsi="微软雅黑" w:eastAsia="微软雅黑" w:cs="微软雅黑"/>
          <w:color w:val="231F20"/>
          <w:spacing w:val="6"/>
          <w:sz w:val="22"/>
          <w:szCs w:val="22"/>
        </w:rPr>
        <w:t>商</w:t>
      </w:r>
      <w:r>
        <w:rPr>
          <w:rFonts w:ascii="微软雅黑" w:hAnsi="微软雅黑" w:eastAsia="微软雅黑" w:cs="微软雅黑"/>
          <w:color w:val="231F20"/>
          <w:spacing w:val="5"/>
          <w:sz w:val="22"/>
          <w:szCs w:val="22"/>
        </w:rPr>
        <w:t xml:space="preserve">务部发布《鼓励外商投资产业目录 ( </w:t>
      </w:r>
      <w:r>
        <w:rPr>
          <w:rFonts w:ascii="Times New Roman" w:hAnsi="Times New Roman" w:eastAsia="Times New Roman" w:cs="Times New Roman"/>
          <w:color w:val="231F20"/>
          <w:spacing w:val="5"/>
          <w:sz w:val="22"/>
          <w:szCs w:val="22"/>
        </w:rPr>
        <w:t xml:space="preserve">2022 </w:t>
      </w:r>
      <w:r>
        <w:rPr>
          <w:rFonts w:ascii="微软雅黑" w:hAnsi="微软雅黑" w:eastAsia="微软雅黑" w:cs="微软雅黑"/>
          <w:color w:val="231F20"/>
          <w:spacing w:val="5"/>
          <w:sz w:val="22"/>
          <w:szCs w:val="22"/>
        </w:rPr>
        <w:t>年版 )   ( 征求意见稿 )  》，  进 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7"/>
          <w:sz w:val="22"/>
          <w:szCs w:val="22"/>
        </w:rPr>
        <w:t>步</w:t>
      </w:r>
      <w:r>
        <w:rPr>
          <w:rFonts w:ascii="微软雅黑" w:hAnsi="微软雅黑" w:eastAsia="微软雅黑" w:cs="微软雅黑"/>
          <w:color w:val="231F20"/>
          <w:spacing w:val="10"/>
          <w:sz w:val="22"/>
          <w:szCs w:val="22"/>
        </w:rPr>
        <w:t>扩大了外商投资电子信息产业的范围，  增加了晶圆生产及再生 、表面封装技术</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z w:val="22"/>
          <w:szCs w:val="22"/>
        </w:rPr>
        <w:tab/>
      </w:r>
      <w:r>
        <w:rPr>
          <w:rFonts w:ascii="微软雅黑" w:hAnsi="微软雅黑" w:eastAsia="微软雅黑" w:cs="微软雅黑"/>
          <w:color w:val="231F20"/>
          <w:spacing w:val="8"/>
          <w:sz w:val="22"/>
          <w:szCs w:val="22"/>
        </w:rPr>
        <w:t xml:space="preserve">( </w:t>
      </w:r>
      <w:r>
        <w:rPr>
          <w:rFonts w:ascii="Times New Roman" w:hAnsi="Times New Roman" w:eastAsia="Times New Roman" w:cs="Times New Roman"/>
          <w:color w:val="231F20"/>
          <w:sz w:val="22"/>
          <w:szCs w:val="22"/>
        </w:rPr>
        <w:t>SMT</w:t>
      </w:r>
      <w:r>
        <w:rPr>
          <w:rFonts w:ascii="Times New Roman" w:hAnsi="Times New Roman" w:eastAsia="Times New Roman" w:cs="Times New Roman"/>
          <w:color w:val="231F20"/>
          <w:spacing w:val="8"/>
          <w:sz w:val="22"/>
          <w:szCs w:val="22"/>
        </w:rPr>
        <w:t xml:space="preserve"> </w:t>
      </w:r>
      <w:r>
        <w:rPr>
          <w:rFonts w:ascii="微软雅黑" w:hAnsi="微软雅黑" w:eastAsia="微软雅黑" w:cs="微软雅黑"/>
          <w:color w:val="231F20"/>
          <w:spacing w:val="8"/>
          <w:sz w:val="22"/>
          <w:szCs w:val="22"/>
        </w:rPr>
        <w:t>)  用</w:t>
      </w:r>
      <w:r>
        <w:rPr>
          <w:rFonts w:ascii="微软雅黑" w:hAnsi="微软雅黑" w:eastAsia="微软雅黑" w:cs="微软雅黑"/>
          <w:color w:val="231F20"/>
          <w:spacing w:val="4"/>
          <w:sz w:val="22"/>
          <w:szCs w:val="22"/>
        </w:rPr>
        <w:t>无铅焊锡膏 、高纯度 (  电子级 )  多晶硅材料开发制造等条目，  对于鼓</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8"/>
          <w:sz w:val="22"/>
          <w:szCs w:val="22"/>
        </w:rPr>
        <w:t>励</w:t>
      </w:r>
      <w:r>
        <w:rPr>
          <w:rFonts w:ascii="微软雅黑" w:hAnsi="微软雅黑" w:eastAsia="微软雅黑" w:cs="微软雅黑"/>
          <w:color w:val="231F20"/>
          <w:spacing w:val="15"/>
          <w:sz w:val="22"/>
          <w:szCs w:val="22"/>
        </w:rPr>
        <w:t>外</w:t>
      </w:r>
      <w:r>
        <w:rPr>
          <w:rFonts w:ascii="微软雅黑" w:hAnsi="微软雅黑" w:eastAsia="微软雅黑" w:cs="微软雅黑"/>
          <w:color w:val="231F20"/>
          <w:spacing w:val="14"/>
          <w:sz w:val="22"/>
          <w:szCs w:val="22"/>
        </w:rPr>
        <w:t>资企业投向电子信息产业链中关键环节和领域 、确保产业链供应链安全稳定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将</w:t>
      </w:r>
      <w:r>
        <w:rPr>
          <w:rFonts w:ascii="微软雅黑" w:hAnsi="微软雅黑" w:eastAsia="微软雅黑" w:cs="微软雅黑"/>
          <w:color w:val="231F20"/>
          <w:spacing w:val="9"/>
          <w:sz w:val="22"/>
          <w:szCs w:val="22"/>
        </w:rPr>
        <w:t>起到重要作用。</w:t>
      </w:r>
    </w:p>
    <w:p>
      <w:pPr>
        <w:spacing w:before="187" w:line="215" w:lineRule="auto"/>
        <w:ind w:left="2453"/>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加大重点领域政策支持力度，支持内</w:t>
      </w:r>
      <w:r>
        <w:rPr>
          <w:rFonts w:ascii="KaiTi" w:hAnsi="KaiTi" w:eastAsia="KaiTi" w:cs="KaiTi"/>
          <w:color w:val="015DAC"/>
          <w:sz w:val="22"/>
          <w:szCs w:val="22"/>
        </w:rPr>
        <w:t>外资企业创新发展</w:t>
      </w:r>
    </w:p>
    <w:p>
      <w:pPr>
        <w:spacing w:line="269" w:lineRule="auto"/>
        <w:rPr>
          <w:rFonts w:ascii="Arial"/>
          <w:sz w:val="21"/>
        </w:rPr>
      </w:pPr>
    </w:p>
    <w:p>
      <w:pPr>
        <w:spacing w:before="95" w:line="260" w:lineRule="auto"/>
        <w:ind w:left="1986" w:right="1987" w:firstLine="488"/>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中国是全球重要的集成电路市场。近年来</w:t>
      </w:r>
      <w:r>
        <w:rPr>
          <w:rFonts w:ascii="微软雅黑" w:hAnsi="微软雅黑" w:eastAsia="微软雅黑" w:cs="微软雅黑"/>
          <w:color w:val="231F20"/>
          <w:sz w:val="22"/>
          <w:szCs w:val="22"/>
        </w:rPr>
        <w:t xml:space="preserve"> ，中国集成电路的产业规模不断扩大， </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年全行业销售额</w:t>
      </w:r>
      <w:r>
        <w:rPr>
          <w:rFonts w:ascii="微软雅黑" w:hAnsi="微软雅黑" w:eastAsia="微软雅黑" w:cs="微软雅黑"/>
          <w:color w:val="231F20"/>
          <w:spacing w:val="2"/>
          <w:sz w:val="22"/>
          <w:szCs w:val="22"/>
        </w:rPr>
        <w:t>首次突破了万亿元。为支持集成电路产业发展，</w:t>
      </w:r>
      <w:r>
        <w:rPr>
          <w:rFonts w:ascii="Times New Roman" w:hAnsi="Times New Roman" w:eastAsia="Times New Roman" w:cs="Times New Roman"/>
          <w:color w:val="231F20"/>
          <w:spacing w:val="2"/>
          <w:sz w:val="22"/>
          <w:szCs w:val="22"/>
        </w:rPr>
        <w:t xml:space="preserve">2020 </w:t>
      </w:r>
      <w:r>
        <w:rPr>
          <w:rFonts w:ascii="微软雅黑" w:hAnsi="微软雅黑" w:eastAsia="微软雅黑" w:cs="微软雅黑"/>
          <w:color w:val="231F20"/>
          <w:spacing w:val="2"/>
          <w:sz w:val="22"/>
          <w:szCs w:val="22"/>
        </w:rPr>
        <w:t>年，  中国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出台了《</w:t>
      </w:r>
      <w:r>
        <w:rPr>
          <w:rFonts w:ascii="微软雅黑" w:hAnsi="微软雅黑" w:eastAsia="微软雅黑" w:cs="微软雅黑"/>
          <w:color w:val="231F20"/>
          <w:spacing w:val="3"/>
          <w:sz w:val="22"/>
          <w:szCs w:val="22"/>
        </w:rPr>
        <w:t>新</w:t>
      </w:r>
      <w:r>
        <w:rPr>
          <w:rFonts w:ascii="微软雅黑" w:hAnsi="微软雅黑" w:eastAsia="微软雅黑" w:cs="微软雅黑"/>
          <w:color w:val="231F20"/>
          <w:spacing w:val="2"/>
          <w:sz w:val="22"/>
          <w:szCs w:val="22"/>
        </w:rPr>
        <w:t>时期促进集成电路产业和软件产业高质量发展若干政策》  ，  内外资企业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享有集成电路线宽小于 </w:t>
      </w:r>
      <w:r>
        <w:rPr>
          <w:rFonts w:ascii="Times New Roman" w:hAnsi="Times New Roman" w:eastAsia="Times New Roman" w:cs="Times New Roman"/>
          <w:color w:val="231F20"/>
          <w:spacing w:val="5"/>
          <w:sz w:val="22"/>
          <w:szCs w:val="22"/>
        </w:rPr>
        <w:t>2</w:t>
      </w:r>
      <w:r>
        <w:rPr>
          <w:rFonts w:ascii="Times New Roman" w:hAnsi="Times New Roman" w:eastAsia="Times New Roman" w:cs="Times New Roman"/>
          <w:color w:val="231F20"/>
          <w:spacing w:val="3"/>
          <w:sz w:val="22"/>
          <w:szCs w:val="22"/>
        </w:rPr>
        <w:t xml:space="preserve">8 </w:t>
      </w:r>
      <w:r>
        <w:rPr>
          <w:rFonts w:ascii="微软雅黑" w:hAnsi="微软雅黑" w:eastAsia="微软雅黑" w:cs="微软雅黑"/>
          <w:color w:val="231F20"/>
          <w:spacing w:val="3"/>
          <w:sz w:val="22"/>
          <w:szCs w:val="22"/>
        </w:rPr>
        <w:t xml:space="preserve">纳米 ( 含 )  </w:t>
      </w:r>
      <w:r>
        <w:rPr>
          <w:rFonts w:ascii="Times New Roman" w:hAnsi="Times New Roman" w:eastAsia="Times New Roman" w:cs="Times New Roman"/>
          <w:color w:val="231F20"/>
          <w:spacing w:val="3"/>
          <w:sz w:val="22"/>
          <w:szCs w:val="22"/>
        </w:rPr>
        <w:t xml:space="preserve">10 </w:t>
      </w:r>
      <w:r>
        <w:rPr>
          <w:rFonts w:ascii="微软雅黑" w:hAnsi="微软雅黑" w:eastAsia="微软雅黑" w:cs="微软雅黑"/>
          <w:color w:val="231F20"/>
          <w:spacing w:val="3"/>
          <w:sz w:val="22"/>
          <w:szCs w:val="22"/>
        </w:rPr>
        <w:t xml:space="preserve">年免税，  线宽小于 </w:t>
      </w:r>
      <w:r>
        <w:rPr>
          <w:rFonts w:ascii="Times New Roman" w:hAnsi="Times New Roman" w:eastAsia="Times New Roman" w:cs="Times New Roman"/>
          <w:color w:val="231F20"/>
          <w:spacing w:val="3"/>
          <w:sz w:val="22"/>
          <w:szCs w:val="22"/>
        </w:rPr>
        <w:t xml:space="preserve">65 </w:t>
      </w:r>
      <w:r>
        <w:rPr>
          <w:rFonts w:ascii="微软雅黑" w:hAnsi="微软雅黑" w:eastAsia="微软雅黑" w:cs="微软雅黑"/>
          <w:color w:val="231F20"/>
          <w:spacing w:val="3"/>
          <w:sz w:val="22"/>
          <w:szCs w:val="22"/>
        </w:rPr>
        <w:t xml:space="preserve">纳米 ( 含 ) </w:t>
      </w:r>
      <w:r>
        <w:rPr>
          <w:rFonts w:ascii="Times New Roman" w:hAnsi="Times New Roman" w:eastAsia="Times New Roman" w:cs="Times New Roman"/>
          <w:color w:val="231F20"/>
          <w:spacing w:val="3"/>
          <w:sz w:val="22"/>
          <w:szCs w:val="22"/>
        </w:rPr>
        <w:t xml:space="preserve">5 </w:t>
      </w:r>
      <w:r>
        <w:rPr>
          <w:rFonts w:ascii="微软雅黑" w:hAnsi="微软雅黑" w:eastAsia="微软雅黑" w:cs="微软雅黑"/>
          <w:color w:val="231F20"/>
          <w:spacing w:val="3"/>
          <w:sz w:val="22"/>
          <w:szCs w:val="22"/>
        </w:rPr>
        <w:t>年免税</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和 </w:t>
      </w:r>
      <w:r>
        <w:rPr>
          <w:rFonts w:ascii="Times New Roman" w:hAnsi="Times New Roman" w:eastAsia="Times New Roman" w:cs="Times New Roman"/>
          <w:color w:val="231F20"/>
          <w:spacing w:val="1"/>
          <w:sz w:val="22"/>
          <w:szCs w:val="22"/>
        </w:rPr>
        <w:t xml:space="preserve">5 </w:t>
      </w:r>
      <w:r>
        <w:rPr>
          <w:rFonts w:ascii="微软雅黑" w:hAnsi="微软雅黑" w:eastAsia="微软雅黑" w:cs="微软雅黑"/>
          <w:color w:val="231F20"/>
          <w:spacing w:val="1"/>
          <w:sz w:val="22"/>
          <w:szCs w:val="22"/>
        </w:rPr>
        <w:t xml:space="preserve">年减半 ，线宽小于 </w:t>
      </w:r>
      <w:r>
        <w:rPr>
          <w:rFonts w:ascii="Times New Roman" w:hAnsi="Times New Roman" w:eastAsia="Times New Roman" w:cs="Times New Roman"/>
          <w:color w:val="231F20"/>
          <w:spacing w:val="1"/>
          <w:sz w:val="22"/>
          <w:szCs w:val="22"/>
        </w:rPr>
        <w:t xml:space="preserve">130 </w:t>
      </w:r>
      <w:r>
        <w:rPr>
          <w:rFonts w:ascii="微软雅黑" w:hAnsi="微软雅黑" w:eastAsia="微软雅黑" w:cs="微软雅黑"/>
          <w:color w:val="231F20"/>
          <w:spacing w:val="1"/>
          <w:sz w:val="22"/>
          <w:szCs w:val="22"/>
        </w:rPr>
        <w:t>纳米 ( 含 )   “两免三减半”等政策</w:t>
      </w:r>
      <w:r>
        <w:rPr>
          <w:rFonts w:ascii="微软雅黑" w:hAnsi="微软雅黑" w:eastAsia="微软雅黑" w:cs="微软雅黑"/>
          <w:color w:val="231F20"/>
          <w:sz w:val="22"/>
          <w:szCs w:val="22"/>
        </w:rPr>
        <w:t>。</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 </w:t>
      </w:r>
      <w:r>
        <w:rPr>
          <w:rFonts w:ascii="Times New Roman" w:hAnsi="Times New Roman" w:eastAsia="Times New Roman" w:cs="Times New Roman"/>
          <w:color w:val="231F20"/>
          <w:sz w:val="22"/>
          <w:szCs w:val="22"/>
        </w:rPr>
        <w:t xml:space="preserve">3 </w:t>
      </w:r>
      <w:r>
        <w:rPr>
          <w:rFonts w:ascii="微软雅黑" w:hAnsi="微软雅黑" w:eastAsia="微软雅黑" w:cs="微软雅黑"/>
          <w:color w:val="231F20"/>
          <w:sz w:val="22"/>
          <w:szCs w:val="22"/>
        </w:rPr>
        <w:t>月 ，财政</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87225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bookmarkStart w:id="33" w:name="_bookmark104"/>
      <w:bookmarkEnd w:id="33"/>
      <w:r>
        <w:rPr>
          <w:rFonts w:ascii="Arial" w:hAnsi="Arial" w:eastAsia="Arial" w:cs="Arial"/>
          <w:color w:val="231F20"/>
          <w:spacing w:val="40"/>
          <w:sz w:val="20"/>
          <w:szCs w:val="20"/>
        </w:rPr>
        <w:t>3</w:t>
      </w:r>
      <w:r>
        <w:rPr>
          <w:rFonts w:ascii="Arial" w:hAnsi="Arial" w:eastAsia="Arial" w:cs="Arial"/>
          <w:color w:val="231F20"/>
          <w:spacing w:val="21"/>
          <w:sz w:val="20"/>
          <w:szCs w:val="20"/>
        </w:rPr>
        <w:t xml:space="preserve">6  </w:t>
      </w:r>
      <w:r>
        <w:rPr>
          <w:position w:val="-5"/>
          <w:sz w:val="20"/>
          <w:szCs w:val="20"/>
        </w:rPr>
        <w:drawing>
          <wp:inline distT="0" distB="0" distL="0" distR="0">
            <wp:extent cx="3175" cy="14732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197" name="IM 197"/>
            <wp:cNvGraphicFramePr/>
            <a:graphic xmlns:a="http://schemas.openxmlformats.org/drawingml/2006/main">
              <a:graphicData uri="http://schemas.openxmlformats.org/drawingml/2006/picture">
                <pic:pic xmlns:pic="http://schemas.openxmlformats.org/drawingml/2006/picture">
                  <pic:nvPicPr>
                    <pic:cNvPr id="197" name="IM 197"/>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产业篇</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94" w:line="261" w:lineRule="auto"/>
        <w:ind w:left="1991" w:right="1986" w:firstLine="3"/>
        <w:rPr>
          <w:rFonts w:ascii="微软雅黑" w:hAnsi="微软雅黑" w:eastAsia="微软雅黑" w:cs="微软雅黑"/>
          <w:sz w:val="22"/>
          <w:szCs w:val="22"/>
        </w:rPr>
      </w:pPr>
      <w:r>
        <w:rPr>
          <w:rFonts w:ascii="微软雅黑" w:hAnsi="微软雅黑" w:eastAsia="微软雅黑" w:cs="微软雅黑"/>
          <w:color w:val="231F20"/>
          <w:spacing w:val="10"/>
          <w:sz w:val="22"/>
          <w:szCs w:val="22"/>
        </w:rPr>
        <w:t>部等部门发</w:t>
      </w:r>
      <w:r>
        <w:rPr>
          <w:rFonts w:ascii="微软雅黑" w:hAnsi="微软雅黑" w:eastAsia="微软雅黑" w:cs="微软雅黑"/>
          <w:color w:val="231F20"/>
          <w:spacing w:val="9"/>
          <w:sz w:val="22"/>
          <w:szCs w:val="22"/>
        </w:rPr>
        <w:t>布</w:t>
      </w:r>
      <w:r>
        <w:rPr>
          <w:rFonts w:ascii="微软雅黑" w:hAnsi="微软雅黑" w:eastAsia="微软雅黑" w:cs="微软雅黑"/>
          <w:color w:val="231F20"/>
          <w:spacing w:val="5"/>
          <w:sz w:val="22"/>
          <w:szCs w:val="22"/>
        </w:rPr>
        <w:t>《关于支持集成电路产业和软件产业发展进口税收政策的通知》   ( 财</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关税〔 </w:t>
      </w:r>
      <w:r>
        <w:rPr>
          <w:rFonts w:ascii="Times New Roman" w:hAnsi="Times New Roman" w:eastAsia="Times New Roman" w:cs="Times New Roman"/>
          <w:color w:val="231F20"/>
          <w:spacing w:val="-2"/>
          <w:sz w:val="22"/>
          <w:szCs w:val="22"/>
        </w:rPr>
        <w:t>2</w:t>
      </w:r>
      <w:r>
        <w:rPr>
          <w:rFonts w:ascii="Times New Roman" w:hAnsi="Times New Roman" w:eastAsia="Times New Roman" w:cs="Times New Roman"/>
          <w:color w:val="231F20"/>
          <w:spacing w:val="-1"/>
          <w:sz w:val="22"/>
          <w:szCs w:val="22"/>
        </w:rPr>
        <w:t xml:space="preserve">021 </w:t>
      </w:r>
      <w:r>
        <w:rPr>
          <w:rFonts w:ascii="微软雅黑" w:hAnsi="微软雅黑" w:eastAsia="微软雅黑" w:cs="微软雅黑"/>
          <w:color w:val="231F20"/>
          <w:spacing w:val="-1"/>
          <w:sz w:val="22"/>
          <w:szCs w:val="22"/>
        </w:rPr>
        <w:t>〕</w:t>
      </w:r>
      <w:r>
        <w:rPr>
          <w:rFonts w:ascii="Times New Roman" w:hAnsi="Times New Roman" w:eastAsia="Times New Roman" w:cs="Times New Roman"/>
          <w:color w:val="231F20"/>
          <w:spacing w:val="-1"/>
          <w:sz w:val="22"/>
          <w:szCs w:val="22"/>
        </w:rPr>
        <w:t xml:space="preserve">4 </w:t>
      </w:r>
      <w:r>
        <w:rPr>
          <w:rFonts w:ascii="微软雅黑" w:hAnsi="微软雅黑" w:eastAsia="微软雅黑" w:cs="微软雅黑"/>
          <w:color w:val="231F20"/>
          <w:spacing w:val="-1"/>
          <w:sz w:val="22"/>
          <w:szCs w:val="22"/>
        </w:rPr>
        <w:t>号 )  ，对不同类别集成电路生产原材料 、设备等免征进口关税。</w:t>
      </w:r>
      <w:r>
        <w:rPr>
          <w:rFonts w:ascii="Times New Roman" w:hAnsi="Times New Roman" w:eastAsia="Times New Roman" w:cs="Times New Roman"/>
          <w:color w:val="231F20"/>
          <w:spacing w:val="-1"/>
          <w:sz w:val="22"/>
          <w:szCs w:val="22"/>
        </w:rPr>
        <w:t>2022</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2 </w:t>
      </w:r>
      <w:r>
        <w:rPr>
          <w:rFonts w:ascii="微软雅黑" w:hAnsi="微软雅黑" w:eastAsia="微软雅黑" w:cs="微软雅黑"/>
          <w:color w:val="231F20"/>
          <w:spacing w:val="2"/>
          <w:sz w:val="22"/>
          <w:szCs w:val="22"/>
        </w:rPr>
        <w:t>月 ，工业和信息化部会同有关部门公布了《集</w:t>
      </w:r>
      <w:r>
        <w:rPr>
          <w:rFonts w:ascii="微软雅黑" w:hAnsi="微软雅黑" w:eastAsia="微软雅黑" w:cs="微软雅黑"/>
          <w:color w:val="231F20"/>
          <w:spacing w:val="1"/>
          <w:sz w:val="22"/>
          <w:szCs w:val="22"/>
        </w:rPr>
        <w:t>成电路企业免税进口产品清单 ( 第</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一</w:t>
      </w:r>
      <w:r>
        <w:rPr>
          <w:rFonts w:ascii="微软雅黑" w:hAnsi="微软雅黑" w:eastAsia="微软雅黑" w:cs="微软雅黑"/>
          <w:color w:val="231F20"/>
          <w:spacing w:val="4"/>
          <w:sz w:val="22"/>
          <w:szCs w:val="22"/>
        </w:rPr>
        <w:t>批 )  》，  并对享受相关政策的企业条件进行了公告。这些政策对内外资企业一视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同仁 ，有利</w:t>
      </w:r>
      <w:r>
        <w:rPr>
          <w:rFonts w:ascii="微软雅黑" w:hAnsi="微软雅黑" w:eastAsia="微软雅黑" w:cs="微软雅黑"/>
          <w:color w:val="231F20"/>
          <w:sz w:val="22"/>
          <w:szCs w:val="22"/>
        </w:rPr>
        <w:t>于集成电路企业加大产业发展力度。</w:t>
      </w:r>
    </w:p>
    <w:p>
      <w:pPr>
        <w:spacing w:line="380" w:lineRule="auto"/>
        <w:rPr>
          <w:rFonts w:ascii="Arial"/>
          <w:sz w:val="21"/>
        </w:rPr>
      </w:pPr>
    </w:p>
    <w:p>
      <w:pPr>
        <w:spacing w:before="65" w:line="226" w:lineRule="auto"/>
        <w:ind w:left="3242"/>
        <w:rPr>
          <w:rFonts w:ascii="SimHei" w:hAnsi="SimHei" w:eastAsia="SimHei" w:cs="SimHei"/>
          <w:sz w:val="20"/>
          <w:szCs w:val="20"/>
        </w:rPr>
      </w:pPr>
      <w:r>
        <w:rPr>
          <w:rFonts w:ascii="SimHei" w:hAnsi="SimHei" w:eastAsia="SimHei" w:cs="SimHei"/>
          <w:color w:val="231F20"/>
          <w:spacing w:val="12"/>
          <w:sz w:val="20"/>
          <w:szCs w:val="20"/>
        </w:rPr>
        <w:t xml:space="preserve">表 </w:t>
      </w:r>
      <w:r>
        <w:rPr>
          <w:rFonts w:ascii="Times New Roman" w:hAnsi="Times New Roman" w:eastAsia="Times New Roman" w:cs="Times New Roman"/>
          <w:color w:val="231F20"/>
          <w:spacing w:val="12"/>
          <w:sz w:val="20"/>
          <w:szCs w:val="20"/>
        </w:rPr>
        <w:t>2</w:t>
      </w:r>
      <w:r>
        <w:rPr>
          <w:rFonts w:ascii="Times New Roman" w:hAnsi="Times New Roman" w:eastAsia="Times New Roman" w:cs="Times New Roman"/>
          <w:color w:val="231F20"/>
          <w:spacing w:val="11"/>
          <w:sz w:val="20"/>
          <w:szCs w:val="20"/>
        </w:rPr>
        <w:t>-</w:t>
      </w:r>
      <w:r>
        <w:rPr>
          <w:rFonts w:ascii="Times New Roman" w:hAnsi="Times New Roman" w:eastAsia="Times New Roman" w:cs="Times New Roman"/>
          <w:color w:val="231F20"/>
          <w:spacing w:val="6"/>
          <w:sz w:val="20"/>
          <w:szCs w:val="20"/>
        </w:rPr>
        <w:t xml:space="preserve">2 2020-2022 </w:t>
      </w:r>
      <w:r>
        <w:rPr>
          <w:rFonts w:ascii="SimHei" w:hAnsi="SimHei" w:eastAsia="SimHei" w:cs="SimHei"/>
          <w:color w:val="231F20"/>
          <w:spacing w:val="6"/>
          <w:sz w:val="20"/>
          <w:szCs w:val="20"/>
        </w:rPr>
        <w:t>年中国支持集成电路产业发展的主要政策文件</w:t>
      </w:r>
    </w:p>
    <w:p>
      <w:pPr>
        <w:spacing w:line="159" w:lineRule="exact"/>
      </w:pPr>
    </w:p>
    <w:tbl>
      <w:tblPr>
        <w:tblStyle w:val="4"/>
        <w:tblW w:w="8277" w:type="dxa"/>
        <w:tblInd w:w="1984" w:type="dxa"/>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Layout w:type="fixed"/>
        <w:tblCellMar>
          <w:top w:w="0" w:type="dxa"/>
          <w:left w:w="0" w:type="dxa"/>
          <w:bottom w:w="0" w:type="dxa"/>
          <w:right w:w="0" w:type="dxa"/>
        </w:tblCellMar>
      </w:tblPr>
      <w:tblGrid>
        <w:gridCol w:w="1319"/>
        <w:gridCol w:w="1423"/>
        <w:gridCol w:w="2250"/>
        <w:gridCol w:w="3285"/>
      </w:tblGrid>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615" w:hRule="atLeast"/>
        </w:trPr>
        <w:tc>
          <w:tcPr>
            <w:tcW w:w="1319" w:type="dxa"/>
            <w:tcBorders>
              <w:left w:val="nil"/>
            </w:tcBorders>
            <w:vAlign w:val="top"/>
          </w:tcPr>
          <w:p>
            <w:pPr>
              <w:spacing w:before="210" w:line="223" w:lineRule="auto"/>
              <w:ind w:left="473"/>
              <w:rPr>
                <w:rFonts w:ascii="SimHei" w:hAnsi="SimHei" w:eastAsia="SimHei" w:cs="SimHei"/>
                <w:sz w:val="20"/>
                <w:szCs w:val="20"/>
              </w:rPr>
            </w:pPr>
            <w:r>
              <w:drawing>
                <wp:anchor distT="0" distB="0" distL="0" distR="0" simplePos="0" relativeHeight="251873280" behindDoc="1" locked="0" layoutInCell="1" allowOverlap="1">
                  <wp:simplePos x="0" y="0"/>
                  <wp:positionH relativeFrom="column">
                    <wp:posOffset>0</wp:posOffset>
                  </wp:positionH>
                  <wp:positionV relativeFrom="paragraph">
                    <wp:posOffset>3175</wp:posOffset>
                  </wp:positionV>
                  <wp:extent cx="5255895" cy="2685415"/>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96"/>
                          <a:stretch>
                            <a:fillRect/>
                          </a:stretch>
                        </pic:blipFill>
                        <pic:spPr>
                          <a:xfrm>
                            <a:off x="0" y="0"/>
                            <a:ext cx="5255996" cy="2685503"/>
                          </a:xfrm>
                          <a:prstGeom prst="rect">
                            <a:avLst/>
                          </a:prstGeom>
                        </pic:spPr>
                      </pic:pic>
                    </a:graphicData>
                  </a:graphic>
                </wp:anchor>
              </w:drawing>
            </w:r>
            <w:r>
              <w:rPr>
                <w:rFonts w:ascii="SimHei" w:hAnsi="SimHei" w:eastAsia="SimHei" w:cs="SimHei"/>
                <w:color w:val="231F20"/>
                <w:spacing w:val="-4"/>
                <w:sz w:val="20"/>
                <w:szCs w:val="20"/>
              </w:rPr>
              <w:t>时</w:t>
            </w:r>
            <w:r>
              <w:rPr>
                <w:rFonts w:ascii="SimHei" w:hAnsi="SimHei" w:eastAsia="SimHei" w:cs="SimHei"/>
                <w:color w:val="231F20"/>
                <w:spacing w:val="-3"/>
                <w:sz w:val="20"/>
                <w:szCs w:val="20"/>
              </w:rPr>
              <w:t>间</w:t>
            </w:r>
          </w:p>
        </w:tc>
        <w:tc>
          <w:tcPr>
            <w:tcW w:w="1423" w:type="dxa"/>
            <w:vAlign w:val="top"/>
          </w:tcPr>
          <w:p>
            <w:pPr>
              <w:spacing w:before="210" w:line="221" w:lineRule="auto"/>
              <w:ind w:left="316"/>
              <w:rPr>
                <w:rFonts w:ascii="SimHei" w:hAnsi="SimHei" w:eastAsia="SimHei" w:cs="SimHei"/>
                <w:sz w:val="20"/>
                <w:szCs w:val="20"/>
              </w:rPr>
            </w:pPr>
            <w:r>
              <w:rPr>
                <w:rFonts w:ascii="SimHei" w:hAnsi="SimHei" w:eastAsia="SimHei" w:cs="SimHei"/>
                <w:color w:val="231F20"/>
                <w:spacing w:val="-2"/>
                <w:sz w:val="20"/>
                <w:szCs w:val="20"/>
              </w:rPr>
              <w:t>发</w:t>
            </w:r>
            <w:r>
              <w:rPr>
                <w:rFonts w:ascii="SimHei" w:hAnsi="SimHei" w:eastAsia="SimHei" w:cs="SimHei"/>
                <w:color w:val="231F20"/>
                <w:spacing w:val="-1"/>
                <w:sz w:val="20"/>
                <w:szCs w:val="20"/>
              </w:rPr>
              <w:t>文部门</w:t>
            </w:r>
          </w:p>
        </w:tc>
        <w:tc>
          <w:tcPr>
            <w:tcW w:w="2250" w:type="dxa"/>
            <w:vAlign w:val="top"/>
          </w:tcPr>
          <w:p>
            <w:pPr>
              <w:spacing w:before="209" w:line="222" w:lineRule="auto"/>
              <w:ind w:left="731"/>
              <w:rPr>
                <w:rFonts w:ascii="SimHei" w:hAnsi="SimHei" w:eastAsia="SimHei" w:cs="SimHei"/>
                <w:sz w:val="20"/>
                <w:szCs w:val="20"/>
              </w:rPr>
            </w:pPr>
            <w:r>
              <w:rPr>
                <w:rFonts w:ascii="SimHei" w:hAnsi="SimHei" w:eastAsia="SimHei" w:cs="SimHei"/>
                <w:color w:val="231F20"/>
                <w:spacing w:val="-2"/>
                <w:sz w:val="20"/>
                <w:szCs w:val="20"/>
              </w:rPr>
              <w:t>文件</w:t>
            </w:r>
            <w:r>
              <w:rPr>
                <w:rFonts w:ascii="SimHei" w:hAnsi="SimHei" w:eastAsia="SimHei" w:cs="SimHei"/>
                <w:color w:val="231F20"/>
                <w:spacing w:val="-1"/>
                <w:sz w:val="20"/>
                <w:szCs w:val="20"/>
              </w:rPr>
              <w:t>名称</w:t>
            </w:r>
          </w:p>
        </w:tc>
        <w:tc>
          <w:tcPr>
            <w:tcW w:w="3285" w:type="dxa"/>
            <w:tcBorders>
              <w:right w:val="nil"/>
            </w:tcBorders>
            <w:vAlign w:val="top"/>
          </w:tcPr>
          <w:p>
            <w:pPr>
              <w:spacing w:before="210" w:line="222" w:lineRule="auto"/>
              <w:ind w:left="1249"/>
              <w:rPr>
                <w:rFonts w:ascii="SimHei" w:hAnsi="SimHei" w:eastAsia="SimHei" w:cs="SimHei"/>
                <w:sz w:val="20"/>
                <w:szCs w:val="20"/>
              </w:rPr>
            </w:pPr>
            <w:r>
              <w:rPr>
                <w:rFonts w:ascii="SimHei" w:hAnsi="SimHei" w:eastAsia="SimHei" w:cs="SimHei"/>
                <w:color w:val="231F20"/>
                <w:spacing w:val="-2"/>
                <w:sz w:val="20"/>
                <w:szCs w:val="20"/>
              </w:rPr>
              <w:t>主要</w:t>
            </w:r>
            <w:r>
              <w:rPr>
                <w:rFonts w:ascii="SimHei" w:hAnsi="SimHei" w:eastAsia="SimHei" w:cs="SimHei"/>
                <w:color w:val="231F20"/>
                <w:spacing w:val="-1"/>
                <w:sz w:val="20"/>
                <w:szCs w:val="20"/>
              </w:rPr>
              <w:t>内容</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1278" w:hRule="atLeast"/>
        </w:trPr>
        <w:tc>
          <w:tcPr>
            <w:tcW w:w="1319" w:type="dxa"/>
            <w:tcBorders>
              <w:left w:val="nil"/>
            </w:tcBorders>
            <w:vAlign w:val="top"/>
          </w:tcPr>
          <w:p>
            <w:pPr>
              <w:spacing w:line="469" w:lineRule="auto"/>
              <w:rPr>
                <w:rFonts w:ascii="Arial"/>
                <w:sz w:val="21"/>
              </w:rPr>
            </w:pPr>
          </w:p>
          <w:p>
            <w:pPr>
              <w:spacing w:before="65" w:line="223" w:lineRule="auto"/>
              <w:ind w:left="137"/>
              <w:rPr>
                <w:rFonts w:ascii="SimHei" w:hAnsi="SimHei" w:eastAsia="SimHei" w:cs="SimHei"/>
                <w:sz w:val="20"/>
                <w:szCs w:val="20"/>
              </w:rPr>
            </w:pPr>
            <w:r>
              <w:rPr>
                <w:rFonts w:ascii="SimHei" w:hAnsi="SimHei" w:eastAsia="SimHei" w:cs="SimHei"/>
                <w:color w:val="231F20"/>
                <w:spacing w:val="-21"/>
                <w:sz w:val="20"/>
                <w:szCs w:val="20"/>
              </w:rPr>
              <w:t>2</w:t>
            </w:r>
            <w:r>
              <w:rPr>
                <w:rFonts w:ascii="SimHei" w:hAnsi="SimHei" w:eastAsia="SimHei" w:cs="SimHei"/>
                <w:color w:val="231F20"/>
                <w:spacing w:val="-13"/>
                <w:sz w:val="20"/>
                <w:szCs w:val="20"/>
              </w:rPr>
              <w:t>020 年 8 月</w:t>
            </w:r>
          </w:p>
        </w:tc>
        <w:tc>
          <w:tcPr>
            <w:tcW w:w="1423" w:type="dxa"/>
            <w:vAlign w:val="top"/>
          </w:tcPr>
          <w:p>
            <w:pPr>
              <w:spacing w:line="442" w:lineRule="auto"/>
              <w:rPr>
                <w:rFonts w:ascii="Arial"/>
                <w:sz w:val="21"/>
              </w:rPr>
            </w:pPr>
          </w:p>
          <w:p>
            <w:pPr>
              <w:spacing w:before="86" w:line="202" w:lineRule="auto"/>
              <w:ind w:left="430"/>
              <w:rPr>
                <w:rFonts w:ascii="微软雅黑" w:hAnsi="微软雅黑" w:eastAsia="微软雅黑" w:cs="微软雅黑"/>
                <w:sz w:val="20"/>
                <w:szCs w:val="20"/>
              </w:rPr>
            </w:pPr>
            <w:r>
              <w:rPr>
                <w:rFonts w:ascii="微软雅黑" w:hAnsi="微软雅黑" w:eastAsia="微软雅黑" w:cs="微软雅黑"/>
                <w:color w:val="231F20"/>
                <w:spacing w:val="-7"/>
                <w:sz w:val="20"/>
                <w:szCs w:val="20"/>
              </w:rPr>
              <w:t>国务院</w:t>
            </w:r>
          </w:p>
        </w:tc>
        <w:tc>
          <w:tcPr>
            <w:tcW w:w="2250" w:type="dxa"/>
            <w:vAlign w:val="top"/>
          </w:tcPr>
          <w:p>
            <w:pPr>
              <w:spacing w:before="48" w:line="172" w:lineRule="auto"/>
              <w:ind w:left="33" w:right="20" w:hanging="20"/>
              <w:rPr>
                <w:rFonts w:ascii="Times New Roman" w:hAnsi="Times New Roman" w:eastAsia="Times New Roman" w:cs="Times New Roman"/>
                <w:sz w:val="20"/>
                <w:szCs w:val="20"/>
              </w:rPr>
            </w:pPr>
            <w:r>
              <w:rPr>
                <w:rFonts w:ascii="微软雅黑" w:hAnsi="微软雅黑" w:eastAsia="微软雅黑" w:cs="微软雅黑"/>
                <w:color w:val="231F20"/>
                <w:spacing w:val="-20"/>
                <w:sz w:val="20"/>
                <w:szCs w:val="20"/>
              </w:rPr>
              <w:t>《</w:t>
            </w:r>
            <w:r>
              <w:rPr>
                <w:rFonts w:ascii="微软雅黑" w:hAnsi="微软雅黑" w:eastAsia="微软雅黑" w:cs="微软雅黑"/>
                <w:color w:val="231F20"/>
                <w:spacing w:val="-17"/>
                <w:sz w:val="20"/>
                <w:szCs w:val="20"/>
              </w:rPr>
              <w:t xml:space="preserve"> 关 于 印 发 新 时 期 促 进</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3"/>
                <w:sz w:val="20"/>
                <w:szCs w:val="20"/>
              </w:rPr>
              <w:t>集</w:t>
            </w:r>
            <w:r>
              <w:rPr>
                <w:rFonts w:ascii="微软雅黑" w:hAnsi="微软雅黑" w:eastAsia="微软雅黑" w:cs="微软雅黑"/>
                <w:color w:val="231F20"/>
                <w:spacing w:val="-18"/>
                <w:sz w:val="20"/>
                <w:szCs w:val="20"/>
              </w:rPr>
              <w:t xml:space="preserve"> 成 电 路 产 业 和 软 件 产</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2"/>
                <w:sz w:val="20"/>
                <w:szCs w:val="20"/>
              </w:rPr>
              <w:t>业</w:t>
            </w:r>
            <w:r>
              <w:rPr>
                <w:rFonts w:ascii="微软雅黑" w:hAnsi="微软雅黑" w:eastAsia="微软雅黑" w:cs="微软雅黑"/>
                <w:color w:val="231F20"/>
                <w:spacing w:val="-18"/>
                <w:sz w:val="20"/>
                <w:szCs w:val="20"/>
              </w:rPr>
              <w:t xml:space="preserve"> 高 质 量 发 展 若 干 政 策</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5"/>
                <w:sz w:val="20"/>
                <w:szCs w:val="20"/>
              </w:rPr>
              <w:t>的</w:t>
            </w:r>
            <w:r>
              <w:rPr>
                <w:rFonts w:ascii="微软雅黑" w:hAnsi="微软雅黑" w:eastAsia="微软雅黑" w:cs="微软雅黑"/>
                <w:color w:val="231F20"/>
                <w:spacing w:val="-11"/>
                <w:sz w:val="20"/>
                <w:szCs w:val="20"/>
              </w:rPr>
              <w:t xml:space="preserve"> 通 知》</w:t>
            </w:r>
            <w:r>
              <w:rPr>
                <w:rFonts w:ascii="Times New Roman" w:hAnsi="Times New Roman" w:eastAsia="Times New Roman" w:cs="Times New Roman"/>
                <w:color w:val="231F20"/>
                <w:spacing w:val="-11"/>
                <w:sz w:val="20"/>
                <w:szCs w:val="20"/>
              </w:rPr>
              <w:t xml:space="preserve">( </w:t>
            </w:r>
            <w:r>
              <w:rPr>
                <w:rFonts w:ascii="微软雅黑" w:hAnsi="微软雅黑" w:eastAsia="微软雅黑" w:cs="微软雅黑"/>
                <w:color w:val="231F20"/>
                <w:spacing w:val="-11"/>
                <w:sz w:val="20"/>
                <w:szCs w:val="20"/>
              </w:rPr>
              <w:t xml:space="preserve">国 发〔 </w:t>
            </w:r>
            <w:r>
              <w:rPr>
                <w:rFonts w:ascii="Times New Roman" w:hAnsi="Times New Roman" w:eastAsia="Times New Roman" w:cs="Times New Roman"/>
                <w:color w:val="231F20"/>
                <w:spacing w:val="-11"/>
                <w:sz w:val="20"/>
                <w:szCs w:val="20"/>
              </w:rPr>
              <w:t xml:space="preserve">2020 </w:t>
            </w:r>
            <w:r>
              <w:rPr>
                <w:rFonts w:ascii="微软雅黑" w:hAnsi="微软雅黑" w:eastAsia="微软雅黑" w:cs="微软雅黑"/>
                <w:color w:val="231F20"/>
                <w:spacing w:val="-11"/>
                <w:sz w:val="20"/>
                <w:szCs w:val="20"/>
              </w:rPr>
              <w:t>〕</w:t>
            </w:r>
            <w:r>
              <w:rPr>
                <w:rFonts w:ascii="微软雅黑" w:hAnsi="微软雅黑" w:eastAsia="微软雅黑" w:cs="微软雅黑"/>
                <w:color w:val="231F20"/>
                <w:sz w:val="20"/>
                <w:szCs w:val="20"/>
              </w:rPr>
              <w:t xml:space="preserve"> </w:t>
            </w:r>
            <w:r>
              <w:rPr>
                <w:rFonts w:ascii="Times New Roman" w:hAnsi="Times New Roman" w:eastAsia="Times New Roman" w:cs="Times New Roman"/>
                <w:color w:val="231F20"/>
                <w:spacing w:val="-2"/>
                <w:sz w:val="20"/>
                <w:szCs w:val="20"/>
              </w:rPr>
              <w:t xml:space="preserve">8 </w:t>
            </w:r>
            <w:r>
              <w:rPr>
                <w:rFonts w:ascii="微软雅黑" w:hAnsi="微软雅黑" w:eastAsia="微软雅黑" w:cs="微软雅黑"/>
                <w:color w:val="231F20"/>
                <w:spacing w:val="-2"/>
                <w:sz w:val="20"/>
                <w:szCs w:val="20"/>
              </w:rPr>
              <w:t xml:space="preserve">号 </w:t>
            </w:r>
            <w:r>
              <w:rPr>
                <w:rFonts w:ascii="Times New Roman" w:hAnsi="Times New Roman" w:eastAsia="Times New Roman" w:cs="Times New Roman"/>
                <w:color w:val="231F20"/>
                <w:spacing w:val="-1"/>
                <w:sz w:val="20"/>
                <w:szCs w:val="20"/>
              </w:rPr>
              <w:t>)</w:t>
            </w:r>
          </w:p>
        </w:tc>
        <w:tc>
          <w:tcPr>
            <w:tcW w:w="3285" w:type="dxa"/>
            <w:tcBorders>
              <w:right w:val="nil"/>
            </w:tcBorders>
            <w:vAlign w:val="top"/>
          </w:tcPr>
          <w:p>
            <w:pPr>
              <w:spacing w:before="291" w:line="183" w:lineRule="auto"/>
              <w:ind w:left="33" w:right="25" w:firstLine="4"/>
              <w:rPr>
                <w:rFonts w:ascii="微软雅黑" w:hAnsi="微软雅黑" w:eastAsia="微软雅黑" w:cs="微软雅黑"/>
                <w:sz w:val="20"/>
                <w:szCs w:val="20"/>
              </w:rPr>
            </w:pPr>
            <w:r>
              <w:rPr>
                <w:rFonts w:ascii="微软雅黑" w:hAnsi="微软雅黑" w:eastAsia="微软雅黑" w:cs="微软雅黑"/>
                <w:color w:val="231F20"/>
                <w:spacing w:val="3"/>
                <w:sz w:val="20"/>
                <w:szCs w:val="20"/>
              </w:rPr>
              <w:t xml:space="preserve">对集成电路线宽小于 </w:t>
            </w:r>
            <w:r>
              <w:rPr>
                <w:rFonts w:ascii="Times New Roman" w:hAnsi="Times New Roman" w:eastAsia="Times New Roman" w:cs="Times New Roman"/>
                <w:color w:val="231F20"/>
                <w:spacing w:val="3"/>
                <w:sz w:val="20"/>
                <w:szCs w:val="20"/>
              </w:rPr>
              <w:t xml:space="preserve">28 </w:t>
            </w:r>
            <w:r>
              <w:rPr>
                <w:rFonts w:ascii="微软雅黑" w:hAnsi="微软雅黑" w:eastAsia="微软雅黑" w:cs="微软雅黑"/>
                <w:color w:val="231F20"/>
                <w:spacing w:val="3"/>
                <w:sz w:val="20"/>
                <w:szCs w:val="20"/>
              </w:rPr>
              <w:t>纳米、</w:t>
            </w:r>
            <w:r>
              <w:rPr>
                <w:rFonts w:ascii="Times New Roman" w:hAnsi="Times New Roman" w:eastAsia="Times New Roman" w:cs="Times New Roman"/>
                <w:color w:val="231F20"/>
                <w:spacing w:val="3"/>
                <w:sz w:val="20"/>
                <w:szCs w:val="20"/>
              </w:rPr>
              <w:t xml:space="preserve">65 </w:t>
            </w:r>
            <w:r>
              <w:rPr>
                <w:rFonts w:ascii="微软雅黑" w:hAnsi="微软雅黑" w:eastAsia="微软雅黑" w:cs="微软雅黑"/>
                <w:color w:val="231F20"/>
                <w:spacing w:val="2"/>
                <w:sz w:val="20"/>
                <w:szCs w:val="20"/>
              </w:rPr>
              <w:t>纳</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 xml:space="preserve">米和 </w:t>
            </w:r>
            <w:r>
              <w:rPr>
                <w:rFonts w:ascii="Times New Roman" w:hAnsi="Times New Roman" w:eastAsia="Times New Roman" w:cs="Times New Roman"/>
                <w:color w:val="231F20"/>
                <w:spacing w:val="1"/>
                <w:sz w:val="20"/>
                <w:szCs w:val="20"/>
              </w:rPr>
              <w:t xml:space="preserve">130 </w:t>
            </w:r>
            <w:r>
              <w:rPr>
                <w:rFonts w:ascii="微软雅黑" w:hAnsi="微软雅黑" w:eastAsia="微软雅黑" w:cs="微软雅黑"/>
                <w:color w:val="231F20"/>
                <w:spacing w:val="1"/>
                <w:sz w:val="20"/>
                <w:szCs w:val="20"/>
              </w:rPr>
              <w:t>纳米的企业给予</w:t>
            </w:r>
            <w:r>
              <w:rPr>
                <w:rFonts w:ascii="微软雅黑" w:hAnsi="微软雅黑" w:eastAsia="微软雅黑" w:cs="微软雅黑"/>
                <w:color w:val="231F20"/>
                <w:sz w:val="20"/>
                <w:szCs w:val="20"/>
              </w:rPr>
              <w:t xml:space="preserve">不同的税收 </w:t>
            </w:r>
            <w:r>
              <w:rPr>
                <w:rFonts w:ascii="微软雅黑" w:hAnsi="微软雅黑" w:eastAsia="微软雅黑" w:cs="微软雅黑"/>
                <w:color w:val="231F20"/>
                <w:spacing w:val="-2"/>
                <w:sz w:val="20"/>
                <w:szCs w:val="20"/>
              </w:rPr>
              <w:t>优</w:t>
            </w:r>
            <w:r>
              <w:rPr>
                <w:rFonts w:ascii="微软雅黑" w:hAnsi="微软雅黑" w:eastAsia="微软雅黑" w:cs="微软雅黑"/>
                <w:color w:val="231F20"/>
                <w:spacing w:val="-1"/>
                <w:sz w:val="20"/>
                <w:szCs w:val="20"/>
              </w:rPr>
              <w:t>惠。</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2327" w:hRule="atLeast"/>
        </w:trPr>
        <w:tc>
          <w:tcPr>
            <w:tcW w:w="1319" w:type="dxa"/>
            <w:tcBorders>
              <w:left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5" w:line="223" w:lineRule="auto"/>
              <w:ind w:left="140"/>
              <w:rPr>
                <w:rFonts w:ascii="SimHei" w:hAnsi="SimHei" w:eastAsia="SimHei" w:cs="SimHei"/>
                <w:sz w:val="20"/>
                <w:szCs w:val="20"/>
              </w:rPr>
            </w:pPr>
            <w:r>
              <w:rPr>
                <w:rFonts w:ascii="SimHei" w:hAnsi="SimHei" w:eastAsia="SimHei" w:cs="SimHei"/>
                <w:color w:val="231F20"/>
                <w:spacing w:val="-21"/>
                <w:sz w:val="20"/>
                <w:szCs w:val="20"/>
              </w:rPr>
              <w:t>2</w:t>
            </w:r>
            <w:r>
              <w:rPr>
                <w:rFonts w:ascii="SimHei" w:hAnsi="SimHei" w:eastAsia="SimHei" w:cs="SimHei"/>
                <w:color w:val="231F20"/>
                <w:spacing w:val="-13"/>
                <w:sz w:val="20"/>
                <w:szCs w:val="20"/>
              </w:rPr>
              <w:t>021 年 3 月</w:t>
            </w:r>
          </w:p>
        </w:tc>
        <w:tc>
          <w:tcPr>
            <w:tcW w:w="1423"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86" w:line="168" w:lineRule="auto"/>
              <w:ind w:left="418"/>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财政部</w:t>
            </w:r>
          </w:p>
          <w:p>
            <w:pPr>
              <w:spacing w:before="1" w:line="167" w:lineRule="auto"/>
              <w:ind w:left="319"/>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海关总</w:t>
            </w:r>
            <w:r>
              <w:rPr>
                <w:rFonts w:ascii="微软雅黑" w:hAnsi="微软雅黑" w:eastAsia="微软雅黑" w:cs="微软雅黑"/>
                <w:color w:val="231F20"/>
                <w:spacing w:val="-1"/>
                <w:sz w:val="20"/>
                <w:szCs w:val="20"/>
              </w:rPr>
              <w:t>署</w:t>
            </w:r>
          </w:p>
          <w:p>
            <w:pPr>
              <w:spacing w:line="202" w:lineRule="auto"/>
              <w:ind w:left="313"/>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税</w:t>
            </w:r>
            <w:r>
              <w:rPr>
                <w:rFonts w:ascii="微软雅黑" w:hAnsi="微软雅黑" w:eastAsia="微软雅黑" w:cs="微软雅黑"/>
                <w:color w:val="231F20"/>
                <w:sz w:val="20"/>
                <w:szCs w:val="20"/>
              </w:rPr>
              <w:t>务总局</w:t>
            </w:r>
          </w:p>
        </w:tc>
        <w:tc>
          <w:tcPr>
            <w:tcW w:w="2250" w:type="dxa"/>
            <w:vAlign w:val="top"/>
          </w:tcPr>
          <w:p>
            <w:pPr>
              <w:spacing w:line="302" w:lineRule="auto"/>
              <w:rPr>
                <w:rFonts w:ascii="Arial"/>
                <w:sz w:val="21"/>
              </w:rPr>
            </w:pPr>
          </w:p>
          <w:p>
            <w:pPr>
              <w:spacing w:line="303" w:lineRule="auto"/>
              <w:rPr>
                <w:rFonts w:ascii="Arial"/>
                <w:sz w:val="21"/>
              </w:rPr>
            </w:pPr>
          </w:p>
          <w:p>
            <w:pPr>
              <w:spacing w:before="86" w:line="178" w:lineRule="auto"/>
              <w:ind w:left="32" w:right="21" w:hanging="17"/>
              <w:rPr>
                <w:rFonts w:ascii="微软雅黑" w:hAnsi="微软雅黑" w:eastAsia="微软雅黑" w:cs="微软雅黑"/>
                <w:sz w:val="20"/>
                <w:szCs w:val="20"/>
              </w:rPr>
            </w:pPr>
            <w:r>
              <w:rPr>
                <w:rFonts w:ascii="微软雅黑" w:hAnsi="微软雅黑" w:eastAsia="微软雅黑" w:cs="微软雅黑"/>
                <w:color w:val="231F20"/>
                <w:spacing w:val="-20"/>
                <w:sz w:val="20"/>
                <w:szCs w:val="20"/>
              </w:rPr>
              <w:t>《</w:t>
            </w:r>
            <w:r>
              <w:rPr>
                <w:rFonts w:ascii="微软雅黑" w:hAnsi="微软雅黑" w:eastAsia="微软雅黑" w:cs="微软雅黑"/>
                <w:color w:val="231F20"/>
                <w:spacing w:val="-17"/>
                <w:sz w:val="20"/>
                <w:szCs w:val="20"/>
              </w:rPr>
              <w:t xml:space="preserve"> 关 于 支 持 集 成 电 路 产</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9"/>
                <w:sz w:val="20"/>
                <w:szCs w:val="20"/>
              </w:rPr>
              <w:t>业</w:t>
            </w:r>
            <w:r>
              <w:rPr>
                <w:rFonts w:ascii="微软雅黑" w:hAnsi="微软雅黑" w:eastAsia="微软雅黑" w:cs="微软雅黑"/>
                <w:color w:val="231F20"/>
                <w:spacing w:val="-18"/>
                <w:sz w:val="20"/>
                <w:szCs w:val="20"/>
              </w:rPr>
              <w:t xml:space="preserve"> 和 软 件 产 业 发 展 进 口</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2"/>
                <w:sz w:val="20"/>
                <w:szCs w:val="20"/>
              </w:rPr>
              <w:t>税</w:t>
            </w:r>
            <w:r>
              <w:rPr>
                <w:rFonts w:ascii="微软雅黑" w:hAnsi="微软雅黑" w:eastAsia="微软雅黑" w:cs="微软雅黑"/>
                <w:color w:val="231F20"/>
                <w:spacing w:val="-13"/>
                <w:sz w:val="20"/>
                <w:szCs w:val="20"/>
              </w:rPr>
              <w:t xml:space="preserve"> 收 政 策 的 通 知》   ( 财</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 xml:space="preserve">关税〔 </w:t>
            </w:r>
            <w:r>
              <w:rPr>
                <w:rFonts w:ascii="Times New Roman" w:hAnsi="Times New Roman" w:eastAsia="Times New Roman" w:cs="Times New Roman"/>
                <w:color w:val="231F20"/>
                <w:spacing w:val="-6"/>
                <w:sz w:val="20"/>
                <w:szCs w:val="20"/>
              </w:rPr>
              <w:t xml:space="preserve">2021 </w:t>
            </w:r>
            <w:r>
              <w:rPr>
                <w:rFonts w:ascii="微软雅黑" w:hAnsi="微软雅黑" w:eastAsia="微软雅黑" w:cs="微软雅黑"/>
                <w:color w:val="231F20"/>
                <w:spacing w:val="-6"/>
                <w:sz w:val="20"/>
                <w:szCs w:val="20"/>
              </w:rPr>
              <w:t>〕</w:t>
            </w:r>
            <w:r>
              <w:rPr>
                <w:rFonts w:ascii="Times New Roman" w:hAnsi="Times New Roman" w:eastAsia="Times New Roman" w:cs="Times New Roman"/>
                <w:color w:val="231F20"/>
                <w:spacing w:val="-6"/>
                <w:sz w:val="20"/>
                <w:szCs w:val="20"/>
              </w:rPr>
              <w:t xml:space="preserve">4 </w:t>
            </w:r>
            <w:r>
              <w:rPr>
                <w:rFonts w:ascii="微软雅黑" w:hAnsi="微软雅黑" w:eastAsia="微软雅黑" w:cs="微软雅黑"/>
                <w:color w:val="231F20"/>
                <w:spacing w:val="-6"/>
                <w:sz w:val="20"/>
                <w:szCs w:val="20"/>
              </w:rPr>
              <w:t xml:space="preserve">号 </w:t>
            </w:r>
            <w:r>
              <w:rPr>
                <w:rFonts w:ascii="微软雅黑" w:hAnsi="微软雅黑" w:eastAsia="微软雅黑" w:cs="微软雅黑"/>
                <w:color w:val="231F20"/>
                <w:spacing w:val="-5"/>
                <w:sz w:val="20"/>
                <w:szCs w:val="20"/>
              </w:rPr>
              <w:t>)</w:t>
            </w:r>
          </w:p>
        </w:tc>
        <w:tc>
          <w:tcPr>
            <w:tcW w:w="3285" w:type="dxa"/>
            <w:tcBorders>
              <w:right w:val="nil"/>
            </w:tcBorders>
            <w:vAlign w:val="top"/>
          </w:tcPr>
          <w:p>
            <w:pPr>
              <w:spacing w:before="93" w:line="173" w:lineRule="auto"/>
              <w:ind w:left="31" w:right="24" w:firstLine="8"/>
              <w:rPr>
                <w:rFonts w:ascii="微软雅黑" w:hAnsi="微软雅黑" w:eastAsia="微软雅黑" w:cs="微软雅黑"/>
                <w:sz w:val="20"/>
                <w:szCs w:val="20"/>
              </w:rPr>
            </w:pPr>
            <w:r>
              <w:rPr>
                <w:rFonts w:ascii="微软雅黑" w:hAnsi="微软雅黑" w:eastAsia="微软雅黑" w:cs="微软雅黑"/>
                <w:color w:val="231F20"/>
                <w:spacing w:val="6"/>
                <w:sz w:val="20"/>
                <w:szCs w:val="20"/>
              </w:rPr>
              <w:t xml:space="preserve">对集成电路线宽小于 </w:t>
            </w:r>
            <w:r>
              <w:rPr>
                <w:rFonts w:ascii="Times New Roman" w:hAnsi="Times New Roman" w:eastAsia="Times New Roman" w:cs="Times New Roman"/>
                <w:color w:val="231F20"/>
                <w:spacing w:val="6"/>
                <w:sz w:val="20"/>
                <w:szCs w:val="20"/>
              </w:rPr>
              <w:t xml:space="preserve">65 </w:t>
            </w:r>
            <w:r>
              <w:rPr>
                <w:rFonts w:ascii="微软雅黑" w:hAnsi="微软雅黑" w:eastAsia="微软雅黑" w:cs="微软雅黑"/>
                <w:color w:val="231F20"/>
                <w:spacing w:val="6"/>
                <w:sz w:val="20"/>
                <w:szCs w:val="20"/>
              </w:rPr>
              <w:t>纳米的逻辑</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电路、存储器生产企业</w:t>
            </w:r>
            <w:r>
              <w:rPr>
                <w:rFonts w:ascii="微软雅黑" w:hAnsi="微软雅黑" w:eastAsia="微软雅黑" w:cs="微软雅黑"/>
                <w:color w:val="231F20"/>
                <w:spacing w:val="1"/>
                <w:sz w:val="20"/>
                <w:szCs w:val="20"/>
              </w:rPr>
              <w:t>进口国内不能</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生产或性能不能满足</w:t>
            </w:r>
            <w:r>
              <w:rPr>
                <w:rFonts w:ascii="微软雅黑" w:hAnsi="微软雅黑" w:eastAsia="微软雅黑" w:cs="微软雅黑"/>
                <w:color w:val="231F20"/>
                <w:spacing w:val="1"/>
                <w:sz w:val="20"/>
                <w:szCs w:val="20"/>
              </w:rPr>
              <w:t>需求的自用生产</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性原材料、消耗品等免</w:t>
            </w:r>
            <w:r>
              <w:rPr>
                <w:rFonts w:ascii="微软雅黑" w:hAnsi="微软雅黑" w:eastAsia="微软雅黑" w:cs="微软雅黑"/>
                <w:color w:val="231F20"/>
                <w:spacing w:val="1"/>
                <w:sz w:val="20"/>
                <w:szCs w:val="20"/>
              </w:rPr>
              <w:t>征进口关税；</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集</w:t>
            </w:r>
            <w:r>
              <w:rPr>
                <w:rFonts w:ascii="微软雅黑" w:hAnsi="微软雅黑" w:eastAsia="微软雅黑" w:cs="微软雅黑"/>
                <w:color w:val="231F20"/>
                <w:spacing w:val="6"/>
                <w:sz w:val="20"/>
                <w:szCs w:val="20"/>
              </w:rPr>
              <w:t>成</w:t>
            </w:r>
            <w:r>
              <w:rPr>
                <w:rFonts w:ascii="微软雅黑" w:hAnsi="微软雅黑" w:eastAsia="微软雅黑" w:cs="微软雅黑"/>
                <w:color w:val="231F20"/>
                <w:spacing w:val="4"/>
                <w:sz w:val="20"/>
                <w:szCs w:val="20"/>
              </w:rPr>
              <w:t>电路用光刻胶、掩模版、</w:t>
            </w:r>
            <w:r>
              <w:rPr>
                <w:rFonts w:ascii="Times New Roman" w:hAnsi="Times New Roman" w:eastAsia="Times New Roman" w:cs="Times New Roman"/>
                <w:color w:val="231F20"/>
                <w:spacing w:val="4"/>
                <w:sz w:val="20"/>
                <w:szCs w:val="20"/>
              </w:rPr>
              <w:t xml:space="preserve">8 </w:t>
            </w:r>
            <w:r>
              <w:rPr>
                <w:rFonts w:ascii="微软雅黑" w:hAnsi="微软雅黑" w:eastAsia="微软雅黑" w:cs="微软雅黑"/>
                <w:color w:val="231F20"/>
                <w:spacing w:val="4"/>
                <w:sz w:val="20"/>
                <w:szCs w:val="20"/>
              </w:rPr>
              <w:t>英寸</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及</w:t>
            </w:r>
            <w:r>
              <w:rPr>
                <w:rFonts w:ascii="微软雅黑" w:hAnsi="微软雅黑" w:eastAsia="微软雅黑" w:cs="微软雅黑"/>
                <w:color w:val="231F20"/>
                <w:spacing w:val="-2"/>
                <w:sz w:val="20"/>
                <w:szCs w:val="20"/>
              </w:rPr>
              <w:t>以上硅片生产企业 ，进口国内不能</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生产或性能不能</w:t>
            </w:r>
            <w:r>
              <w:rPr>
                <w:rFonts w:ascii="微软雅黑" w:hAnsi="微软雅黑" w:eastAsia="微软雅黑" w:cs="微软雅黑"/>
                <w:color w:val="231F20"/>
                <w:spacing w:val="1"/>
                <w:sz w:val="20"/>
                <w:szCs w:val="20"/>
              </w:rPr>
              <w:t>满足需求的净化室专</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用建筑材料、配套</w:t>
            </w:r>
            <w:r>
              <w:rPr>
                <w:rFonts w:ascii="微软雅黑" w:hAnsi="微软雅黑" w:eastAsia="微软雅黑" w:cs="微软雅黑"/>
                <w:color w:val="231F20"/>
                <w:spacing w:val="1"/>
                <w:sz w:val="20"/>
                <w:szCs w:val="20"/>
              </w:rPr>
              <w:t>系统和生产设备等</w:t>
            </w:r>
            <w:r>
              <w:rPr>
                <w:rFonts w:ascii="微软雅黑" w:hAnsi="微软雅黑" w:eastAsia="微软雅黑" w:cs="微软雅黑"/>
                <w:color w:val="231F20"/>
                <w:sz w:val="20"/>
                <w:szCs w:val="20"/>
              </w:rPr>
              <w:t xml:space="preserve"> 免征进口关税。</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810" w:hRule="atLeast"/>
        </w:trPr>
        <w:tc>
          <w:tcPr>
            <w:tcW w:w="1319" w:type="dxa"/>
            <w:tcBorders>
              <w:left w:val="nil"/>
            </w:tcBorders>
            <w:vAlign w:val="top"/>
          </w:tcPr>
          <w:p>
            <w:pPr>
              <w:spacing w:before="302" w:line="223" w:lineRule="auto"/>
              <w:ind w:left="139"/>
              <w:rPr>
                <w:rFonts w:ascii="SimHei" w:hAnsi="SimHei" w:eastAsia="SimHei" w:cs="SimHei"/>
                <w:sz w:val="20"/>
                <w:szCs w:val="20"/>
              </w:rPr>
            </w:pPr>
            <w:r>
              <w:rPr>
                <w:rFonts w:ascii="SimHei" w:hAnsi="SimHei" w:eastAsia="SimHei" w:cs="SimHei"/>
                <w:color w:val="231F20"/>
                <w:spacing w:val="-21"/>
                <w:sz w:val="20"/>
                <w:szCs w:val="20"/>
              </w:rPr>
              <w:t>2</w:t>
            </w:r>
            <w:r>
              <w:rPr>
                <w:rFonts w:ascii="SimHei" w:hAnsi="SimHei" w:eastAsia="SimHei" w:cs="SimHei"/>
                <w:color w:val="231F20"/>
                <w:spacing w:val="-13"/>
                <w:sz w:val="20"/>
                <w:szCs w:val="20"/>
              </w:rPr>
              <w:t>022 年 2 月</w:t>
            </w:r>
          </w:p>
        </w:tc>
        <w:tc>
          <w:tcPr>
            <w:tcW w:w="1423" w:type="dxa"/>
            <w:vAlign w:val="top"/>
          </w:tcPr>
          <w:p>
            <w:pPr>
              <w:spacing w:before="177" w:line="190" w:lineRule="auto"/>
              <w:ind w:left="619" w:right="105" w:hanging="496"/>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工业和信息</w:t>
            </w:r>
            <w:r>
              <w:rPr>
                <w:rFonts w:ascii="微软雅黑" w:hAnsi="微软雅黑" w:eastAsia="微软雅黑" w:cs="微软雅黑"/>
                <w:color w:val="231F20"/>
                <w:spacing w:val="-1"/>
                <w:sz w:val="20"/>
                <w:szCs w:val="20"/>
              </w:rPr>
              <w:t>化</w:t>
            </w:r>
            <w:r>
              <w:rPr>
                <w:rFonts w:ascii="微软雅黑" w:hAnsi="微软雅黑" w:eastAsia="微软雅黑" w:cs="微软雅黑"/>
                <w:color w:val="231F20"/>
                <w:sz w:val="20"/>
                <w:szCs w:val="20"/>
              </w:rPr>
              <w:t xml:space="preserve"> 部</w:t>
            </w:r>
          </w:p>
        </w:tc>
        <w:tc>
          <w:tcPr>
            <w:tcW w:w="2250" w:type="dxa"/>
            <w:vAlign w:val="top"/>
          </w:tcPr>
          <w:p>
            <w:pPr>
              <w:spacing w:before="177" w:line="187" w:lineRule="auto"/>
              <w:ind w:left="62" w:right="11" w:hanging="48"/>
              <w:rPr>
                <w:rFonts w:ascii="微软雅黑" w:hAnsi="微软雅黑" w:eastAsia="微软雅黑" w:cs="微软雅黑"/>
                <w:sz w:val="20"/>
                <w:szCs w:val="20"/>
              </w:rPr>
            </w:pPr>
            <w:r>
              <w:rPr>
                <w:rFonts w:ascii="微软雅黑" w:hAnsi="微软雅黑" w:eastAsia="微软雅黑" w:cs="微软雅黑"/>
                <w:color w:val="231F20"/>
                <w:spacing w:val="-20"/>
                <w:sz w:val="20"/>
                <w:szCs w:val="20"/>
              </w:rPr>
              <w:t>《</w:t>
            </w:r>
            <w:r>
              <w:rPr>
                <w:rFonts w:ascii="微软雅黑" w:hAnsi="微软雅黑" w:eastAsia="微软雅黑" w:cs="微软雅黑"/>
                <w:color w:val="231F20"/>
                <w:spacing w:val="-17"/>
                <w:sz w:val="20"/>
                <w:szCs w:val="20"/>
              </w:rPr>
              <w:t xml:space="preserve"> 集 成 电 路 企 业 免 税 进</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口产品</w:t>
            </w:r>
            <w:r>
              <w:rPr>
                <w:rFonts w:ascii="微软雅黑" w:hAnsi="微软雅黑" w:eastAsia="微软雅黑" w:cs="微软雅黑"/>
                <w:color w:val="231F20"/>
                <w:spacing w:val="-5"/>
                <w:sz w:val="20"/>
                <w:szCs w:val="20"/>
              </w:rPr>
              <w:t>清</w:t>
            </w:r>
            <w:r>
              <w:rPr>
                <w:rFonts w:ascii="微软雅黑" w:hAnsi="微软雅黑" w:eastAsia="微软雅黑" w:cs="微软雅黑"/>
                <w:color w:val="231F20"/>
                <w:spacing w:val="-3"/>
                <w:sz w:val="20"/>
                <w:szCs w:val="20"/>
              </w:rPr>
              <w:t>单 ( 第一批 )  》</w:t>
            </w:r>
          </w:p>
        </w:tc>
        <w:tc>
          <w:tcPr>
            <w:tcW w:w="3285" w:type="dxa"/>
            <w:tcBorders>
              <w:right w:val="nil"/>
            </w:tcBorders>
            <w:vAlign w:val="top"/>
          </w:tcPr>
          <w:p>
            <w:pPr>
              <w:spacing w:before="175" w:line="191" w:lineRule="auto"/>
              <w:ind w:left="40" w:right="27" w:hanging="3"/>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对</w:t>
            </w:r>
            <w:r>
              <w:rPr>
                <w:rFonts w:ascii="微软雅黑" w:hAnsi="微软雅黑" w:eastAsia="微软雅黑" w:cs="微软雅黑"/>
                <w:color w:val="231F20"/>
                <w:spacing w:val="1"/>
                <w:sz w:val="20"/>
                <w:szCs w:val="20"/>
              </w:rPr>
              <w:t>享受相关政策的企业条件进行了公</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告</w:t>
            </w:r>
            <w:r>
              <w:rPr>
                <w:rFonts w:ascii="微软雅黑" w:hAnsi="微软雅黑" w:eastAsia="微软雅黑" w:cs="微软雅黑"/>
                <w:color w:val="231F20"/>
                <w:spacing w:val="-7"/>
                <w:sz w:val="20"/>
                <w:szCs w:val="20"/>
              </w:rPr>
              <w:t>。</w:t>
            </w:r>
          </w:p>
        </w:tc>
      </w:tr>
    </w:tbl>
    <w:p>
      <w:pPr>
        <w:spacing w:before="57" w:line="222" w:lineRule="auto"/>
        <w:ind w:left="2000"/>
        <w:rPr>
          <w:rFonts w:ascii="KaiTi" w:hAnsi="KaiTi" w:eastAsia="KaiTi" w:cs="KaiTi"/>
          <w:sz w:val="17"/>
          <w:szCs w:val="17"/>
        </w:rPr>
      </w:pPr>
      <w:r>
        <w:rPr>
          <w:rFonts w:ascii="KaiTi" w:hAnsi="KaiTi" w:eastAsia="KaiTi" w:cs="KaiTi"/>
          <w:color w:val="231F20"/>
          <w:spacing w:val="7"/>
          <w:sz w:val="17"/>
          <w:szCs w:val="17"/>
        </w:rPr>
        <w:t>资</w:t>
      </w:r>
      <w:r>
        <w:rPr>
          <w:rFonts w:ascii="KaiTi" w:hAnsi="KaiTi" w:eastAsia="KaiTi" w:cs="KaiTi"/>
          <w:color w:val="231F20"/>
          <w:spacing w:val="5"/>
          <w:sz w:val="17"/>
          <w:szCs w:val="17"/>
        </w:rPr>
        <w:t>料来源：根据相关资料整理。</w:t>
      </w:r>
    </w:p>
    <w:p>
      <w:pPr>
        <w:spacing w:line="272" w:lineRule="auto"/>
        <w:rPr>
          <w:rFonts w:ascii="Arial"/>
          <w:sz w:val="21"/>
        </w:rPr>
      </w:pPr>
    </w:p>
    <w:p>
      <w:pPr>
        <w:spacing w:line="273" w:lineRule="auto"/>
        <w:rPr>
          <w:rFonts w:ascii="Arial"/>
          <w:sz w:val="21"/>
        </w:rPr>
      </w:pPr>
    </w:p>
    <w:p>
      <w:pPr>
        <w:spacing w:before="79"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0"/>
          <w:sz w:val="24"/>
          <w:szCs w:val="24"/>
        </w:rPr>
        <w:t>二) 利用外资情况</w:t>
      </w:r>
    </w:p>
    <w:p>
      <w:pPr>
        <w:spacing w:before="333" w:line="261" w:lineRule="auto"/>
        <w:ind w:left="1998" w:right="1983" w:firstLine="477"/>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电子信息制造业是</w:t>
      </w:r>
      <w:r>
        <w:rPr>
          <w:rFonts w:ascii="微软雅黑" w:hAnsi="微软雅黑" w:eastAsia="微软雅黑" w:cs="微软雅黑"/>
          <w:color w:val="231F20"/>
          <w:spacing w:val="2"/>
          <w:sz w:val="22"/>
          <w:szCs w:val="22"/>
        </w:rPr>
        <w:t>中国制造业中利用外资规模最大的行业。近年来电子信息制造</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业利用外资规模占制造业利用外资规模的比重一直保持在 </w:t>
      </w:r>
      <w:r>
        <w:rPr>
          <w:rFonts w:ascii="Times New Roman" w:hAnsi="Times New Roman" w:eastAsia="Times New Roman" w:cs="Times New Roman"/>
          <w:color w:val="231F20"/>
          <w:spacing w:val="-1"/>
          <w:sz w:val="22"/>
          <w:szCs w:val="22"/>
        </w:rPr>
        <w:t>2</w:t>
      </w:r>
      <w:r>
        <w:rPr>
          <w:rFonts w:ascii="Times New Roman" w:hAnsi="Times New Roman" w:eastAsia="Times New Roman" w:cs="Times New Roman"/>
          <w:color w:val="231F20"/>
          <w:sz w:val="22"/>
          <w:szCs w:val="22"/>
        </w:rPr>
        <w:t xml:space="preserve">0% </w:t>
      </w:r>
      <w:r>
        <w:rPr>
          <w:rFonts w:ascii="微软雅黑" w:hAnsi="微软雅黑" w:eastAsia="微软雅黑" w:cs="微软雅黑"/>
          <w:color w:val="231F20"/>
          <w:sz w:val="22"/>
          <w:szCs w:val="22"/>
        </w:rPr>
        <w:t xml:space="preserve">左右 ，对稳定制造业外 </w:t>
      </w:r>
      <w:r>
        <w:rPr>
          <w:rFonts w:ascii="微软雅黑" w:hAnsi="微软雅黑" w:eastAsia="微软雅黑" w:cs="微软雅黑"/>
          <w:color w:val="231F20"/>
          <w:spacing w:val="1"/>
          <w:sz w:val="22"/>
          <w:szCs w:val="22"/>
        </w:rPr>
        <w:t>资和维护制造业产业链供</w:t>
      </w:r>
      <w:r>
        <w:rPr>
          <w:rFonts w:ascii="微软雅黑" w:hAnsi="微软雅黑" w:eastAsia="微软雅黑" w:cs="微软雅黑"/>
          <w:color w:val="231F20"/>
          <w:sz w:val="22"/>
          <w:szCs w:val="22"/>
        </w:rPr>
        <w:t>应链稳定和安全发挥了重要作用。</w:t>
      </w:r>
    </w:p>
    <w:p>
      <w:pPr>
        <w:spacing w:before="202" w:line="217" w:lineRule="auto"/>
        <w:ind w:left="2462"/>
        <w:rPr>
          <w:rFonts w:ascii="KaiTi" w:hAnsi="KaiTi" w:eastAsia="KaiTi" w:cs="KaiTi"/>
          <w:sz w:val="22"/>
          <w:szCs w:val="22"/>
        </w:rPr>
      </w:pPr>
      <w:r>
        <w:rPr>
          <w:rFonts w:ascii="Times New Roman" w:hAnsi="Times New Roman" w:eastAsia="Times New Roman" w:cs="Times New Roman"/>
          <w:color w:val="015DAC"/>
          <w:spacing w:val="-1"/>
          <w:sz w:val="22"/>
          <w:szCs w:val="22"/>
        </w:rPr>
        <w:t>1.</w:t>
      </w:r>
      <w:r>
        <w:rPr>
          <w:rFonts w:ascii="Times New Roman" w:hAnsi="Times New Roman" w:eastAsia="Times New Roman" w:cs="Times New Roman"/>
          <w:color w:val="015DAC"/>
          <w:sz w:val="22"/>
          <w:szCs w:val="22"/>
        </w:rPr>
        <w:t xml:space="preserve"> </w:t>
      </w:r>
      <w:r>
        <w:rPr>
          <w:rFonts w:ascii="KaiTi" w:hAnsi="KaiTi" w:eastAsia="KaiTi" w:cs="KaiTi"/>
          <w:color w:val="015DAC"/>
          <w:sz w:val="22"/>
          <w:szCs w:val="22"/>
        </w:rPr>
        <w:t>引资规模呈现恢复性增长，引资结构持续优化</w:t>
      </w:r>
    </w:p>
    <w:p>
      <w:pPr>
        <w:spacing w:line="263" w:lineRule="auto"/>
        <w:rPr>
          <w:rFonts w:ascii="Arial"/>
          <w:sz w:val="21"/>
        </w:rPr>
      </w:pPr>
    </w:p>
    <w:p>
      <w:pPr>
        <w:spacing w:before="94" w:line="272" w:lineRule="auto"/>
        <w:ind w:left="1991" w:right="1983" w:firstLine="450"/>
        <w:rPr>
          <w:rFonts w:ascii="微软雅黑" w:hAnsi="微软雅黑" w:eastAsia="微软雅黑" w:cs="微软雅黑"/>
          <w:sz w:val="22"/>
          <w:szCs w:val="22"/>
        </w:rPr>
      </w:pPr>
      <w:r>
        <w:rPr>
          <w:rFonts w:ascii="Times New Roman" w:hAnsi="Times New Roman" w:eastAsia="Times New Roman" w:cs="Times New Roman"/>
          <w:color w:val="231F20"/>
          <w:spacing w:val="1"/>
          <w:sz w:val="22"/>
          <w:szCs w:val="22"/>
        </w:rPr>
        <w:t xml:space="preserve">2020 </w:t>
      </w:r>
      <w:r>
        <w:rPr>
          <w:rFonts w:ascii="微软雅黑" w:hAnsi="微软雅黑" w:eastAsia="微软雅黑" w:cs="微软雅黑"/>
          <w:color w:val="231F20"/>
          <w:spacing w:val="1"/>
          <w:sz w:val="22"/>
          <w:szCs w:val="22"/>
        </w:rPr>
        <w:t>年，  受新冠疫情对供应链冲击影响</w:t>
      </w:r>
      <w:r>
        <w:rPr>
          <w:rFonts w:ascii="微软雅黑" w:hAnsi="微软雅黑" w:eastAsia="微软雅黑" w:cs="微软雅黑"/>
          <w:color w:val="231F20"/>
          <w:sz w:val="22"/>
          <w:szCs w:val="22"/>
        </w:rPr>
        <w:t xml:space="preserve"> ，计算机 、通信和其他电子设备制造业 </w:t>
      </w:r>
      <w:r>
        <w:rPr>
          <w:rFonts w:ascii="微软雅黑" w:hAnsi="微软雅黑" w:eastAsia="微软雅黑" w:cs="微软雅黑"/>
          <w:color w:val="231F20"/>
          <w:spacing w:val="8"/>
          <w:sz w:val="22"/>
          <w:szCs w:val="22"/>
        </w:rPr>
        <w:t>利</w:t>
      </w:r>
      <w:r>
        <w:rPr>
          <w:rFonts w:ascii="微软雅黑" w:hAnsi="微软雅黑" w:eastAsia="微软雅黑" w:cs="微软雅黑"/>
          <w:color w:val="231F20"/>
          <w:spacing w:val="4"/>
          <w:sz w:val="22"/>
          <w:szCs w:val="22"/>
        </w:rPr>
        <w:t xml:space="preserve">用外资规模从 </w:t>
      </w:r>
      <w:r>
        <w:rPr>
          <w:rFonts w:ascii="Times New Roman" w:hAnsi="Times New Roman" w:eastAsia="Times New Roman" w:cs="Times New Roman"/>
          <w:color w:val="231F20"/>
          <w:spacing w:val="4"/>
          <w:sz w:val="22"/>
          <w:szCs w:val="22"/>
        </w:rPr>
        <w:t xml:space="preserve">2018-2019 </w:t>
      </w:r>
      <w:r>
        <w:rPr>
          <w:rFonts w:ascii="微软雅黑" w:hAnsi="微软雅黑" w:eastAsia="微软雅黑" w:cs="微软雅黑"/>
          <w:color w:val="231F20"/>
          <w:spacing w:val="4"/>
          <w:sz w:val="22"/>
          <w:szCs w:val="22"/>
        </w:rPr>
        <w:t>年高位明显回落 ，但随着中国有效防控疫情 ，</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年电</w:t>
      </w:r>
    </w:p>
    <w:p>
      <w:pPr>
        <w:sectPr>
          <w:pgSz w:w="12246" w:h="16498"/>
          <w:pgMar w:top="400" w:right="0" w:bottom="400" w:left="0" w:header="0" w:footer="0" w:gutter="0"/>
          <w:cols w:space="720" w:num="1"/>
        </w:sectPr>
      </w:pPr>
    </w:p>
    <w:p>
      <w:pPr>
        <w:spacing w:line="241" w:lineRule="auto"/>
        <w:rPr>
          <w:rFonts w:ascii="Arial"/>
          <w:sz w:val="21"/>
        </w:rPr>
      </w:pPr>
      <w:r>
        <w:pict>
          <v:rect id="_x0000_s1216" o:spid="_x0000_s1216" o:spt="1" style="position:absolute;left:0pt;margin-left:145.7pt;margin-top:519.6pt;height:0.75pt;width:342.65pt;mso-position-horizontal-relative:page;mso-position-vertical-relative:page;z-index:251877376;mso-width-relative:page;mso-height-relative:page;" fillcolor="#CEE6ED" filled="t" stroked="f" coordsize="21600,21600" o:allowincell="f">
            <v:path/>
            <v:fill on="t" focussize="0,0"/>
            <v:stroke on="f"/>
            <v:imagedata o:title=""/>
            <o:lock v:ext="edit"/>
          </v:rect>
        </w:pict>
      </w:r>
      <w:r>
        <w:pict>
          <v:rect id="_x0000_s1217" o:spid="_x0000_s1217" o:spt="1" style="position:absolute;left:0pt;margin-left:145.7pt;margin-top:418.8pt;height:0.75pt;width:342.65pt;mso-position-horizontal-relative:page;mso-position-vertical-relative:page;z-index:251879424;mso-width-relative:page;mso-height-relative:page;" fillcolor="#CEE6ED" filled="t" stroked="f" coordsize="21600,21600" o:allowincell="f">
            <v:path/>
            <v:fill on="t" focussize="0,0"/>
            <v:stroke on="f"/>
            <v:imagedata o:title=""/>
            <o:lock v:ext="edit"/>
          </v:rect>
        </w:pict>
      </w:r>
      <w:r>
        <w:pict>
          <v:rect id="_x0000_s1218" o:spid="_x0000_s1218" o:spt="1" style="position:absolute;left:0pt;margin-left:145.7pt;margin-top:393.6pt;height:0.75pt;width:342.65pt;mso-position-horizontal-relative:page;mso-position-vertical-relative:page;z-index:251878400;mso-width-relative:page;mso-height-relative:page;" fillcolor="#CEE6ED" filled="t" stroked="f" coordsize="21600,21600" o:allowincell="f">
            <v:path/>
            <v:fill on="t" focussize="0,0"/>
            <v:stroke on="f"/>
            <v:imagedata o:title=""/>
            <o:lock v:ext="edit"/>
          </v:rect>
        </w:pict>
      </w:r>
      <w:r>
        <w:drawing>
          <wp:anchor distT="0" distB="0" distL="0" distR="0" simplePos="0" relativeHeight="25187430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199" name="IM 199"/>
            <wp:cNvGraphicFramePr/>
            <a:graphic xmlns:a="http://schemas.openxmlformats.org/drawingml/2006/main">
              <a:graphicData uri="http://schemas.openxmlformats.org/drawingml/2006/picture">
                <pic:pic xmlns:pic="http://schemas.openxmlformats.org/drawingml/2006/picture">
                  <pic:nvPicPr>
                    <pic:cNvPr id="199" name="IM 199"/>
                    <pic:cNvPicPr/>
                  </pic:nvPicPr>
                  <pic:blipFill>
                    <a:blip r:embed="rId43"/>
                    <a:stretch>
                      <a:fillRect/>
                    </a:stretch>
                  </pic:blipFill>
                  <pic:spPr>
                    <a:xfrm>
                      <a:off x="0" y="0"/>
                      <a:ext cx="7775994" cy="422998"/>
                    </a:xfrm>
                    <a:prstGeom prst="rect">
                      <a:avLst/>
                    </a:prstGeom>
                  </pic:spPr>
                </pic:pic>
              </a:graphicData>
            </a:graphic>
          </wp:anchor>
        </w:drawing>
      </w:r>
      <w:r>
        <w:pict>
          <v:shape id="_x0000_s1219" o:spid="_x0000_s1219" style="position:absolute;left:0pt;margin-left:142pt;margin-top:392.45pt;height:155.5pt;width:2pt;mso-position-horizontal-relative:page;mso-position-vertical-relative:page;z-index:251876352;mso-width-relative:page;mso-height-relative:page;" filled="f" stroked="t" coordsize="40,3110" o:allowincell="f" path="m36,0l36,3109m0,2557l34,2557m0,2051l34,2051m0,1544l34,1544m0,1038l34,1038m0,537l34,537m0,31l34,31e">
            <v:fill on="f" focussize="0,0"/>
            <v:stroke weight="0.28pt" color="#231F20" miterlimit="4" joinstyle="miter"/>
            <v:imagedata o:title=""/>
            <o:lock v:ext="edit"/>
          </v:shape>
        </w:pict>
      </w:r>
      <w:r>
        <w:pict>
          <v:shape id="_x0000_s1220" o:spid="_x0000_s1220" o:spt="202" type="#_x0000_t202" style="position:absolute;left:0pt;margin-left:120.9pt;margin-top:440.6pt;height:10.05pt;width:20pt;mso-position-horizontal-relative:page;mso-position-vertical-relative:page;z-index:251880448;mso-width-relative:page;mso-height-relative:page;" filled="f" stroked="f" coordsize="21600,21600" o:allowincell="f">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6"/>
                      <w:sz w:val="17"/>
                      <w:szCs w:val="17"/>
                    </w:rPr>
                    <w:t>4</w:t>
                  </w:r>
                  <w:r>
                    <w:rPr>
                      <w:rFonts w:ascii="Calibri" w:hAnsi="Calibri" w:eastAsia="Calibri" w:cs="Calibri"/>
                      <w:color w:val="030303"/>
                      <w:spacing w:val="3"/>
                      <w:sz w:val="17"/>
                      <w:szCs w:val="17"/>
                    </w:rPr>
                    <w:t>000</w:t>
                  </w:r>
                </w:p>
              </w:txbxContent>
            </v:textbox>
          </v:shape>
        </w:pict>
      </w:r>
      <w:r>
        <w:pict>
          <v:shape id="_x0000_s1221" o:spid="_x0000_s1221" o:spt="202" type="#_x0000_t202" style="position:absolute;left:0pt;margin-left:231.8pt;margin-top:465.65pt;height:9.7pt;width:19.6pt;mso-position-horizontal-relative:page;mso-position-vertical-relative:page;z-index:251883520;mso-width-relative:page;mso-height-relative:page;" filled="f" stroked="f" coordsize="21600,21600" o:allowincell="f">
            <v:path/>
            <v:fill on="f" focussize="0,0"/>
            <v:stroke on="f"/>
            <v:imagedata o:title=""/>
            <o:lock v:ext="edit" aspectratio="f"/>
            <v:textbox inset="0mm,0mm,0mm,0mm">
              <w:txbxContent>
                <w:p>
                  <w:pPr>
                    <w:spacing w:before="19" w:line="188" w:lineRule="auto"/>
                    <w:ind w:left="20"/>
                    <w:rPr>
                      <w:rFonts w:ascii="Times New Roman" w:hAnsi="Times New Roman" w:eastAsia="Times New Roman" w:cs="Times New Roman"/>
                      <w:sz w:val="17"/>
                      <w:szCs w:val="17"/>
                    </w:rPr>
                  </w:pPr>
                  <w:r>
                    <w:rPr>
                      <w:rFonts w:ascii="Times New Roman" w:hAnsi="Times New Roman" w:eastAsia="Times New Roman" w:cs="Times New Roman"/>
                      <w:color w:val="030303"/>
                      <w:spacing w:val="4"/>
                      <w:sz w:val="17"/>
                      <w:szCs w:val="17"/>
                    </w:rPr>
                    <w:t>5</w:t>
                  </w:r>
                  <w:r>
                    <w:rPr>
                      <w:rFonts w:ascii="Times New Roman" w:hAnsi="Times New Roman" w:eastAsia="Times New Roman" w:cs="Times New Roman"/>
                      <w:color w:val="030303"/>
                      <w:spacing w:val="3"/>
                      <w:sz w:val="17"/>
                      <w:szCs w:val="17"/>
                    </w:rPr>
                    <w:t>3</w:t>
                  </w:r>
                  <w:r>
                    <w:rPr>
                      <w:rFonts w:ascii="Times New Roman" w:hAnsi="Times New Roman" w:eastAsia="Times New Roman" w:cs="Times New Roman"/>
                      <w:color w:val="030303"/>
                      <w:spacing w:val="2"/>
                      <w:sz w:val="17"/>
                      <w:szCs w:val="17"/>
                    </w:rPr>
                    <w:t>58</w:t>
                  </w:r>
                </w:p>
              </w:txbxContent>
            </v:textbox>
          </v:shape>
        </w:pict>
      </w:r>
      <w:r>
        <w:pict>
          <v:shape id="_x0000_s1222" o:spid="_x0000_s1222" o:spt="202" type="#_x0000_t202" style="position:absolute;left:0pt;margin-left:121.1pt;margin-top:465.8pt;height:10.05pt;width:19.75pt;mso-position-horizontal-relative:page;mso-position-vertical-relative:page;z-index:251881472;mso-width-relative:page;mso-height-relative:page;" filled="f" stroked="f" coordsize="21600,21600" o:allowincell="f">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4"/>
                      <w:sz w:val="17"/>
                      <w:szCs w:val="17"/>
                    </w:rPr>
                    <w:t>3</w:t>
                  </w:r>
                  <w:r>
                    <w:rPr>
                      <w:rFonts w:ascii="Calibri" w:hAnsi="Calibri" w:eastAsia="Calibri" w:cs="Calibri"/>
                      <w:color w:val="030303"/>
                      <w:spacing w:val="2"/>
                      <w:sz w:val="17"/>
                      <w:szCs w:val="17"/>
                    </w:rPr>
                    <w:t>000</w:t>
                  </w:r>
                </w:p>
              </w:txbxContent>
            </v:textbox>
          </v:shape>
        </w:pict>
      </w:r>
      <w:r>
        <w:pict>
          <v:shape id="_x0000_s1223" o:spid="_x0000_s1223" o:spt="202" type="#_x0000_t202" style="position:absolute;left:0pt;margin-left:121.15pt;margin-top:491pt;height:10.05pt;width:19.7pt;mso-position-horizontal-relative:page;mso-position-vertical-relative:page;z-index:251882496;mso-width-relative:page;mso-height-relative:page;" filled="f" stroked="f" coordsize="21600,21600" o:allowincell="f">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3"/>
                      <w:sz w:val="17"/>
                      <w:szCs w:val="17"/>
                    </w:rPr>
                    <w:t>2</w:t>
                  </w:r>
                  <w:r>
                    <w:rPr>
                      <w:rFonts w:ascii="Calibri" w:hAnsi="Calibri" w:eastAsia="Calibri" w:cs="Calibri"/>
                      <w:color w:val="030303"/>
                      <w:spacing w:val="2"/>
                      <w:sz w:val="17"/>
                      <w:szCs w:val="17"/>
                    </w:rPr>
                    <w:t>000</w:t>
                  </w:r>
                </w:p>
              </w:txbxContent>
            </v:textbox>
          </v:shape>
        </w:pict>
      </w:r>
      <w:r>
        <w:drawing>
          <wp:anchor distT="0" distB="0" distL="0" distR="0" simplePos="0" relativeHeight="251875328" behindDoc="0" locked="0" layoutInCell="0" allowOverlap="1">
            <wp:simplePos x="0" y="0"/>
            <wp:positionH relativeFrom="page">
              <wp:posOffset>1803400</wp:posOffset>
            </wp:positionH>
            <wp:positionV relativeFrom="page">
              <wp:posOffset>6918325</wp:posOffset>
            </wp:positionV>
            <wp:extent cx="4518025" cy="4572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97"/>
                    <a:stretch>
                      <a:fillRect/>
                    </a:stretch>
                  </pic:blipFill>
                  <pic:spPr>
                    <a:xfrm>
                      <a:off x="0" y="0"/>
                      <a:ext cx="4518004" cy="45856"/>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bookmarkStart w:id="34" w:name="_bookmark26"/>
      <w:bookmarkEnd w:id="34"/>
      <w:bookmarkStart w:id="35" w:name="_bookmark27"/>
      <w:bookmarkEnd w:id="35"/>
      <w:r>
        <w:rPr>
          <w:rFonts w:ascii="SimHei" w:hAnsi="SimHei" w:eastAsia="SimHei" w:cs="SimHei"/>
          <w:color w:val="1A67B3"/>
          <w:spacing w:val="39"/>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201" name="IM 201"/>
            <wp:cNvGraphicFramePr/>
            <a:graphic xmlns:a="http://schemas.openxmlformats.org/drawingml/2006/main">
              <a:graphicData uri="http://schemas.openxmlformats.org/drawingml/2006/picture">
                <pic:pic xmlns:pic="http://schemas.openxmlformats.org/drawingml/2006/picture">
                  <pic:nvPicPr>
                    <pic:cNvPr id="201" name="IM 201"/>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37</w:t>
      </w:r>
    </w:p>
    <w:p>
      <w:pPr>
        <w:spacing w:line="352" w:lineRule="auto"/>
        <w:rPr>
          <w:rFonts w:ascii="Arial"/>
          <w:sz w:val="21"/>
        </w:rPr>
      </w:pPr>
    </w:p>
    <w:p>
      <w:pPr>
        <w:spacing w:line="352" w:lineRule="auto"/>
        <w:rPr>
          <w:rFonts w:ascii="Arial"/>
          <w:sz w:val="21"/>
        </w:rPr>
      </w:pPr>
    </w:p>
    <w:p>
      <w:pPr>
        <w:spacing w:before="95" w:line="264" w:lineRule="auto"/>
        <w:ind w:left="1988" w:right="1980" w:firstLine="8"/>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子</w:t>
      </w:r>
      <w:r>
        <w:rPr>
          <w:rFonts w:ascii="微软雅黑" w:hAnsi="微软雅黑" w:eastAsia="微软雅黑" w:cs="微软雅黑"/>
          <w:color w:val="231F20"/>
          <w:sz w:val="22"/>
          <w:szCs w:val="22"/>
        </w:rPr>
        <w:t xml:space="preserve">信息制造业利用外资规模大幅回升，  同比增长 </w:t>
      </w:r>
      <w:r>
        <w:rPr>
          <w:rFonts w:ascii="Times New Roman" w:hAnsi="Times New Roman" w:eastAsia="Times New Roman" w:cs="Times New Roman"/>
          <w:color w:val="231F20"/>
          <w:sz w:val="22"/>
          <w:szCs w:val="22"/>
        </w:rPr>
        <w:t xml:space="preserve">14 .2% </w:t>
      </w:r>
      <w:r>
        <w:rPr>
          <w:rFonts w:ascii="微软雅黑" w:hAnsi="微软雅黑" w:eastAsia="微软雅黑" w:cs="微软雅黑"/>
          <w:color w:val="231F20"/>
          <w:sz w:val="22"/>
          <w:szCs w:val="22"/>
        </w:rPr>
        <w:t xml:space="preserve">。同时 ，计算机 、通信和其 </w:t>
      </w:r>
      <w:r>
        <w:rPr>
          <w:rFonts w:ascii="微软雅黑" w:hAnsi="微软雅黑" w:eastAsia="微软雅黑" w:cs="微软雅黑"/>
          <w:color w:val="231F20"/>
          <w:spacing w:val="14"/>
          <w:sz w:val="22"/>
          <w:szCs w:val="22"/>
        </w:rPr>
        <w:t>他电子设</w:t>
      </w:r>
      <w:r>
        <w:rPr>
          <w:rFonts w:ascii="微软雅黑" w:hAnsi="微软雅黑" w:eastAsia="微软雅黑" w:cs="微软雅黑"/>
          <w:color w:val="231F20"/>
          <w:spacing w:val="8"/>
          <w:sz w:val="22"/>
          <w:szCs w:val="22"/>
        </w:rPr>
        <w:t>备</w:t>
      </w:r>
      <w:r>
        <w:rPr>
          <w:rFonts w:ascii="微软雅黑" w:hAnsi="微软雅黑" w:eastAsia="微软雅黑" w:cs="微软雅黑"/>
          <w:color w:val="231F20"/>
          <w:spacing w:val="7"/>
          <w:sz w:val="22"/>
          <w:szCs w:val="22"/>
        </w:rPr>
        <w:t>制造业中高技术制造环节利用外资稳步增长 。集成电路制造业实际使用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外资金额占计算机 、通信和其他电子</w:t>
      </w:r>
      <w:r>
        <w:rPr>
          <w:rFonts w:ascii="微软雅黑" w:hAnsi="微软雅黑" w:eastAsia="微软雅黑" w:cs="微软雅黑"/>
          <w:color w:val="231F20"/>
          <w:spacing w:val="2"/>
          <w:sz w:val="22"/>
          <w:szCs w:val="22"/>
        </w:rPr>
        <w:t xml:space="preserve">设备制造业比重从 </w:t>
      </w:r>
      <w:r>
        <w:rPr>
          <w:rFonts w:ascii="Times New Roman" w:hAnsi="Times New Roman" w:eastAsia="Times New Roman" w:cs="Times New Roman"/>
          <w:color w:val="231F20"/>
          <w:spacing w:val="2"/>
          <w:sz w:val="22"/>
          <w:szCs w:val="22"/>
        </w:rPr>
        <w:t xml:space="preserve">2011 </w:t>
      </w:r>
      <w:r>
        <w:rPr>
          <w:rFonts w:ascii="微软雅黑" w:hAnsi="微软雅黑" w:eastAsia="微软雅黑" w:cs="微软雅黑"/>
          <w:color w:val="231F20"/>
          <w:spacing w:val="2"/>
          <w:sz w:val="22"/>
          <w:szCs w:val="22"/>
        </w:rPr>
        <w:t xml:space="preserve">年的 </w:t>
      </w:r>
      <w:r>
        <w:rPr>
          <w:rFonts w:ascii="Times New Roman" w:hAnsi="Times New Roman" w:eastAsia="Times New Roman" w:cs="Times New Roman"/>
          <w:color w:val="231F20"/>
          <w:spacing w:val="2"/>
          <w:sz w:val="22"/>
          <w:szCs w:val="22"/>
        </w:rPr>
        <w:t xml:space="preserve">4 .9% </w:t>
      </w:r>
      <w:r>
        <w:rPr>
          <w:rFonts w:ascii="微软雅黑" w:hAnsi="微软雅黑" w:eastAsia="微软雅黑" w:cs="微软雅黑"/>
          <w:color w:val="231F20"/>
          <w:spacing w:val="2"/>
          <w:sz w:val="22"/>
          <w:szCs w:val="22"/>
        </w:rPr>
        <w:t xml:space="preserve">提升至 </w:t>
      </w:r>
      <w:r>
        <w:rPr>
          <w:rFonts w:ascii="Times New Roman" w:hAnsi="Times New Roman" w:eastAsia="Times New Roman" w:cs="Times New Roman"/>
          <w:color w:val="231F20"/>
          <w:spacing w:val="2"/>
          <w:sz w:val="22"/>
          <w:szCs w:val="22"/>
        </w:rPr>
        <w:t>2021</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6"/>
          <w:sz w:val="22"/>
          <w:szCs w:val="22"/>
        </w:rPr>
        <w:t xml:space="preserve">年的 </w:t>
      </w:r>
      <w:r>
        <w:rPr>
          <w:rFonts w:ascii="Times New Roman" w:hAnsi="Times New Roman" w:eastAsia="Times New Roman" w:cs="Times New Roman"/>
          <w:color w:val="231F20"/>
          <w:spacing w:val="6"/>
          <w:sz w:val="22"/>
          <w:szCs w:val="22"/>
        </w:rPr>
        <w:t xml:space="preserve">11% </w:t>
      </w:r>
      <w:r>
        <w:rPr>
          <w:rFonts w:ascii="微软雅黑" w:hAnsi="微软雅黑" w:eastAsia="微软雅黑" w:cs="微软雅黑"/>
          <w:color w:val="231F20"/>
          <w:spacing w:val="6"/>
          <w:sz w:val="22"/>
          <w:szCs w:val="22"/>
        </w:rPr>
        <w:t>，</w:t>
      </w:r>
      <w:r>
        <w:rPr>
          <w:rFonts w:ascii="微软雅黑" w:hAnsi="微软雅黑" w:eastAsia="微软雅黑" w:cs="微软雅黑"/>
          <w:color w:val="231F20"/>
          <w:spacing w:val="3"/>
          <w:sz w:val="22"/>
          <w:szCs w:val="22"/>
        </w:rPr>
        <w:t>智能消费设备制造利用外资从无到有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年实际使用外资金额占比达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 xml:space="preserve">到 </w:t>
      </w:r>
      <w:r>
        <w:rPr>
          <w:rFonts w:ascii="Times New Roman" w:hAnsi="Times New Roman" w:eastAsia="Times New Roman" w:cs="Times New Roman"/>
          <w:color w:val="231F20"/>
          <w:spacing w:val="-5"/>
          <w:sz w:val="22"/>
          <w:szCs w:val="22"/>
        </w:rPr>
        <w:t>6 .4%</w:t>
      </w:r>
      <w:r>
        <w:rPr>
          <w:rFonts w:ascii="微软雅黑" w:hAnsi="微软雅黑" w:eastAsia="微软雅黑" w:cs="微软雅黑"/>
          <w:color w:val="231F20"/>
          <w:spacing w:val="-5"/>
          <w:sz w:val="22"/>
          <w:szCs w:val="22"/>
        </w:rPr>
        <w:t>。</w:t>
      </w:r>
    </w:p>
    <w:p>
      <w:pPr>
        <w:spacing w:before="193" w:line="218"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存续企业数量逐步稳定，企业发展进</w:t>
      </w:r>
      <w:r>
        <w:rPr>
          <w:rFonts w:ascii="KaiTi" w:hAnsi="KaiTi" w:eastAsia="KaiTi" w:cs="KaiTi"/>
          <w:color w:val="015DAC"/>
          <w:sz w:val="22"/>
          <w:szCs w:val="22"/>
        </w:rPr>
        <w:t>入稳定期</w:t>
      </w:r>
    </w:p>
    <w:p>
      <w:pPr>
        <w:spacing w:line="264" w:lineRule="auto"/>
        <w:rPr>
          <w:rFonts w:ascii="Arial"/>
          <w:sz w:val="21"/>
        </w:rPr>
      </w:pPr>
    </w:p>
    <w:p>
      <w:pPr>
        <w:spacing w:before="94" w:line="263" w:lineRule="auto"/>
        <w:ind w:left="1999" w:right="1977" w:firstLine="446"/>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从存续外资企业数来看 ，</w:t>
      </w:r>
      <w:r>
        <w:rPr>
          <w:rFonts w:ascii="Times New Roman" w:hAnsi="Times New Roman" w:eastAsia="Times New Roman" w:cs="Times New Roman"/>
          <w:color w:val="231F20"/>
          <w:spacing w:val="1"/>
          <w:sz w:val="22"/>
          <w:szCs w:val="22"/>
        </w:rPr>
        <w:t>2012-</w:t>
      </w:r>
      <w:r>
        <w:rPr>
          <w:rFonts w:ascii="Times New Roman" w:hAnsi="Times New Roman" w:eastAsia="Times New Roman" w:cs="Times New Roman"/>
          <w:color w:val="231F20"/>
          <w:sz w:val="22"/>
          <w:szCs w:val="22"/>
        </w:rPr>
        <w:t xml:space="preserve">2019 </w:t>
      </w:r>
      <w:r>
        <w:rPr>
          <w:rFonts w:ascii="微软雅黑" w:hAnsi="微软雅黑" w:eastAsia="微软雅黑" w:cs="微软雅黑"/>
          <w:color w:val="231F20"/>
          <w:sz w:val="22"/>
          <w:szCs w:val="22"/>
        </w:rPr>
        <w:t xml:space="preserve">年 ，规模以上外资计算机 、通信和其他电子 </w:t>
      </w:r>
      <w:r>
        <w:rPr>
          <w:rFonts w:ascii="微软雅黑" w:hAnsi="微软雅黑" w:eastAsia="微软雅黑" w:cs="微软雅黑"/>
          <w:color w:val="231F20"/>
          <w:spacing w:val="1"/>
          <w:sz w:val="22"/>
          <w:szCs w:val="22"/>
        </w:rPr>
        <w:t>设备制造企业数量呈现逐步</w:t>
      </w:r>
      <w:r>
        <w:rPr>
          <w:rFonts w:ascii="微软雅黑" w:hAnsi="微软雅黑" w:eastAsia="微软雅黑" w:cs="微软雅黑"/>
          <w:color w:val="231F20"/>
          <w:sz w:val="22"/>
          <w:szCs w:val="22"/>
        </w:rPr>
        <w:t xml:space="preserve">下降趋势 ，从 </w:t>
      </w:r>
      <w:r>
        <w:rPr>
          <w:rFonts w:ascii="Times New Roman" w:hAnsi="Times New Roman" w:eastAsia="Times New Roman" w:cs="Times New Roman"/>
          <w:color w:val="231F20"/>
          <w:sz w:val="22"/>
          <w:szCs w:val="22"/>
        </w:rPr>
        <w:t xml:space="preserve">5577 </w:t>
      </w:r>
      <w:r>
        <w:rPr>
          <w:rFonts w:ascii="微软雅黑" w:hAnsi="微软雅黑" w:eastAsia="微软雅黑" w:cs="微软雅黑"/>
          <w:color w:val="231F20"/>
          <w:sz w:val="22"/>
          <w:szCs w:val="22"/>
        </w:rPr>
        <w:t xml:space="preserve">家降至 </w:t>
      </w:r>
      <w:r>
        <w:rPr>
          <w:rFonts w:ascii="Times New Roman" w:hAnsi="Times New Roman" w:eastAsia="Times New Roman" w:cs="Times New Roman"/>
          <w:color w:val="231F20"/>
          <w:sz w:val="22"/>
          <w:szCs w:val="22"/>
        </w:rPr>
        <w:t xml:space="preserve">4397 </w:t>
      </w:r>
      <w:r>
        <w:rPr>
          <w:rFonts w:ascii="微软雅黑" w:hAnsi="微软雅黑" w:eastAsia="微软雅黑" w:cs="微软雅黑"/>
          <w:color w:val="231F20"/>
          <w:sz w:val="22"/>
          <w:szCs w:val="22"/>
        </w:rPr>
        <w:t xml:space="preserve">家 ，但 </w:t>
      </w:r>
      <w:r>
        <w:rPr>
          <w:rFonts w:ascii="Times New Roman" w:hAnsi="Times New Roman" w:eastAsia="Times New Roman" w:cs="Times New Roman"/>
          <w:color w:val="231F20"/>
          <w:sz w:val="22"/>
          <w:szCs w:val="22"/>
        </w:rPr>
        <w:t xml:space="preserve">2020 </w:t>
      </w:r>
      <w:r>
        <w:rPr>
          <w:rFonts w:ascii="微软雅黑" w:hAnsi="微软雅黑" w:eastAsia="微软雅黑" w:cs="微软雅黑"/>
          <w:color w:val="231F20"/>
          <w:sz w:val="22"/>
          <w:szCs w:val="22"/>
        </w:rPr>
        <w:t xml:space="preserve">年 ，在受疫 </w:t>
      </w:r>
      <w:r>
        <w:rPr>
          <w:rFonts w:ascii="微软雅黑" w:hAnsi="微软雅黑" w:eastAsia="微软雅黑" w:cs="微软雅黑"/>
          <w:color w:val="231F20"/>
          <w:spacing w:val="10"/>
          <w:sz w:val="22"/>
          <w:szCs w:val="22"/>
        </w:rPr>
        <w:t>情影响的情</w:t>
      </w:r>
      <w:r>
        <w:rPr>
          <w:rFonts w:ascii="微软雅黑" w:hAnsi="微软雅黑" w:eastAsia="微软雅黑" w:cs="微软雅黑"/>
          <w:color w:val="231F20"/>
          <w:spacing w:val="8"/>
          <w:sz w:val="22"/>
          <w:szCs w:val="22"/>
        </w:rPr>
        <w:t>况</w:t>
      </w:r>
      <w:r>
        <w:rPr>
          <w:rFonts w:ascii="微软雅黑" w:hAnsi="微软雅黑" w:eastAsia="微软雅黑" w:cs="微软雅黑"/>
          <w:color w:val="231F20"/>
          <w:spacing w:val="5"/>
          <w:sz w:val="22"/>
          <w:szCs w:val="22"/>
        </w:rPr>
        <w:t>下 ，规模以上外资计算机 、通信和其他电子设备制造企业数量呈现增</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长</w:t>
      </w:r>
      <w:r>
        <w:rPr>
          <w:rFonts w:ascii="微软雅黑" w:hAnsi="微软雅黑" w:eastAsia="微软雅黑" w:cs="微软雅黑"/>
          <w:color w:val="231F20"/>
          <w:spacing w:val="-4"/>
          <w:sz w:val="22"/>
          <w:szCs w:val="22"/>
        </w:rPr>
        <w:t xml:space="preserve">态势，  比 </w:t>
      </w:r>
      <w:r>
        <w:rPr>
          <w:rFonts w:ascii="Times New Roman" w:hAnsi="Times New Roman" w:eastAsia="Times New Roman" w:cs="Times New Roman"/>
          <w:color w:val="231F20"/>
          <w:spacing w:val="-4"/>
          <w:sz w:val="22"/>
          <w:szCs w:val="22"/>
        </w:rPr>
        <w:t xml:space="preserve">2019 </w:t>
      </w:r>
      <w:r>
        <w:rPr>
          <w:rFonts w:ascii="微软雅黑" w:hAnsi="微软雅黑" w:eastAsia="微软雅黑" w:cs="微软雅黑"/>
          <w:color w:val="231F20"/>
          <w:spacing w:val="-4"/>
          <w:sz w:val="22"/>
          <w:szCs w:val="22"/>
        </w:rPr>
        <w:t xml:space="preserve">年增加了 </w:t>
      </w:r>
      <w:r>
        <w:rPr>
          <w:rFonts w:ascii="Times New Roman" w:hAnsi="Times New Roman" w:eastAsia="Times New Roman" w:cs="Times New Roman"/>
          <w:color w:val="231F20"/>
          <w:spacing w:val="-4"/>
          <w:sz w:val="22"/>
          <w:szCs w:val="22"/>
        </w:rPr>
        <w:t xml:space="preserve">89 </w:t>
      </w:r>
      <w:r>
        <w:rPr>
          <w:rFonts w:ascii="微软雅黑" w:hAnsi="微软雅黑" w:eastAsia="微软雅黑" w:cs="微软雅黑"/>
          <w:color w:val="231F20"/>
          <w:spacing w:val="-4"/>
          <w:sz w:val="22"/>
          <w:szCs w:val="22"/>
        </w:rPr>
        <w:t>家。</w:t>
      </w:r>
    </w:p>
    <w:p>
      <w:pPr>
        <w:spacing w:line="444" w:lineRule="auto"/>
        <w:rPr>
          <w:rFonts w:ascii="Arial"/>
          <w:sz w:val="21"/>
        </w:rPr>
      </w:pPr>
    </w:p>
    <w:p>
      <w:pPr>
        <w:spacing w:before="72" w:line="226" w:lineRule="auto"/>
        <w:ind w:left="2468"/>
        <w:rPr>
          <w:rFonts w:ascii="宋体" w:hAnsi="宋体" w:eastAsia="宋体" w:cs="宋体"/>
          <w:sz w:val="22"/>
          <w:szCs w:val="22"/>
        </w:rPr>
      </w:pPr>
      <w:r>
        <w:rPr>
          <w:rFonts w:ascii="宋体" w:hAnsi="宋体" w:eastAsia="宋体" w:cs="宋体"/>
          <w:color w:val="030303"/>
          <w:sz w:val="22"/>
          <w:szCs w:val="22"/>
        </w:rPr>
        <w:t>家</w:t>
      </w:r>
    </w:p>
    <w:p>
      <w:pPr>
        <w:spacing w:before="210" w:line="186" w:lineRule="auto"/>
        <w:ind w:left="2443"/>
        <w:rPr>
          <w:rFonts w:ascii="Calibri" w:hAnsi="Calibri" w:eastAsia="Calibri" w:cs="Calibri"/>
          <w:sz w:val="17"/>
          <w:szCs w:val="17"/>
        </w:rPr>
      </w:pPr>
      <w:r>
        <w:rPr>
          <w:rFonts w:ascii="Calibri" w:hAnsi="Calibri" w:eastAsia="Calibri" w:cs="Calibri"/>
          <w:color w:val="030303"/>
          <w:spacing w:val="3"/>
          <w:sz w:val="17"/>
          <w:szCs w:val="17"/>
        </w:rPr>
        <w:t>6</w:t>
      </w:r>
      <w:r>
        <w:rPr>
          <w:rFonts w:ascii="Calibri" w:hAnsi="Calibri" w:eastAsia="Calibri" w:cs="Calibri"/>
          <w:color w:val="030303"/>
          <w:spacing w:val="2"/>
          <w:sz w:val="17"/>
          <w:szCs w:val="17"/>
        </w:rPr>
        <w:t>000</w:t>
      </w:r>
    </w:p>
    <w:p>
      <w:pPr>
        <w:spacing w:line="289" w:lineRule="auto"/>
        <w:rPr>
          <w:rFonts w:ascii="Arial"/>
          <w:sz w:val="21"/>
        </w:rPr>
      </w:pPr>
    </w:p>
    <w:p>
      <w:pPr>
        <w:spacing w:before="52" w:line="186" w:lineRule="auto"/>
        <w:ind w:left="2442"/>
        <w:rPr>
          <w:rFonts w:ascii="Calibri" w:hAnsi="Calibri" w:eastAsia="Calibri" w:cs="Calibri"/>
          <w:sz w:val="17"/>
          <w:szCs w:val="17"/>
        </w:rPr>
      </w:pPr>
      <w:r>
        <w:rPr>
          <w:rFonts w:ascii="Calibri" w:hAnsi="Calibri" w:eastAsia="Calibri" w:cs="Calibri"/>
          <w:color w:val="030303"/>
          <w:spacing w:val="4"/>
          <w:sz w:val="17"/>
          <w:szCs w:val="17"/>
        </w:rPr>
        <w:t>5</w:t>
      </w:r>
      <w:r>
        <w:rPr>
          <w:rFonts w:ascii="Calibri" w:hAnsi="Calibri" w:eastAsia="Calibri" w:cs="Calibri"/>
          <w:color w:val="030303"/>
          <w:spacing w:val="2"/>
          <w:sz w:val="17"/>
          <w:szCs w:val="17"/>
        </w:rPr>
        <w:t>000</w:t>
      </w:r>
    </w:p>
    <w:p/>
    <w:p>
      <w:pPr>
        <w:spacing w:line="149" w:lineRule="exact"/>
      </w:pPr>
    </w:p>
    <w:tbl>
      <w:tblPr>
        <w:tblStyle w:val="4"/>
        <w:tblW w:w="6852" w:type="dxa"/>
        <w:tblInd w:w="2914" w:type="dxa"/>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Layout w:type="fixed"/>
        <w:tblCellMar>
          <w:top w:w="0" w:type="dxa"/>
          <w:left w:w="0" w:type="dxa"/>
          <w:bottom w:w="0" w:type="dxa"/>
          <w:right w:w="0" w:type="dxa"/>
        </w:tblCellMar>
      </w:tblPr>
      <w:tblGrid>
        <w:gridCol w:w="3057"/>
        <w:gridCol w:w="762"/>
        <w:gridCol w:w="1518"/>
        <w:gridCol w:w="1515"/>
      </w:tblGrid>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504" w:hRule="atLeast"/>
        </w:trPr>
        <w:tc>
          <w:tcPr>
            <w:tcW w:w="6852" w:type="dxa"/>
            <w:gridSpan w:val="4"/>
            <w:tcBorders>
              <w:left w:val="nil"/>
              <w:right w:val="nil"/>
            </w:tcBorders>
            <w:vAlign w:val="top"/>
          </w:tcPr>
          <w:p>
            <w:pPr>
              <w:spacing w:line="334" w:lineRule="auto"/>
              <w:rPr>
                <w:rFonts w:ascii="Arial"/>
                <w:sz w:val="21"/>
              </w:rPr>
            </w:pPr>
          </w:p>
          <w:p>
            <w:pPr>
              <w:spacing w:before="46" w:line="159" w:lineRule="auto"/>
              <w:ind w:left="227"/>
              <w:rPr>
                <w:rFonts w:ascii="Times New Roman" w:hAnsi="Times New Roman" w:eastAsia="Times New Roman" w:cs="Times New Roman"/>
                <w:sz w:val="16"/>
                <w:szCs w:val="16"/>
              </w:rPr>
            </w:pPr>
            <w:r>
              <w:rPr>
                <w:rFonts w:ascii="Times New Roman" w:hAnsi="Times New Roman" w:eastAsia="Times New Roman" w:cs="Times New Roman"/>
                <w:color w:val="030303"/>
                <w:spacing w:val="6"/>
                <w:sz w:val="16"/>
                <w:szCs w:val="16"/>
              </w:rPr>
              <w:t>557</w:t>
            </w:r>
            <w:r>
              <w:rPr>
                <w:rFonts w:ascii="Times New Roman" w:hAnsi="Times New Roman" w:eastAsia="Times New Roman" w:cs="Times New Roman"/>
                <w:color w:val="030303"/>
                <w:spacing w:val="3"/>
                <w:sz w:val="16"/>
                <w:szCs w:val="16"/>
              </w:rPr>
              <w:t>7          5603</w:t>
            </w: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553" w:hRule="atLeast"/>
        </w:trPr>
        <w:tc>
          <w:tcPr>
            <w:tcW w:w="3057" w:type="dxa"/>
            <w:tcBorders>
              <w:left w:val="nil"/>
              <w:right w:val="nil"/>
            </w:tcBorders>
            <w:vAlign w:val="top"/>
          </w:tcPr>
          <w:p>
            <w:pPr>
              <w:spacing w:before="16" w:line="188" w:lineRule="auto"/>
              <w:ind w:left="2501"/>
              <w:rPr>
                <w:rFonts w:ascii="Times New Roman" w:hAnsi="Times New Roman" w:eastAsia="Times New Roman" w:cs="Times New Roman"/>
                <w:sz w:val="17"/>
                <w:szCs w:val="17"/>
              </w:rPr>
            </w:pPr>
            <w:r>
              <w:rPr>
                <w:rFonts w:ascii="Times New Roman" w:hAnsi="Times New Roman" w:eastAsia="Times New Roman" w:cs="Times New Roman"/>
                <w:color w:val="030303"/>
                <w:spacing w:val="4"/>
                <w:sz w:val="17"/>
                <w:szCs w:val="17"/>
              </w:rPr>
              <w:t>5</w:t>
            </w:r>
            <w:r>
              <w:rPr>
                <w:rFonts w:ascii="Times New Roman" w:hAnsi="Times New Roman" w:eastAsia="Times New Roman" w:cs="Times New Roman"/>
                <w:color w:val="030303"/>
                <w:spacing w:val="3"/>
                <w:sz w:val="17"/>
                <w:szCs w:val="17"/>
              </w:rPr>
              <w:t>0</w:t>
            </w:r>
            <w:r>
              <w:rPr>
                <w:rFonts w:ascii="Times New Roman" w:hAnsi="Times New Roman" w:eastAsia="Times New Roman" w:cs="Times New Roman"/>
                <w:color w:val="030303"/>
                <w:spacing w:val="2"/>
                <w:sz w:val="17"/>
                <w:szCs w:val="17"/>
              </w:rPr>
              <w:t>99</w:t>
            </w:r>
          </w:p>
        </w:tc>
        <w:tc>
          <w:tcPr>
            <w:tcW w:w="762" w:type="dxa"/>
            <w:tcBorders>
              <w:left w:val="nil"/>
              <w:right w:val="nil"/>
            </w:tcBorders>
            <w:vAlign w:val="top"/>
          </w:tcPr>
          <w:p>
            <w:pPr>
              <w:spacing w:before="121" w:line="187" w:lineRule="auto"/>
              <w:ind w:left="203"/>
              <w:rPr>
                <w:rFonts w:ascii="Times New Roman" w:hAnsi="Times New Roman" w:eastAsia="Times New Roman" w:cs="Times New Roman"/>
                <w:sz w:val="17"/>
                <w:szCs w:val="17"/>
              </w:rPr>
            </w:pPr>
            <w:r>
              <w:rPr>
                <w:rFonts w:ascii="Times New Roman" w:hAnsi="Times New Roman" w:eastAsia="Times New Roman" w:cs="Times New Roman"/>
                <w:color w:val="030303"/>
                <w:spacing w:val="5"/>
                <w:sz w:val="17"/>
                <w:szCs w:val="17"/>
              </w:rPr>
              <w:t>4</w:t>
            </w:r>
            <w:r>
              <w:rPr>
                <w:rFonts w:ascii="Times New Roman" w:hAnsi="Times New Roman" w:eastAsia="Times New Roman" w:cs="Times New Roman"/>
                <w:color w:val="030303"/>
                <w:spacing w:val="3"/>
                <w:sz w:val="17"/>
                <w:szCs w:val="17"/>
              </w:rPr>
              <w:t>806</w:t>
            </w:r>
          </w:p>
        </w:tc>
        <w:tc>
          <w:tcPr>
            <w:tcW w:w="1518" w:type="dxa"/>
            <w:tcBorders>
              <w:left w:val="nil"/>
              <w:right w:val="nil"/>
            </w:tcBorders>
            <w:vAlign w:val="top"/>
          </w:tcPr>
          <w:p>
            <w:pPr>
              <w:spacing w:before="228" w:line="107" w:lineRule="exact"/>
              <w:ind w:left="203"/>
              <w:rPr>
                <w:rFonts w:ascii="Times New Roman" w:hAnsi="Times New Roman" w:eastAsia="Times New Roman" w:cs="Times New Roman"/>
                <w:sz w:val="16"/>
                <w:szCs w:val="16"/>
              </w:rPr>
            </w:pPr>
            <w:r>
              <w:rPr>
                <w:rFonts w:ascii="Times New Roman" w:hAnsi="Times New Roman" w:eastAsia="Times New Roman" w:cs="Times New Roman"/>
                <w:color w:val="030303"/>
                <w:spacing w:val="10"/>
                <w:position w:val="-2"/>
                <w:sz w:val="16"/>
                <w:szCs w:val="16"/>
              </w:rPr>
              <w:t>4</w:t>
            </w:r>
            <w:r>
              <w:rPr>
                <w:rFonts w:ascii="Times New Roman" w:hAnsi="Times New Roman" w:eastAsia="Times New Roman" w:cs="Times New Roman"/>
                <w:color w:val="030303"/>
                <w:spacing w:val="8"/>
                <w:position w:val="-2"/>
                <w:sz w:val="16"/>
                <w:szCs w:val="16"/>
              </w:rPr>
              <w:t>680</w:t>
            </w:r>
          </w:p>
          <w:p>
            <w:pPr>
              <w:spacing w:line="183" w:lineRule="auto"/>
              <w:ind w:left="964"/>
              <w:rPr>
                <w:rFonts w:ascii="Times New Roman" w:hAnsi="Times New Roman" w:eastAsia="Times New Roman" w:cs="Times New Roman"/>
                <w:sz w:val="16"/>
                <w:szCs w:val="16"/>
              </w:rPr>
            </w:pPr>
            <w:r>
              <w:rPr>
                <w:rFonts w:ascii="Times New Roman" w:hAnsi="Times New Roman" w:eastAsia="Times New Roman" w:cs="Times New Roman"/>
                <w:color w:val="030303"/>
                <w:spacing w:val="10"/>
                <w:sz w:val="16"/>
                <w:szCs w:val="16"/>
              </w:rPr>
              <w:t>4</w:t>
            </w:r>
            <w:r>
              <w:rPr>
                <w:rFonts w:ascii="Times New Roman" w:hAnsi="Times New Roman" w:eastAsia="Times New Roman" w:cs="Times New Roman"/>
                <w:color w:val="030303"/>
                <w:spacing w:val="8"/>
                <w:sz w:val="16"/>
                <w:szCs w:val="16"/>
              </w:rPr>
              <w:t>506</w:t>
            </w:r>
          </w:p>
        </w:tc>
        <w:tc>
          <w:tcPr>
            <w:tcW w:w="1515" w:type="dxa"/>
            <w:tcBorders>
              <w:left w:val="nil"/>
              <w:right w:val="nil"/>
            </w:tcBorders>
            <w:vAlign w:val="top"/>
          </w:tcPr>
          <w:p>
            <w:pPr>
              <w:spacing w:line="354" w:lineRule="auto"/>
              <w:rPr>
                <w:rFonts w:ascii="Arial"/>
                <w:sz w:val="21"/>
              </w:rPr>
            </w:pPr>
          </w:p>
          <w:p>
            <w:pPr>
              <w:spacing w:before="49" w:line="147" w:lineRule="exact"/>
              <w:ind w:left="199"/>
              <w:rPr>
                <w:rFonts w:ascii="Times New Roman" w:hAnsi="Times New Roman" w:eastAsia="Times New Roman" w:cs="Times New Roman"/>
                <w:sz w:val="17"/>
                <w:szCs w:val="17"/>
              </w:rPr>
            </w:pPr>
            <w:r>
              <w:rPr>
                <w:rFonts w:ascii="Times New Roman" w:hAnsi="Times New Roman" w:eastAsia="Times New Roman" w:cs="Times New Roman"/>
                <w:color w:val="030303"/>
                <w:spacing w:val="4"/>
                <w:position w:val="-2"/>
                <w:sz w:val="17"/>
                <w:szCs w:val="17"/>
              </w:rPr>
              <w:t>4</w:t>
            </w:r>
            <w:r>
              <w:rPr>
                <w:rFonts w:ascii="Times New Roman" w:hAnsi="Times New Roman" w:eastAsia="Times New Roman" w:cs="Times New Roman"/>
                <w:color w:val="030303"/>
                <w:spacing w:val="3"/>
                <w:position w:val="-2"/>
                <w:sz w:val="17"/>
                <w:szCs w:val="17"/>
              </w:rPr>
              <w:t xml:space="preserve">397         </w:t>
            </w:r>
            <w:r>
              <w:rPr>
                <w:rFonts w:ascii="Times New Roman" w:hAnsi="Times New Roman" w:eastAsia="Times New Roman" w:cs="Times New Roman"/>
                <w:color w:val="030303"/>
                <w:spacing w:val="3"/>
                <w:sz w:val="17"/>
                <w:szCs w:val="17"/>
              </w:rPr>
              <w:t>4486</w:t>
            </w:r>
          </w:p>
        </w:tc>
      </w:tr>
    </w:tbl>
    <w:p>
      <w:pPr>
        <w:spacing w:line="337" w:lineRule="auto"/>
        <w:rPr>
          <w:rFonts w:ascii="Arial"/>
          <w:sz w:val="21"/>
        </w:rPr>
      </w:pPr>
    </w:p>
    <w:p>
      <w:pPr>
        <w:spacing w:before="52" w:line="186" w:lineRule="auto"/>
        <w:ind w:left="2449"/>
        <w:rPr>
          <w:rFonts w:ascii="Calibri" w:hAnsi="Calibri" w:eastAsia="Calibri" w:cs="Calibri"/>
          <w:sz w:val="17"/>
          <w:szCs w:val="17"/>
        </w:rPr>
      </w:pPr>
      <w:r>
        <w:rPr>
          <w:rFonts w:ascii="Calibri" w:hAnsi="Calibri" w:eastAsia="Calibri" w:cs="Calibri"/>
          <w:color w:val="030303"/>
          <w:spacing w:val="1"/>
          <w:sz w:val="17"/>
          <w:szCs w:val="17"/>
        </w:rPr>
        <w:t>100</w:t>
      </w:r>
      <w:r>
        <w:rPr>
          <w:rFonts w:ascii="Calibri" w:hAnsi="Calibri" w:eastAsia="Calibri" w:cs="Calibri"/>
          <w:color w:val="030303"/>
          <w:sz w:val="17"/>
          <w:szCs w:val="17"/>
        </w:rPr>
        <w:t>0</w:t>
      </w:r>
    </w:p>
    <w:p>
      <w:pPr>
        <w:spacing w:line="289" w:lineRule="auto"/>
        <w:rPr>
          <w:rFonts w:ascii="Arial"/>
          <w:sz w:val="21"/>
        </w:rPr>
      </w:pPr>
    </w:p>
    <w:p>
      <w:pPr>
        <w:spacing w:before="52" w:line="186" w:lineRule="auto"/>
        <w:ind w:left="2712"/>
        <w:rPr>
          <w:rFonts w:ascii="Calibri" w:hAnsi="Calibri" w:eastAsia="Calibri" w:cs="Calibri"/>
          <w:sz w:val="17"/>
          <w:szCs w:val="17"/>
        </w:rPr>
      </w:pPr>
      <w:r>
        <w:rPr>
          <w:rFonts w:ascii="Calibri" w:hAnsi="Calibri" w:eastAsia="Calibri" w:cs="Calibri"/>
          <w:color w:val="030303"/>
          <w:sz w:val="17"/>
          <w:szCs w:val="17"/>
        </w:rPr>
        <w:t>0</w:t>
      </w:r>
    </w:p>
    <w:p>
      <w:pPr>
        <w:spacing w:before="65" w:line="186" w:lineRule="auto"/>
        <w:ind w:left="3123"/>
        <w:rPr>
          <w:rFonts w:ascii="Calibri" w:hAnsi="Calibri" w:eastAsia="Calibri" w:cs="Calibri"/>
          <w:sz w:val="17"/>
          <w:szCs w:val="17"/>
        </w:rPr>
      </w:pPr>
      <w:r>
        <w:rPr>
          <w:rFonts w:ascii="Calibri" w:hAnsi="Calibri" w:eastAsia="Calibri" w:cs="Calibri"/>
          <w:color w:val="030303"/>
          <w:spacing w:val="4"/>
          <w:sz w:val="17"/>
          <w:szCs w:val="17"/>
        </w:rPr>
        <w:t>2012          2013</w:t>
      </w:r>
      <w:r>
        <w:rPr>
          <w:rFonts w:ascii="Calibri" w:hAnsi="Calibri" w:eastAsia="Calibri" w:cs="Calibri"/>
          <w:color w:val="030303"/>
          <w:spacing w:val="2"/>
          <w:sz w:val="17"/>
          <w:szCs w:val="17"/>
        </w:rPr>
        <w:t xml:space="preserve">          2014          2015          2016          2017          2018          2019          2020</w:t>
      </w:r>
    </w:p>
    <w:p>
      <w:pPr>
        <w:spacing w:before="284" w:line="383" w:lineRule="exact"/>
        <w:ind w:left="2681"/>
        <w:rPr>
          <w:rFonts w:ascii="SimHei" w:hAnsi="SimHei" w:eastAsia="SimHei" w:cs="SimHei"/>
          <w:sz w:val="20"/>
          <w:szCs w:val="20"/>
        </w:rPr>
      </w:pPr>
      <w:r>
        <w:rPr>
          <w:rFonts w:ascii="SimHei" w:hAnsi="SimHei" w:eastAsia="SimHei" w:cs="SimHei"/>
          <w:color w:val="231F20"/>
          <w:spacing w:val="6"/>
          <w:position w:val="13"/>
          <w:sz w:val="20"/>
          <w:szCs w:val="20"/>
        </w:rPr>
        <w:t>图</w:t>
      </w:r>
      <w:r>
        <w:rPr>
          <w:rFonts w:ascii="SimHei" w:hAnsi="SimHei" w:eastAsia="SimHei" w:cs="SimHei"/>
          <w:color w:val="231F20"/>
          <w:spacing w:val="4"/>
          <w:position w:val="13"/>
          <w:sz w:val="20"/>
          <w:szCs w:val="20"/>
        </w:rPr>
        <w:t xml:space="preserve"> </w:t>
      </w:r>
      <w:r>
        <w:rPr>
          <w:rFonts w:ascii="Times New Roman" w:hAnsi="Times New Roman" w:eastAsia="Times New Roman" w:cs="Times New Roman"/>
          <w:color w:val="231F20"/>
          <w:spacing w:val="4"/>
          <w:position w:val="13"/>
          <w:sz w:val="20"/>
          <w:szCs w:val="20"/>
        </w:rPr>
        <w:t xml:space="preserve">2-3 2012-2020 </w:t>
      </w:r>
      <w:r>
        <w:rPr>
          <w:rFonts w:ascii="SimHei" w:hAnsi="SimHei" w:eastAsia="SimHei" w:cs="SimHei"/>
          <w:color w:val="231F20"/>
          <w:spacing w:val="4"/>
          <w:position w:val="13"/>
          <w:sz w:val="20"/>
          <w:szCs w:val="20"/>
        </w:rPr>
        <w:t>年规模以上外资计算机、通信和其他电子设备制造企业数量</w:t>
      </w:r>
    </w:p>
    <w:p>
      <w:pPr>
        <w:spacing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pacing w:line="262" w:lineRule="auto"/>
        <w:rPr>
          <w:rFonts w:ascii="Arial"/>
          <w:sz w:val="21"/>
        </w:rPr>
      </w:pPr>
    </w:p>
    <w:p>
      <w:pPr>
        <w:spacing w:line="263" w:lineRule="auto"/>
        <w:rPr>
          <w:rFonts w:ascii="Arial"/>
          <w:sz w:val="21"/>
        </w:rPr>
      </w:pPr>
    </w:p>
    <w:p>
      <w:pPr>
        <w:spacing w:before="95" w:line="258" w:lineRule="auto"/>
        <w:ind w:left="1992" w:right="1984" w:firstLine="471"/>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同时，从计算机 、通信和其他电子设备制造业固定资产投资来看 ，全行</w:t>
      </w:r>
      <w:r>
        <w:rPr>
          <w:rFonts w:ascii="微软雅黑" w:hAnsi="微软雅黑" w:eastAsia="微软雅黑" w:cs="微软雅黑"/>
          <w:color w:val="231F20"/>
          <w:sz w:val="22"/>
          <w:szCs w:val="22"/>
        </w:rPr>
        <w:t xml:space="preserve">业固定资 </w:t>
      </w:r>
      <w:r>
        <w:rPr>
          <w:rFonts w:ascii="微软雅黑" w:hAnsi="微软雅黑" w:eastAsia="微软雅黑" w:cs="微软雅黑"/>
          <w:color w:val="231F20"/>
          <w:spacing w:val="1"/>
          <w:sz w:val="22"/>
          <w:szCs w:val="22"/>
        </w:rPr>
        <w:t xml:space="preserve">产投资增长率由 </w:t>
      </w:r>
      <w:r>
        <w:rPr>
          <w:rFonts w:ascii="Times New Roman" w:hAnsi="Times New Roman" w:eastAsia="Times New Roman" w:cs="Times New Roman"/>
          <w:color w:val="231F20"/>
          <w:spacing w:val="1"/>
          <w:sz w:val="22"/>
          <w:szCs w:val="22"/>
        </w:rPr>
        <w:t xml:space="preserve">2019 </w:t>
      </w:r>
      <w:r>
        <w:rPr>
          <w:rFonts w:ascii="微软雅黑" w:hAnsi="微软雅黑" w:eastAsia="微软雅黑" w:cs="微软雅黑"/>
          <w:color w:val="231F20"/>
          <w:spacing w:val="1"/>
          <w:sz w:val="22"/>
          <w:szCs w:val="22"/>
        </w:rPr>
        <w:t xml:space="preserve">年的 </w:t>
      </w:r>
      <w:r>
        <w:rPr>
          <w:rFonts w:ascii="Times New Roman" w:hAnsi="Times New Roman" w:eastAsia="Times New Roman" w:cs="Times New Roman"/>
          <w:color w:val="231F20"/>
          <w:spacing w:val="1"/>
          <w:sz w:val="22"/>
          <w:szCs w:val="22"/>
        </w:rPr>
        <w:t xml:space="preserve">16.8% </w:t>
      </w:r>
      <w:r>
        <w:rPr>
          <w:rFonts w:ascii="微软雅黑" w:hAnsi="微软雅黑" w:eastAsia="微软雅黑" w:cs="微软雅黑"/>
          <w:color w:val="231F20"/>
          <w:spacing w:val="1"/>
          <w:sz w:val="22"/>
          <w:szCs w:val="22"/>
        </w:rPr>
        <w:t xml:space="preserve">降至 </w:t>
      </w:r>
      <w:r>
        <w:rPr>
          <w:rFonts w:ascii="Times New Roman" w:hAnsi="Times New Roman" w:eastAsia="Times New Roman" w:cs="Times New Roman"/>
          <w:color w:val="231F20"/>
          <w:spacing w:val="1"/>
          <w:sz w:val="22"/>
          <w:szCs w:val="22"/>
        </w:rPr>
        <w:t xml:space="preserve">2020 </w:t>
      </w:r>
      <w:r>
        <w:rPr>
          <w:rFonts w:ascii="微软雅黑" w:hAnsi="微软雅黑" w:eastAsia="微软雅黑" w:cs="微软雅黑"/>
          <w:color w:val="231F20"/>
          <w:spacing w:val="1"/>
          <w:sz w:val="22"/>
          <w:szCs w:val="22"/>
        </w:rPr>
        <w:t xml:space="preserve">年的 </w:t>
      </w:r>
      <w:r>
        <w:rPr>
          <w:rFonts w:ascii="Times New Roman" w:hAnsi="Times New Roman" w:eastAsia="Times New Roman" w:cs="Times New Roman"/>
          <w:color w:val="231F20"/>
          <w:spacing w:val="1"/>
          <w:sz w:val="22"/>
          <w:szCs w:val="22"/>
        </w:rPr>
        <w:t xml:space="preserve">12.5% </w:t>
      </w:r>
      <w:r>
        <w:rPr>
          <w:rFonts w:ascii="微软雅黑" w:hAnsi="微软雅黑" w:eastAsia="微软雅黑" w:cs="微软雅黑"/>
          <w:color w:val="231F20"/>
          <w:spacing w:val="1"/>
          <w:sz w:val="22"/>
          <w:szCs w:val="22"/>
        </w:rPr>
        <w:t>。外商投资企业固定资产投</w:t>
      </w:r>
      <w:r>
        <w:rPr>
          <w:rFonts w:ascii="微软雅黑" w:hAnsi="微软雅黑" w:eastAsia="微软雅黑" w:cs="微软雅黑"/>
          <w:color w:val="231F20"/>
          <w:sz w:val="22"/>
          <w:szCs w:val="22"/>
        </w:rPr>
        <w:t xml:space="preserve">资 </w:t>
      </w:r>
      <w:r>
        <w:rPr>
          <w:rFonts w:ascii="微软雅黑" w:hAnsi="微软雅黑" w:eastAsia="微软雅黑" w:cs="微软雅黑"/>
          <w:color w:val="231F20"/>
          <w:spacing w:val="1"/>
          <w:sz w:val="22"/>
          <w:szCs w:val="22"/>
        </w:rPr>
        <w:t xml:space="preserve">增长率由 </w:t>
      </w:r>
      <w:r>
        <w:rPr>
          <w:rFonts w:ascii="Times New Roman" w:hAnsi="Times New Roman" w:eastAsia="Times New Roman" w:cs="Times New Roman"/>
          <w:color w:val="231F20"/>
          <w:spacing w:val="1"/>
          <w:sz w:val="22"/>
          <w:szCs w:val="22"/>
        </w:rPr>
        <w:t>3</w:t>
      </w:r>
      <w:r>
        <w:rPr>
          <w:rFonts w:ascii="Times New Roman" w:hAnsi="Times New Roman" w:eastAsia="Times New Roman" w:cs="Times New Roman"/>
          <w:color w:val="231F20"/>
          <w:sz w:val="22"/>
          <w:szCs w:val="22"/>
        </w:rPr>
        <w:t xml:space="preserve">.4% </w:t>
      </w:r>
      <w:r>
        <w:rPr>
          <w:rFonts w:ascii="微软雅黑" w:hAnsi="微软雅黑" w:eastAsia="微软雅黑" w:cs="微软雅黑"/>
          <w:color w:val="231F20"/>
          <w:sz w:val="22"/>
          <w:szCs w:val="22"/>
        </w:rPr>
        <w:t xml:space="preserve">增长至 </w:t>
      </w:r>
      <w:r>
        <w:rPr>
          <w:rFonts w:ascii="Times New Roman" w:hAnsi="Times New Roman" w:eastAsia="Times New Roman" w:cs="Times New Roman"/>
          <w:color w:val="231F20"/>
          <w:sz w:val="22"/>
          <w:szCs w:val="22"/>
        </w:rPr>
        <w:t xml:space="preserve">4.5% </w:t>
      </w:r>
      <w:r>
        <w:rPr>
          <w:rFonts w:ascii="微软雅黑" w:hAnsi="微软雅黑" w:eastAsia="微软雅黑" w:cs="微软雅黑"/>
          <w:color w:val="231F20"/>
          <w:sz w:val="22"/>
          <w:szCs w:val="22"/>
        </w:rPr>
        <w:t xml:space="preserve">。表明近年中国计算机 、通信和其他电子设备制造业外资 </w:t>
      </w:r>
      <w:r>
        <w:rPr>
          <w:rFonts w:ascii="微软雅黑" w:hAnsi="微软雅黑" w:eastAsia="微软雅黑" w:cs="微软雅黑"/>
          <w:color w:val="231F20"/>
          <w:spacing w:val="2"/>
          <w:sz w:val="22"/>
          <w:szCs w:val="22"/>
        </w:rPr>
        <w:t>企业</w:t>
      </w:r>
      <w:r>
        <w:rPr>
          <w:rFonts w:ascii="微软雅黑" w:hAnsi="微软雅黑" w:eastAsia="微软雅黑" w:cs="微软雅黑"/>
          <w:color w:val="231F20"/>
          <w:spacing w:val="1"/>
          <w:sz w:val="22"/>
          <w:szCs w:val="22"/>
        </w:rPr>
        <w:t>发展进入相对稳定阶段。</w:t>
      </w:r>
    </w:p>
    <w:p>
      <w:pPr>
        <w:sectPr>
          <w:pgSz w:w="12246" w:h="16498"/>
          <w:pgMar w:top="400" w:right="0" w:bottom="400" w:left="0" w:header="0" w:footer="0" w:gutter="0"/>
          <w:cols w:space="720" w:num="1"/>
        </w:sectPr>
      </w:pPr>
    </w:p>
    <w:p>
      <w:pPr>
        <w:spacing w:line="357" w:lineRule="auto"/>
        <w:rPr>
          <w:rFonts w:ascii="Arial"/>
          <w:sz w:val="21"/>
        </w:rPr>
      </w:pPr>
      <w:r>
        <w:pict>
          <v:rect id="_x0000_s1224" o:spid="_x0000_s1224" o:spt="1" style="position:absolute;left:0pt;margin-left:136.9pt;margin-top:137.15pt;height:142.3pt;width:0.3pt;mso-position-horizontal-relative:page;mso-position-vertical-relative:page;z-index:251891712;mso-width-relative:page;mso-height-relative:page;" fillcolor="#231F20" filled="t" stroked="f" coordsize="21600,21600" o:allowincell="f">
            <v:path/>
            <v:fill on="t" focussize="0,0"/>
            <v:stroke on="f"/>
            <v:imagedata o:title=""/>
            <o:lock v:ext="edit"/>
          </v:rect>
        </w:pict>
      </w:r>
      <w:r>
        <w:pict>
          <v:rect id="_x0000_s1225" o:spid="_x0000_s1225" o:spt="1" style="position:absolute;left:0pt;margin-left:138.5pt;margin-top:260.95pt;height:0.85pt;width:355.85pt;mso-position-horizontal-relative:page;mso-position-vertical-relative:page;z-index:251888640;mso-width-relative:page;mso-height-relative:page;" fillcolor="#CEE6ED" filled="t" stroked="f" coordsize="21600,21600" o:allowincell="f">
            <v:path/>
            <v:fill on="t" focussize="0,0"/>
            <v:stroke on="f"/>
            <v:imagedata o:title=""/>
            <o:lock v:ext="edit"/>
          </v:rect>
        </w:pict>
      </w:r>
      <w:r>
        <w:pict>
          <v:rect id="_x0000_s1226" o:spid="_x0000_s1226" o:spt="1" style="position:absolute;left:0pt;margin-left:135.2pt;margin-top:276.55pt;height:0.3pt;width:365pt;mso-position-horizontal-relative:page;mso-position-vertical-relative:page;z-index:251890688;mso-width-relative:page;mso-height-relative:page;" fillcolor="#231F20" filled="t" stroked="f" coordsize="21600,21600" o:allowincell="f">
            <v:path/>
            <v:fill on="t" focussize="0,0"/>
            <v:stroke on="f"/>
            <v:imagedata o:title=""/>
            <o:lock v:ext="edit"/>
          </v:rect>
        </w:pict>
      </w:r>
      <w:r>
        <w:pict>
          <v:rect id="_x0000_s1227" o:spid="_x0000_s1227" o:spt="1" style="position:absolute;left:0pt;margin-left:138.5pt;margin-top:169.2pt;height:0.85pt;width:355.85pt;mso-position-horizontal-relative:page;mso-position-vertical-relative:page;z-index:251889664;mso-width-relative:page;mso-height-relative:page;" fillcolor="#CEE6ED" filled="t" stroked="f" coordsize="21600,21600" o:allowincell="f">
            <v:path/>
            <v:fill on="t" focussize="0,0"/>
            <v:stroke on="f"/>
            <v:imagedata o:title=""/>
            <o:lock v:ext="edit"/>
          </v:rect>
        </w:pict>
      </w:r>
      <w:r>
        <w:pict>
          <v:rect id="_x0000_s1228" o:spid="_x0000_s1228" o:spt="1" style="position:absolute;left:0pt;margin-left:138.5pt;margin-top:153.9pt;height:0.85pt;width:355.85pt;mso-position-horizontal-relative:page;mso-position-vertical-relative:page;z-index:251887616;mso-width-relative:page;mso-height-relative:page;" fillcolor="#CEE6ED" filled="t" stroked="f" coordsize="21600,21600" o:allowincell="f">
            <v:path/>
            <v:fill on="t" focussize="0,0"/>
            <v:stroke on="f"/>
            <v:imagedata o:title=""/>
            <o:lock v:ext="edit"/>
          </v:rect>
        </w:pict>
      </w:r>
      <w:r>
        <w:pict>
          <v:rect id="_x0000_s1229" o:spid="_x0000_s1229" o:spt="1" style="position:absolute;left:0pt;margin-left:138.5pt;margin-top:138.6pt;height:0.85pt;width:355.85pt;mso-position-horizontal-relative:page;mso-position-vertical-relative:page;z-index:251886592;mso-width-relative:page;mso-height-relative:page;" fillcolor="#CEE6ED" filled="t" stroked="f" coordsize="21600,21600" o:allowincell="f">
            <v:path/>
            <v:fill on="t" focussize="0,0"/>
            <v:stroke on="f"/>
            <v:imagedata o:title=""/>
            <o:lock v:ext="edit"/>
          </v:rect>
        </w:pict>
      </w:r>
      <w:r>
        <w:drawing>
          <wp:anchor distT="0" distB="0" distL="0" distR="0" simplePos="0" relativeHeight="25188454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03" name="IM 203"/>
            <wp:cNvGraphicFramePr/>
            <a:graphic xmlns:a="http://schemas.openxmlformats.org/drawingml/2006/main">
              <a:graphicData uri="http://schemas.openxmlformats.org/drawingml/2006/picture">
                <pic:pic xmlns:pic="http://schemas.openxmlformats.org/drawingml/2006/picture">
                  <pic:nvPicPr>
                    <pic:cNvPr id="203" name="IM 203"/>
                    <pic:cNvPicPr/>
                  </pic:nvPicPr>
                  <pic:blipFill>
                    <a:blip r:embed="rId40"/>
                    <a:stretch>
                      <a:fillRect/>
                    </a:stretch>
                  </pic:blipFill>
                  <pic:spPr>
                    <a:xfrm>
                      <a:off x="0" y="0"/>
                      <a:ext cx="7775994" cy="422998"/>
                    </a:xfrm>
                    <a:prstGeom prst="rect">
                      <a:avLst/>
                    </a:prstGeom>
                  </pic:spPr>
                </pic:pic>
              </a:graphicData>
            </a:graphic>
          </wp:anchor>
        </w:drawing>
      </w:r>
      <w:r>
        <w:pict>
          <v:shape id="_x0000_s1230" o:spid="_x0000_s1230" o:spt="202" type="#_x0000_t202" style="position:absolute;left:0pt;margin-left:124.05pt;margin-top:180.45pt;height:71.75pt;width:13.85pt;mso-position-horizontal-relative:page;mso-position-vertical-relative:page;z-index:251885568;mso-width-relative:page;mso-height-relative:page;" filled="f" stroked="f" coordsize="21600,21600" o:allowincell="f">
            <v:path/>
            <v:fill on="f" focussize="0,0"/>
            <v:stroke on="f"/>
            <v:imagedata o:title=""/>
            <o:lock v:ext="edit" aspectratio="f"/>
            <v:textbox inset="0mm,0mm,0mm,0mm">
              <w:txbxContent>
                <w:p>
                  <w:pPr>
                    <w:spacing w:before="20" w:line="199" w:lineRule="auto"/>
                    <w:ind w:left="20"/>
                    <w:rPr>
                      <w:rFonts w:ascii="Arial" w:hAnsi="Arial" w:eastAsia="Arial" w:cs="Arial"/>
                      <w:sz w:val="17"/>
                      <w:szCs w:val="17"/>
                    </w:rPr>
                  </w:pPr>
                  <w:r>
                    <w:rPr>
                      <w:rFonts w:ascii="Arial" w:hAnsi="Arial" w:eastAsia="Arial" w:cs="Arial"/>
                      <w:color w:val="231F20"/>
                      <w:spacing w:val="-6"/>
                      <w:sz w:val="17"/>
                      <w:szCs w:val="17"/>
                    </w:rPr>
                    <w:t>15</w:t>
                  </w:r>
                  <w:r>
                    <w:rPr>
                      <w:rFonts w:ascii="Arial" w:hAnsi="Arial" w:eastAsia="Arial" w:cs="Arial"/>
                      <w:strike/>
                      <w:color w:val="231F20"/>
                      <w:sz w:val="17"/>
                      <w:szCs w:val="17"/>
                    </w:rPr>
                    <w:t xml:space="preserve"> </w:t>
                  </w:r>
                </w:p>
                <w:p>
                  <w:pPr>
                    <w:spacing w:before="145" w:line="199" w:lineRule="auto"/>
                    <w:ind w:left="20"/>
                    <w:rPr>
                      <w:rFonts w:ascii="Arial" w:hAnsi="Arial" w:eastAsia="Arial" w:cs="Arial"/>
                      <w:sz w:val="17"/>
                      <w:szCs w:val="17"/>
                    </w:rPr>
                  </w:pPr>
                  <w:r>
                    <w:rPr>
                      <w:rFonts w:ascii="Arial" w:hAnsi="Arial" w:eastAsia="Arial" w:cs="Arial"/>
                      <w:color w:val="231F20"/>
                      <w:spacing w:val="-6"/>
                      <w:sz w:val="17"/>
                      <w:szCs w:val="17"/>
                    </w:rPr>
                    <w:t>10</w:t>
                  </w:r>
                  <w:r>
                    <w:rPr>
                      <w:rFonts w:ascii="Arial" w:hAnsi="Arial" w:eastAsia="Arial" w:cs="Arial"/>
                      <w:strike/>
                      <w:color w:val="231F20"/>
                      <w:sz w:val="17"/>
                      <w:szCs w:val="17"/>
                    </w:rPr>
                    <w:t xml:space="preserve"> </w:t>
                  </w:r>
                </w:p>
                <w:p>
                  <w:pPr>
                    <w:spacing w:before="147" w:line="197" w:lineRule="auto"/>
                    <w:ind w:left="106"/>
                    <w:rPr>
                      <w:rFonts w:ascii="Arial" w:hAnsi="Arial" w:eastAsia="Arial" w:cs="Arial"/>
                      <w:sz w:val="17"/>
                      <w:szCs w:val="17"/>
                    </w:rPr>
                  </w:pPr>
                  <w:r>
                    <w:rPr>
                      <w:rFonts w:ascii="Arial" w:hAnsi="Arial" w:eastAsia="Arial" w:cs="Arial"/>
                      <w:color w:val="231F20"/>
                      <w:spacing w:val="-5"/>
                      <w:sz w:val="17"/>
                      <w:szCs w:val="17"/>
                    </w:rPr>
                    <w:t>5</w:t>
                  </w:r>
                  <w:r>
                    <w:rPr>
                      <w:rFonts w:ascii="Arial" w:hAnsi="Arial" w:eastAsia="Arial" w:cs="Arial"/>
                      <w:strike/>
                      <w:color w:val="231F20"/>
                      <w:sz w:val="17"/>
                      <w:szCs w:val="17"/>
                    </w:rPr>
                    <w:t xml:space="preserve"> </w:t>
                  </w:r>
                </w:p>
                <w:p>
                  <w:pPr>
                    <w:spacing w:before="145" w:line="199" w:lineRule="auto"/>
                    <w:ind w:left="106"/>
                    <w:rPr>
                      <w:rFonts w:ascii="Arial" w:hAnsi="Arial" w:eastAsia="Arial" w:cs="Arial"/>
                      <w:sz w:val="17"/>
                      <w:szCs w:val="17"/>
                    </w:rPr>
                  </w:pPr>
                  <w:r>
                    <w:rPr>
                      <w:rFonts w:ascii="Arial" w:hAnsi="Arial" w:eastAsia="Arial" w:cs="Arial"/>
                      <w:color w:val="231F20"/>
                      <w:spacing w:val="-5"/>
                      <w:sz w:val="17"/>
                      <w:szCs w:val="17"/>
                    </w:rPr>
                    <w:t>0</w:t>
                  </w:r>
                  <w:r>
                    <w:rPr>
                      <w:rFonts w:ascii="Arial" w:hAnsi="Arial" w:eastAsia="Arial" w:cs="Arial"/>
                      <w:strike/>
                      <w:color w:val="231F20"/>
                      <w:sz w:val="17"/>
                      <w:szCs w:val="17"/>
                    </w:rPr>
                    <w:t xml:space="preserve"> </w:t>
                  </w:r>
                </w:p>
                <w:p>
                  <w:pPr>
                    <w:spacing w:before="148" w:line="197" w:lineRule="auto"/>
                    <w:ind w:left="45"/>
                    <w:rPr>
                      <w:rFonts w:ascii="Arial" w:hAnsi="Arial" w:eastAsia="Arial" w:cs="Arial"/>
                      <w:sz w:val="17"/>
                      <w:szCs w:val="17"/>
                    </w:rPr>
                  </w:pPr>
                  <w:r>
                    <w:rPr>
                      <w:rFonts w:ascii="Arial" w:hAnsi="Arial" w:eastAsia="Arial" w:cs="Arial"/>
                      <w:color w:val="231F20"/>
                      <w:sz w:val="17"/>
                      <w:szCs w:val="17"/>
                    </w:rPr>
                    <w:t>-5</w:t>
                  </w:r>
                  <w:r>
                    <w:rPr>
                      <w:rFonts w:ascii="Arial" w:hAnsi="Arial" w:eastAsia="Arial" w:cs="Arial"/>
                      <w:strike/>
                      <w:color w:val="231F20"/>
                      <w:sz w:val="17"/>
                      <w:szCs w:val="17"/>
                    </w:rPr>
                    <w:t xml:space="preserve"> </w:t>
                  </w:r>
                </w:p>
              </w:txbxContent>
            </v:textbox>
          </v:shape>
        </w:pict>
      </w:r>
    </w:p>
    <w:p>
      <w:pPr>
        <w:spacing w:line="358" w:lineRule="auto"/>
        <w:rPr>
          <w:rFonts w:ascii="Arial"/>
          <w:sz w:val="21"/>
        </w:rPr>
      </w:pPr>
    </w:p>
    <w:p>
      <w:pPr>
        <w:spacing w:before="68" w:line="239" w:lineRule="auto"/>
        <w:ind w:left="1595"/>
        <w:rPr>
          <w:rFonts w:ascii="SimHei" w:hAnsi="SimHei" w:eastAsia="SimHei" w:cs="SimHei"/>
          <w:sz w:val="21"/>
          <w:szCs w:val="21"/>
        </w:rPr>
      </w:pPr>
      <w:bookmarkStart w:id="36" w:name="_bookmark28"/>
      <w:bookmarkEnd w:id="36"/>
      <w:r>
        <w:rPr>
          <w:rFonts w:ascii="Arial" w:hAnsi="Arial" w:eastAsia="Arial" w:cs="Arial"/>
          <w:color w:val="231F20"/>
          <w:spacing w:val="40"/>
          <w:sz w:val="20"/>
          <w:szCs w:val="20"/>
        </w:rPr>
        <w:t>3</w:t>
      </w:r>
      <w:r>
        <w:rPr>
          <w:rFonts w:ascii="Arial" w:hAnsi="Arial" w:eastAsia="Arial" w:cs="Arial"/>
          <w:color w:val="231F20"/>
          <w:spacing w:val="21"/>
          <w:sz w:val="20"/>
          <w:szCs w:val="20"/>
        </w:rPr>
        <w:t xml:space="preserve">8  </w:t>
      </w:r>
      <w:r>
        <w:rPr>
          <w:position w:val="-5"/>
          <w:sz w:val="20"/>
          <w:szCs w:val="20"/>
        </w:rPr>
        <w:drawing>
          <wp:inline distT="0" distB="0" distL="0" distR="0">
            <wp:extent cx="3175" cy="14732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205" name="IM 205"/>
            <wp:cNvGraphicFramePr/>
            <a:graphic xmlns:a="http://schemas.openxmlformats.org/drawingml/2006/main">
              <a:graphicData uri="http://schemas.openxmlformats.org/drawingml/2006/picture">
                <pic:pic xmlns:pic="http://schemas.openxmlformats.org/drawingml/2006/picture">
                  <pic:nvPicPr>
                    <pic:cNvPr id="205" name="IM 205"/>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产业篇</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48" w:line="241" w:lineRule="exact"/>
        <w:ind w:left="2514"/>
        <w:rPr>
          <w:rFonts w:ascii="Arial" w:hAnsi="Arial" w:eastAsia="Arial" w:cs="Arial"/>
          <w:sz w:val="17"/>
          <w:szCs w:val="17"/>
        </w:rPr>
      </w:pPr>
      <w:r>
        <w:rPr>
          <w:rFonts w:ascii="Arial" w:hAnsi="Arial" w:eastAsia="Arial" w:cs="Arial"/>
          <w:color w:val="231F20"/>
          <w:position w:val="1"/>
          <w:sz w:val="17"/>
          <w:szCs w:val="17"/>
        </w:rPr>
        <w:t>%</w:t>
      </w:r>
    </w:p>
    <w:p>
      <w:pPr>
        <w:spacing w:before="115" w:line="200" w:lineRule="auto"/>
        <w:ind w:left="2489"/>
        <w:rPr>
          <w:rFonts w:ascii="Arial" w:hAnsi="Arial" w:eastAsia="Arial" w:cs="Arial"/>
          <w:sz w:val="17"/>
          <w:szCs w:val="17"/>
        </w:rPr>
      </w:pPr>
      <w:r>
        <w:rPr>
          <w:rFonts w:ascii="Arial" w:hAnsi="Arial" w:eastAsia="Arial" w:cs="Arial"/>
          <w:color w:val="231F20"/>
          <w:sz w:val="17"/>
          <w:szCs w:val="17"/>
        </w:rPr>
        <w:t>30</w:t>
      </w:r>
      <w:r>
        <w:rPr>
          <w:rFonts w:ascii="Arial" w:hAnsi="Arial" w:eastAsia="Arial" w:cs="Arial"/>
          <w:strike/>
          <w:color w:val="231F20"/>
          <w:sz w:val="17"/>
          <w:szCs w:val="17"/>
        </w:rPr>
        <w:t xml:space="preserve"> </w:t>
      </w:r>
    </w:p>
    <w:p>
      <w:pPr>
        <w:spacing w:before="145" w:line="199" w:lineRule="auto"/>
        <w:ind w:left="2487"/>
        <w:rPr>
          <w:rFonts w:ascii="Arial" w:hAnsi="Arial" w:eastAsia="Arial" w:cs="Arial"/>
          <w:sz w:val="17"/>
          <w:szCs w:val="17"/>
        </w:rPr>
      </w:pPr>
      <w:r>
        <w:rPr>
          <w:rFonts w:ascii="Arial" w:hAnsi="Arial" w:eastAsia="Arial" w:cs="Arial"/>
          <w:color w:val="231F20"/>
          <w:spacing w:val="1"/>
          <w:sz w:val="17"/>
          <w:szCs w:val="17"/>
        </w:rPr>
        <w:t>25</w:t>
      </w:r>
      <w:r>
        <w:rPr>
          <w:rFonts w:ascii="Arial" w:hAnsi="Arial" w:eastAsia="Arial" w:cs="Arial"/>
          <w:strike/>
          <w:color w:val="231F20"/>
          <w:sz w:val="17"/>
          <w:szCs w:val="17"/>
        </w:rPr>
        <w:t xml:space="preserve"> </w:t>
      </w:r>
    </w:p>
    <w:p>
      <w:pPr>
        <w:spacing w:before="146" w:line="199" w:lineRule="auto"/>
        <w:ind w:left="2487"/>
        <w:rPr>
          <w:rFonts w:ascii="Arial" w:hAnsi="Arial" w:eastAsia="Arial" w:cs="Arial"/>
          <w:sz w:val="17"/>
          <w:szCs w:val="17"/>
        </w:rPr>
      </w:pPr>
      <w:r>
        <w:rPr>
          <w:rFonts w:ascii="Arial" w:hAnsi="Arial" w:eastAsia="Arial" w:cs="Arial"/>
          <w:color w:val="231F20"/>
          <w:spacing w:val="1"/>
          <w:sz w:val="17"/>
          <w:szCs w:val="17"/>
        </w:rPr>
        <w:t>20</w:t>
      </w:r>
      <w:r>
        <w:rPr>
          <w:rFonts w:ascii="Arial" w:hAnsi="Arial" w:eastAsia="Arial" w:cs="Arial"/>
          <w:strike/>
          <w:color w:val="231F20"/>
          <w:sz w:val="17"/>
          <w:szCs w:val="17"/>
        </w:rPr>
        <w:t xml:space="preserve"> </w:t>
      </w:r>
    </w:p>
    <w:p>
      <w:pPr>
        <w:spacing w:line="160" w:lineRule="exact"/>
      </w:pPr>
    </w:p>
    <w:tbl>
      <w:tblPr>
        <w:tblStyle w:val="4"/>
        <w:tblW w:w="7116" w:type="dxa"/>
        <w:tblInd w:w="2770" w:type="dxa"/>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Layout w:type="fixed"/>
        <w:tblCellMar>
          <w:top w:w="0" w:type="dxa"/>
          <w:left w:w="0" w:type="dxa"/>
          <w:bottom w:w="0" w:type="dxa"/>
          <w:right w:w="0" w:type="dxa"/>
        </w:tblCellMar>
      </w:tblPr>
      <w:tblGrid>
        <w:gridCol w:w="846"/>
        <w:gridCol w:w="1780"/>
        <w:gridCol w:w="1158"/>
        <w:gridCol w:w="3332"/>
      </w:tblGrid>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54" w:hRule="atLeast"/>
        </w:trPr>
        <w:tc>
          <w:tcPr>
            <w:tcW w:w="3784" w:type="dxa"/>
            <w:gridSpan w:val="3"/>
            <w:tcBorders>
              <w:left w:val="nil"/>
              <w:right w:val="nil"/>
            </w:tcBorders>
            <w:vAlign w:val="top"/>
          </w:tcPr>
          <w:p>
            <w:pPr>
              <w:spacing w:before="165" w:line="189" w:lineRule="exact"/>
              <w:ind w:left="2254"/>
              <w:rPr>
                <w:rFonts w:ascii="微软雅黑" w:hAnsi="微软雅黑" w:eastAsia="微软雅黑" w:cs="微软雅黑"/>
                <w:sz w:val="17"/>
                <w:szCs w:val="17"/>
              </w:rPr>
            </w:pPr>
            <w:r>
              <w:rPr>
                <w:rFonts w:ascii="微软雅黑" w:hAnsi="微软雅黑" w:eastAsia="微软雅黑" w:cs="微软雅黑"/>
                <w:color w:val="231F20"/>
                <w:spacing w:val="1"/>
                <w:position w:val="-1"/>
                <w:sz w:val="17"/>
                <w:szCs w:val="17"/>
              </w:rPr>
              <w:t>23.3</w:t>
            </w:r>
          </w:p>
        </w:tc>
        <w:tc>
          <w:tcPr>
            <w:tcW w:w="3332" w:type="dxa"/>
            <w:tcBorders>
              <w:left w:val="nil"/>
              <w:right w:val="nil"/>
            </w:tcBorders>
            <w:vAlign w:val="top"/>
          </w:tcPr>
          <w:p>
            <w:pPr>
              <w:spacing w:line="178" w:lineRule="auto"/>
              <w:ind w:left="596"/>
              <w:rPr>
                <w:rFonts w:ascii="微软雅黑" w:hAnsi="微软雅黑" w:eastAsia="微软雅黑" w:cs="微软雅黑"/>
                <w:sz w:val="16"/>
                <w:szCs w:val="16"/>
              </w:rPr>
            </w:pPr>
            <w:r>
              <w:rPr>
                <w:rFonts w:ascii="微软雅黑" w:hAnsi="微软雅黑" w:eastAsia="微软雅黑" w:cs="微软雅黑"/>
                <w:color w:val="231F20"/>
                <w:spacing w:val="6"/>
                <w:sz w:val="16"/>
                <w:szCs w:val="16"/>
              </w:rPr>
              <w:t>27.7</w:t>
            </w: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00" w:hRule="atLeast"/>
        </w:trPr>
        <w:tc>
          <w:tcPr>
            <w:tcW w:w="846" w:type="dxa"/>
            <w:tcBorders>
              <w:left w:val="nil"/>
              <w:right w:val="nil"/>
            </w:tcBorders>
            <w:vAlign w:val="top"/>
          </w:tcPr>
          <w:p>
            <w:pPr>
              <w:spacing w:before="32" w:line="176" w:lineRule="auto"/>
              <w:ind w:left="482"/>
              <w:rPr>
                <w:rFonts w:ascii="微软雅黑" w:hAnsi="微软雅黑" w:eastAsia="微软雅黑" w:cs="微软雅黑"/>
                <w:sz w:val="17"/>
                <w:szCs w:val="17"/>
              </w:rPr>
            </w:pPr>
            <w:r>
              <w:rPr>
                <w:rFonts w:ascii="微软雅黑" w:hAnsi="微软雅黑" w:eastAsia="微软雅黑" w:cs="微软雅黑"/>
                <w:color w:val="231F20"/>
                <w:spacing w:val="-1"/>
                <w:sz w:val="17"/>
                <w:szCs w:val="17"/>
              </w:rPr>
              <w:t>16.</w:t>
            </w:r>
            <w:r>
              <w:rPr>
                <w:rFonts w:ascii="微软雅黑" w:hAnsi="微软雅黑" w:eastAsia="微软雅黑" w:cs="微软雅黑"/>
                <w:color w:val="231F20"/>
                <w:sz w:val="17"/>
                <w:szCs w:val="17"/>
              </w:rPr>
              <w:t>8</w:t>
            </w:r>
          </w:p>
        </w:tc>
        <w:tc>
          <w:tcPr>
            <w:tcW w:w="1780" w:type="dxa"/>
            <w:tcBorders>
              <w:left w:val="nil"/>
              <w:right w:val="nil"/>
            </w:tcBorders>
            <w:vAlign w:val="top"/>
          </w:tcPr>
          <w:p>
            <w:pPr>
              <w:spacing w:before="168" w:line="131" w:lineRule="exact"/>
              <w:ind w:left="27"/>
              <w:rPr>
                <w:rFonts w:ascii="微软雅黑" w:hAnsi="微软雅黑" w:eastAsia="微软雅黑" w:cs="微软雅黑"/>
                <w:sz w:val="16"/>
                <w:szCs w:val="16"/>
              </w:rPr>
            </w:pPr>
            <w:r>
              <w:rPr>
                <w:rFonts w:ascii="微软雅黑" w:hAnsi="微软雅黑" w:eastAsia="微软雅黑" w:cs="微软雅黑"/>
                <w:color w:val="231F20"/>
                <w:spacing w:val="4"/>
                <w:position w:val="-2"/>
                <w:sz w:val="16"/>
                <w:szCs w:val="16"/>
              </w:rPr>
              <w:t>12.5</w:t>
            </w:r>
          </w:p>
        </w:tc>
        <w:tc>
          <w:tcPr>
            <w:tcW w:w="1158" w:type="dxa"/>
            <w:tcBorders>
              <w:left w:val="nil"/>
              <w:right w:val="nil"/>
            </w:tcBorders>
            <w:vAlign w:val="top"/>
          </w:tcPr>
          <w:p>
            <w:pPr>
              <w:spacing w:before="111" w:line="188" w:lineRule="exact"/>
              <w:ind w:left="27"/>
              <w:rPr>
                <w:rFonts w:ascii="微软雅黑" w:hAnsi="微软雅黑" w:eastAsia="微软雅黑" w:cs="微软雅黑"/>
                <w:sz w:val="17"/>
                <w:szCs w:val="17"/>
              </w:rPr>
            </w:pPr>
            <w:r>
              <w:rPr>
                <w:rFonts w:ascii="微软雅黑" w:hAnsi="微软雅黑" w:eastAsia="微软雅黑" w:cs="微软雅黑"/>
                <w:color w:val="231F20"/>
                <w:spacing w:val="-1"/>
                <w:position w:val="-1"/>
                <w:sz w:val="17"/>
                <w:szCs w:val="17"/>
              </w:rPr>
              <w:t>12.</w:t>
            </w:r>
            <w:r>
              <w:rPr>
                <w:rFonts w:ascii="微软雅黑" w:hAnsi="微软雅黑" w:eastAsia="微软雅黑" w:cs="微软雅黑"/>
                <w:color w:val="231F20"/>
                <w:position w:val="-1"/>
                <w:sz w:val="17"/>
                <w:szCs w:val="17"/>
              </w:rPr>
              <w:t>9</w:t>
            </w:r>
          </w:p>
        </w:tc>
        <w:tc>
          <w:tcPr>
            <w:tcW w:w="3332" w:type="dxa"/>
            <w:tcBorders>
              <w:left w:val="nil"/>
              <w:right w:val="nil"/>
            </w:tcBorders>
            <w:vAlign w:val="top"/>
          </w:tcPr>
          <w:p>
            <w:pPr>
              <w:rPr>
                <w:rFonts w:ascii="Arial"/>
                <w:sz w:val="21"/>
              </w:rPr>
            </w:pP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00" w:hRule="atLeast"/>
        </w:trPr>
        <w:tc>
          <w:tcPr>
            <w:tcW w:w="3784" w:type="dxa"/>
            <w:gridSpan w:val="3"/>
            <w:tcBorders>
              <w:left w:val="nil"/>
              <w:right w:val="nil"/>
            </w:tcBorders>
            <w:vAlign w:val="top"/>
          </w:tcPr>
          <w:p>
            <w:pPr>
              <w:rPr>
                <w:rFonts w:ascii="Arial"/>
                <w:sz w:val="21"/>
              </w:rPr>
            </w:pPr>
          </w:p>
        </w:tc>
        <w:tc>
          <w:tcPr>
            <w:tcW w:w="3332" w:type="dxa"/>
            <w:tcBorders>
              <w:left w:val="nil"/>
              <w:right w:val="nil"/>
            </w:tcBorders>
            <w:vAlign w:val="top"/>
          </w:tcPr>
          <w:p>
            <w:pPr>
              <w:spacing w:before="81" w:line="218" w:lineRule="exact"/>
              <w:ind w:left="1980"/>
              <w:rPr>
                <w:rFonts w:ascii="微软雅黑" w:hAnsi="微软雅黑" w:eastAsia="微软雅黑" w:cs="微软雅黑"/>
                <w:sz w:val="17"/>
                <w:szCs w:val="17"/>
              </w:rPr>
            </w:pPr>
            <w:r>
              <w:rPr>
                <w:rFonts w:ascii="微软雅黑" w:hAnsi="微软雅黑" w:eastAsia="微软雅黑" w:cs="微软雅黑"/>
                <w:color w:val="231F20"/>
                <w:spacing w:val="2"/>
                <w:position w:val="-2"/>
                <w:sz w:val="17"/>
                <w:szCs w:val="17"/>
              </w:rPr>
              <w:t xml:space="preserve">3.4   </w:t>
            </w:r>
            <w:r>
              <w:rPr>
                <w:rFonts w:ascii="微软雅黑" w:hAnsi="微软雅黑" w:eastAsia="微软雅黑" w:cs="微软雅黑"/>
                <w:color w:val="231F20"/>
                <w:spacing w:val="2"/>
                <w:position w:val="2"/>
                <w:sz w:val="17"/>
                <w:szCs w:val="17"/>
              </w:rPr>
              <w:t>4.</w:t>
            </w:r>
            <w:r>
              <w:rPr>
                <w:rFonts w:ascii="微软雅黑" w:hAnsi="微软雅黑" w:eastAsia="微软雅黑" w:cs="微软雅黑"/>
                <w:color w:val="231F20"/>
                <w:spacing w:val="1"/>
                <w:position w:val="2"/>
                <w:sz w:val="17"/>
                <w:szCs w:val="17"/>
              </w:rPr>
              <w:t>5</w:t>
            </w: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32" w:hRule="atLeast"/>
        </w:trPr>
        <w:tc>
          <w:tcPr>
            <w:tcW w:w="7116" w:type="dxa"/>
            <w:gridSpan w:val="4"/>
            <w:tcBorders>
              <w:left w:val="nil"/>
              <w:right w:val="nil"/>
            </w:tcBorders>
            <w:vAlign w:val="top"/>
          </w:tcPr>
          <w:p>
            <w:pPr>
              <w:spacing w:before="199" w:line="132" w:lineRule="exact"/>
              <w:ind w:left="4000"/>
              <w:rPr>
                <w:rFonts w:ascii="微软雅黑" w:hAnsi="微软雅黑" w:eastAsia="微软雅黑" w:cs="微软雅黑"/>
                <w:sz w:val="16"/>
                <w:szCs w:val="16"/>
              </w:rPr>
            </w:pPr>
            <w:r>
              <w:rPr>
                <w:rFonts w:ascii="微软雅黑" w:hAnsi="微软雅黑" w:eastAsia="微软雅黑" w:cs="微软雅黑"/>
                <w:color w:val="231F20"/>
                <w:spacing w:val="4"/>
                <w:position w:val="-2"/>
                <w:sz w:val="16"/>
                <w:szCs w:val="16"/>
              </w:rPr>
              <w:t xml:space="preserve">-8 </w:t>
            </w:r>
            <w:r>
              <w:rPr>
                <w:rFonts w:ascii="微软雅黑" w:hAnsi="微软雅黑" w:eastAsia="微软雅黑" w:cs="微软雅黑"/>
                <w:color w:val="231F20"/>
                <w:spacing w:val="3"/>
                <w:position w:val="-2"/>
                <w:sz w:val="16"/>
                <w:szCs w:val="16"/>
              </w:rPr>
              <w:t>5</w:t>
            </w:r>
          </w:p>
        </w:tc>
      </w:tr>
    </w:tbl>
    <w:p>
      <w:pPr>
        <w:spacing w:before="215" w:line="199" w:lineRule="auto"/>
        <w:ind w:left="2428"/>
        <w:rPr>
          <w:rFonts w:ascii="Arial" w:hAnsi="Arial" w:eastAsia="Arial" w:cs="Arial"/>
          <w:sz w:val="17"/>
          <w:szCs w:val="17"/>
        </w:rPr>
      </w:pPr>
      <w:r>
        <w:rPr>
          <w:rFonts w:ascii="Arial" w:hAnsi="Arial" w:eastAsia="Arial" w:cs="Arial"/>
          <w:color w:val="231F20"/>
          <w:spacing w:val="-13"/>
          <w:sz w:val="17"/>
          <w:szCs w:val="17"/>
        </w:rPr>
        <w:t>-</w:t>
      </w:r>
      <w:r>
        <w:rPr>
          <w:rFonts w:ascii="Arial" w:hAnsi="Arial" w:eastAsia="Arial" w:cs="Arial"/>
          <w:color w:val="231F20"/>
          <w:spacing w:val="-10"/>
          <w:sz w:val="17"/>
          <w:szCs w:val="17"/>
        </w:rPr>
        <w:t xml:space="preserve"> 10</w:t>
      </w:r>
      <w:r>
        <w:rPr>
          <w:rFonts w:ascii="Arial" w:hAnsi="Arial" w:eastAsia="Arial" w:cs="Arial"/>
          <w:strike/>
          <w:color w:val="231F20"/>
          <w:sz w:val="17"/>
          <w:szCs w:val="17"/>
        </w:rPr>
        <w:t xml:space="preserve"> </w:t>
      </w:r>
    </w:p>
    <w:p>
      <w:pPr>
        <w:spacing w:before="146" w:line="199" w:lineRule="auto"/>
        <w:ind w:left="2501"/>
        <w:rPr>
          <w:rFonts w:ascii="Arial" w:hAnsi="Arial" w:eastAsia="Arial" w:cs="Arial"/>
          <w:sz w:val="17"/>
          <w:szCs w:val="17"/>
        </w:rPr>
      </w:pPr>
      <w:r>
        <w:rPr>
          <w:rFonts w:ascii="Arial" w:hAnsi="Arial" w:eastAsia="Arial" w:cs="Arial"/>
          <w:color w:val="231F20"/>
          <w:spacing w:val="-3"/>
          <w:sz w:val="17"/>
          <w:szCs w:val="17"/>
        </w:rPr>
        <w:t>15</w:t>
      </w:r>
    </w:p>
    <w:p>
      <w:pPr>
        <w:spacing w:before="41" w:line="226" w:lineRule="auto"/>
        <w:ind w:left="3283"/>
        <w:rPr>
          <w:rFonts w:ascii="宋体" w:hAnsi="宋体" w:eastAsia="宋体" w:cs="宋体"/>
          <w:sz w:val="17"/>
          <w:szCs w:val="17"/>
        </w:rPr>
      </w:pPr>
      <w:r>
        <w:rPr>
          <w:rFonts w:ascii="宋体" w:hAnsi="宋体" w:eastAsia="宋体" w:cs="宋体"/>
          <w:color w:val="231F20"/>
          <w:spacing w:val="6"/>
          <w:sz w:val="17"/>
          <w:szCs w:val="17"/>
        </w:rPr>
        <w:t>全部</w:t>
      </w:r>
      <w:r>
        <w:rPr>
          <w:rFonts w:ascii="宋体" w:hAnsi="宋体" w:eastAsia="宋体" w:cs="宋体"/>
          <w:color w:val="231F20"/>
          <w:spacing w:val="4"/>
          <w:sz w:val="17"/>
          <w:szCs w:val="17"/>
        </w:rPr>
        <w:t>投</w:t>
      </w:r>
      <w:r>
        <w:rPr>
          <w:rFonts w:ascii="宋体" w:hAnsi="宋体" w:eastAsia="宋体" w:cs="宋体"/>
          <w:color w:val="231F20"/>
          <w:spacing w:val="3"/>
          <w:sz w:val="17"/>
          <w:szCs w:val="17"/>
        </w:rPr>
        <w:t>资                内资            港澳台投资          外商投资</w:t>
      </w:r>
    </w:p>
    <w:p>
      <w:pPr>
        <w:spacing w:before="217" w:line="188" w:lineRule="auto"/>
        <w:ind w:left="5703"/>
        <w:rPr>
          <w:rFonts w:ascii="宋体" w:hAnsi="宋体" w:eastAsia="宋体" w:cs="宋体"/>
          <w:sz w:val="17"/>
          <w:szCs w:val="17"/>
        </w:rPr>
      </w:pPr>
      <w:r>
        <w:rPr>
          <w:rFonts w:ascii="宋体" w:hAnsi="宋体" w:eastAsia="宋体" w:cs="宋体"/>
          <w:color w:val="231F20"/>
          <w:spacing w:val="4"/>
          <w:sz w:val="17"/>
          <w:szCs w:val="17"/>
        </w:rPr>
        <w:t>2</w:t>
      </w:r>
      <w:r>
        <w:rPr>
          <w:rFonts w:ascii="宋体" w:hAnsi="宋体" w:eastAsia="宋体" w:cs="宋体"/>
          <w:color w:val="231F20"/>
          <w:spacing w:val="3"/>
          <w:sz w:val="17"/>
          <w:szCs w:val="17"/>
        </w:rPr>
        <w:t>019     2020</w:t>
      </w:r>
    </w:p>
    <w:p>
      <w:pPr>
        <w:spacing w:before="255" w:line="382" w:lineRule="exact"/>
        <w:ind w:left="3468"/>
        <w:rPr>
          <w:rFonts w:ascii="SimHei" w:hAnsi="SimHei" w:eastAsia="SimHei" w:cs="SimHei"/>
          <w:sz w:val="20"/>
          <w:szCs w:val="20"/>
        </w:rPr>
      </w:pPr>
      <w:r>
        <w:rPr>
          <w:rFonts w:ascii="SimHei" w:hAnsi="SimHei" w:eastAsia="SimHei" w:cs="SimHei"/>
          <w:color w:val="231F20"/>
          <w:spacing w:val="4"/>
          <w:position w:val="13"/>
          <w:sz w:val="20"/>
          <w:szCs w:val="20"/>
        </w:rPr>
        <w:t xml:space="preserve">图 </w:t>
      </w:r>
      <w:r>
        <w:rPr>
          <w:rFonts w:ascii="Times New Roman" w:hAnsi="Times New Roman" w:eastAsia="Times New Roman" w:cs="Times New Roman"/>
          <w:color w:val="231F20"/>
          <w:spacing w:val="4"/>
          <w:position w:val="13"/>
          <w:sz w:val="20"/>
          <w:szCs w:val="20"/>
        </w:rPr>
        <w:t xml:space="preserve">2-4 </w:t>
      </w:r>
      <w:r>
        <w:rPr>
          <w:rFonts w:ascii="SimHei" w:hAnsi="SimHei" w:eastAsia="SimHei" w:cs="SimHei"/>
          <w:color w:val="231F20"/>
          <w:spacing w:val="4"/>
          <w:position w:val="13"/>
          <w:sz w:val="20"/>
          <w:szCs w:val="20"/>
        </w:rPr>
        <w:t>电子信息产业按登记注册类型分固定资产投资增长</w:t>
      </w:r>
      <w:r>
        <w:rPr>
          <w:rFonts w:ascii="SimHei" w:hAnsi="SimHei" w:eastAsia="SimHei" w:cs="SimHei"/>
          <w:color w:val="231F20"/>
          <w:position w:val="13"/>
          <w:sz w:val="20"/>
          <w:szCs w:val="20"/>
        </w:rPr>
        <w:t>率</w:t>
      </w:r>
    </w:p>
    <w:p>
      <w:pPr>
        <w:spacing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pacing w:line="276" w:lineRule="auto"/>
        <w:rPr>
          <w:rFonts w:ascii="Arial"/>
          <w:sz w:val="21"/>
        </w:rPr>
      </w:pPr>
    </w:p>
    <w:p>
      <w:pPr>
        <w:spacing w:line="277" w:lineRule="auto"/>
        <w:rPr>
          <w:rFonts w:ascii="Arial"/>
          <w:sz w:val="21"/>
        </w:rPr>
      </w:pPr>
    </w:p>
    <w:p>
      <w:pPr>
        <w:spacing w:before="73" w:line="216"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部分外资企业调</w:t>
      </w:r>
      <w:r>
        <w:rPr>
          <w:rFonts w:ascii="KaiTi" w:hAnsi="KaiTi" w:eastAsia="KaiTi" w:cs="KaiTi"/>
          <w:color w:val="015DAC"/>
          <w:sz w:val="22"/>
          <w:szCs w:val="22"/>
        </w:rPr>
        <w:t>整在华投资业务布局</w:t>
      </w:r>
    </w:p>
    <w:p>
      <w:pPr>
        <w:spacing w:line="267" w:lineRule="auto"/>
        <w:rPr>
          <w:rFonts w:ascii="Arial"/>
          <w:sz w:val="21"/>
        </w:rPr>
      </w:pPr>
    </w:p>
    <w:p>
      <w:pPr>
        <w:spacing w:before="94" w:line="261" w:lineRule="auto"/>
        <w:ind w:left="1987" w:right="1984" w:firstLine="466"/>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近年来 ，受国际国内各类因素影响 ，包括外资企业在</w:t>
      </w:r>
      <w:r>
        <w:rPr>
          <w:rFonts w:ascii="微软雅黑" w:hAnsi="微软雅黑" w:eastAsia="微软雅黑" w:cs="微软雅黑"/>
          <w:color w:val="231F20"/>
          <w:sz w:val="22"/>
          <w:szCs w:val="22"/>
        </w:rPr>
        <w:t xml:space="preserve">内的部分企业在全球范围内 </w:t>
      </w:r>
      <w:r>
        <w:rPr>
          <w:rFonts w:ascii="微软雅黑" w:hAnsi="微软雅黑" w:eastAsia="微软雅黑" w:cs="微软雅黑"/>
          <w:color w:val="231F20"/>
          <w:spacing w:val="-2"/>
          <w:sz w:val="22"/>
          <w:szCs w:val="22"/>
        </w:rPr>
        <w:t>调整生产布局 ，优化在华投资方向。例如 ，在</w:t>
      </w:r>
      <w:r>
        <w:rPr>
          <w:rFonts w:ascii="微软雅黑" w:hAnsi="微软雅黑" w:eastAsia="微软雅黑" w:cs="微软雅黑"/>
          <w:color w:val="231F20"/>
          <w:spacing w:val="-1"/>
          <w:sz w:val="22"/>
          <w:szCs w:val="22"/>
        </w:rPr>
        <w:t>半导体领域 ，一批外资半导体企业积极</w:t>
      </w:r>
      <w:r>
        <w:rPr>
          <w:rFonts w:ascii="微软雅黑" w:hAnsi="微软雅黑" w:eastAsia="微软雅黑" w:cs="微软雅黑"/>
          <w:color w:val="231F20"/>
          <w:sz w:val="22"/>
          <w:szCs w:val="22"/>
        </w:rPr>
        <w:t xml:space="preserve"> 与内资企业合作 ，通过设立由中国大陆资本主导的合资企业 ，推进本地化发展。部分 </w:t>
      </w:r>
      <w:r>
        <w:rPr>
          <w:rFonts w:ascii="微软雅黑" w:hAnsi="微软雅黑" w:eastAsia="微软雅黑" w:cs="微软雅黑"/>
          <w:color w:val="231F20"/>
          <w:spacing w:val="2"/>
          <w:sz w:val="22"/>
          <w:szCs w:val="22"/>
        </w:rPr>
        <w:t>外资电子信息企业顺应中国产业升级趋势 ，在将不具有优势的产</w:t>
      </w:r>
      <w:r>
        <w:rPr>
          <w:rFonts w:ascii="微软雅黑" w:hAnsi="微软雅黑" w:eastAsia="微软雅黑" w:cs="微软雅黑"/>
          <w:color w:val="231F20"/>
          <w:spacing w:val="1"/>
          <w:sz w:val="22"/>
          <w:szCs w:val="22"/>
        </w:rPr>
        <w:t>能向越南等东南亚国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家转移的同时 ，转而投向了中国电</w:t>
      </w:r>
      <w:r>
        <w:rPr>
          <w:rFonts w:ascii="微软雅黑" w:hAnsi="微软雅黑" w:eastAsia="微软雅黑" w:cs="微软雅黑"/>
          <w:color w:val="231F20"/>
          <w:spacing w:val="-1"/>
          <w:sz w:val="22"/>
          <w:szCs w:val="22"/>
        </w:rPr>
        <w:t>子信息产业链高端环节。</w:t>
      </w:r>
    </w:p>
    <w:p>
      <w:pPr>
        <w:spacing w:line="257" w:lineRule="auto"/>
        <w:rPr>
          <w:rFonts w:ascii="Arial"/>
          <w:sz w:val="21"/>
        </w:rPr>
      </w:pPr>
    </w:p>
    <w:p>
      <w:pPr>
        <w:spacing w:before="92" w:line="235" w:lineRule="auto"/>
        <w:ind w:left="2567"/>
        <w:rPr>
          <w:rFonts w:ascii="SimHei" w:hAnsi="SimHei" w:eastAsia="SimHei" w:cs="SimHei"/>
          <w:sz w:val="28"/>
          <w:szCs w:val="28"/>
        </w:rPr>
      </w:pPr>
      <w:r>
        <w:rPr>
          <w:rFonts w:ascii="SimHei" w:hAnsi="SimHei" w:eastAsia="SimHei" w:cs="SimHei"/>
          <w:color w:val="015DAC"/>
          <w:spacing w:val="-2"/>
          <w:sz w:val="28"/>
          <w:szCs w:val="28"/>
        </w:rPr>
        <w:t>三、</w:t>
      </w:r>
      <w:r>
        <w:rPr>
          <w:rFonts w:ascii="SimHei" w:hAnsi="SimHei" w:eastAsia="SimHei" w:cs="SimHei"/>
          <w:color w:val="015DAC"/>
          <w:spacing w:val="-1"/>
          <w:sz w:val="28"/>
          <w:szCs w:val="28"/>
        </w:rPr>
        <w:t>汽车制造业</w:t>
      </w:r>
    </w:p>
    <w:p>
      <w:pPr>
        <w:spacing w:line="337" w:lineRule="auto"/>
        <w:rPr>
          <w:rFonts w:ascii="Arial"/>
          <w:sz w:val="21"/>
        </w:rPr>
      </w:pPr>
    </w:p>
    <w:p>
      <w:pPr>
        <w:spacing w:before="95" w:line="260" w:lineRule="auto"/>
        <w:ind w:left="1987" w:right="1984" w:firstLine="461"/>
        <w:rPr>
          <w:rFonts w:ascii="微软雅黑" w:hAnsi="微软雅黑" w:eastAsia="微软雅黑" w:cs="微软雅黑"/>
          <w:sz w:val="22"/>
          <w:szCs w:val="22"/>
        </w:rPr>
      </w:pPr>
      <w:r>
        <w:rPr>
          <w:rFonts w:ascii="微软雅黑" w:hAnsi="微软雅黑" w:eastAsia="微软雅黑" w:cs="微软雅黑"/>
          <w:color w:val="231F20"/>
          <w:spacing w:val="10"/>
          <w:sz w:val="22"/>
          <w:szCs w:val="22"/>
        </w:rPr>
        <w:t>汽车制造</w:t>
      </w:r>
      <w:r>
        <w:rPr>
          <w:rFonts w:ascii="微软雅黑" w:hAnsi="微软雅黑" w:eastAsia="微软雅黑" w:cs="微软雅黑"/>
          <w:color w:val="231F20"/>
          <w:spacing w:val="6"/>
          <w:sz w:val="22"/>
          <w:szCs w:val="22"/>
        </w:rPr>
        <w:t>业</w:t>
      </w:r>
      <w:r>
        <w:rPr>
          <w:rFonts w:ascii="微软雅黑" w:hAnsi="微软雅黑" w:eastAsia="微软雅黑" w:cs="微软雅黑"/>
          <w:color w:val="231F20"/>
          <w:spacing w:val="5"/>
          <w:sz w:val="22"/>
          <w:szCs w:val="22"/>
        </w:rPr>
        <w:t>是中国国民经济的重要支柱产业之一。改革开放以来，  中国开放汽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车市场，  </w:t>
      </w:r>
      <w:r>
        <w:rPr>
          <w:rFonts w:ascii="微软雅黑" w:hAnsi="微软雅黑" w:eastAsia="微软雅黑" w:cs="微软雅黑"/>
          <w:color w:val="231F20"/>
          <w:spacing w:val="2"/>
          <w:sz w:val="22"/>
          <w:szCs w:val="22"/>
        </w:rPr>
        <w:t>吸引大型跨国企业以合资方式在中国投资设厂，  并推动外资企业深度参与</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从技术到工艺 、从设备到关键零部件等中国汽车制造全产业链环节 ，使外资企业</w:t>
      </w:r>
      <w:r>
        <w:rPr>
          <w:rFonts w:ascii="微软雅黑" w:hAnsi="微软雅黑" w:eastAsia="微软雅黑" w:cs="微软雅黑"/>
          <w:color w:val="231F20"/>
          <w:spacing w:val="1"/>
          <w:sz w:val="22"/>
          <w:szCs w:val="22"/>
        </w:rPr>
        <w:t>成</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为中国汽车制造业产业链中重要组成部分。近年来，  随着中国消费市场不断扩大</w:t>
      </w:r>
      <w:r>
        <w:rPr>
          <w:rFonts w:ascii="微软雅黑" w:hAnsi="微软雅黑" w:eastAsia="微软雅黑" w:cs="微软雅黑"/>
          <w:color w:val="231F20"/>
          <w:spacing w:val="1"/>
          <w:sz w:val="22"/>
          <w:szCs w:val="22"/>
        </w:rPr>
        <w:t>和</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放宽对外资企业投资汽车领域股比限制，  中国市场对外资汽车企业投资的吸引力</w:t>
      </w:r>
      <w:r>
        <w:rPr>
          <w:rFonts w:ascii="微软雅黑" w:hAnsi="微软雅黑" w:eastAsia="微软雅黑" w:cs="微软雅黑"/>
          <w:color w:val="231F20"/>
          <w:sz w:val="22"/>
          <w:szCs w:val="22"/>
        </w:rPr>
        <w:t xml:space="preserve">不 </w:t>
      </w:r>
      <w:r>
        <w:rPr>
          <w:rFonts w:ascii="微软雅黑" w:hAnsi="微软雅黑" w:eastAsia="微软雅黑" w:cs="微软雅黑"/>
          <w:color w:val="231F20"/>
          <w:spacing w:val="1"/>
          <w:sz w:val="22"/>
          <w:szCs w:val="22"/>
        </w:rPr>
        <w:t>断增强。</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89273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bookmarkStart w:id="37" w:name="_bookmark106"/>
      <w:bookmarkEnd w:id="37"/>
      <w:bookmarkStart w:id="38" w:name="_bookmark105"/>
      <w:bookmarkEnd w:id="38"/>
      <w:r>
        <w:rPr>
          <w:rFonts w:ascii="SimHei" w:hAnsi="SimHei" w:eastAsia="SimHei" w:cs="SimHei"/>
          <w:color w:val="1A67B3"/>
          <w:spacing w:val="39"/>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207" name="IM 207"/>
            <wp:cNvGraphicFramePr/>
            <a:graphic xmlns:a="http://schemas.openxmlformats.org/drawingml/2006/main">
              <a:graphicData uri="http://schemas.openxmlformats.org/drawingml/2006/picture">
                <pic:pic xmlns:pic="http://schemas.openxmlformats.org/drawingml/2006/picture">
                  <pic:nvPicPr>
                    <pic:cNvPr id="207" name="IM 207"/>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39</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8"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0"/>
          <w:sz w:val="24"/>
          <w:szCs w:val="24"/>
        </w:rPr>
        <w:t>一) 行业政策变化</w:t>
      </w:r>
    </w:p>
    <w:p>
      <w:pPr>
        <w:spacing w:line="266" w:lineRule="auto"/>
        <w:rPr>
          <w:rFonts w:ascii="Arial"/>
          <w:sz w:val="21"/>
        </w:rPr>
      </w:pPr>
    </w:p>
    <w:p>
      <w:pPr>
        <w:spacing w:before="71" w:line="216" w:lineRule="auto"/>
        <w:ind w:left="2463"/>
        <w:rPr>
          <w:rFonts w:ascii="KaiTi" w:hAnsi="KaiTi" w:eastAsia="KaiTi" w:cs="KaiTi"/>
          <w:sz w:val="22"/>
          <w:szCs w:val="22"/>
        </w:rPr>
      </w:pPr>
      <w:r>
        <w:rPr>
          <w:rFonts w:ascii="Times New Roman" w:hAnsi="Times New Roman" w:eastAsia="Times New Roman" w:cs="Times New Roman"/>
          <w:color w:val="015DAC"/>
          <w:sz w:val="22"/>
          <w:szCs w:val="22"/>
        </w:rPr>
        <w:t xml:space="preserve">1. </w:t>
      </w:r>
      <w:r>
        <w:rPr>
          <w:rFonts w:ascii="KaiTi" w:hAnsi="KaiTi" w:eastAsia="KaiTi" w:cs="KaiTi"/>
          <w:color w:val="015DAC"/>
          <w:sz w:val="22"/>
          <w:szCs w:val="22"/>
        </w:rPr>
        <w:t>取消外商投资股比限制，汽车制造业实现全面开放</w:t>
      </w:r>
    </w:p>
    <w:p>
      <w:pPr>
        <w:spacing w:line="268" w:lineRule="auto"/>
        <w:rPr>
          <w:rFonts w:ascii="Arial"/>
          <w:sz w:val="21"/>
        </w:rPr>
      </w:pPr>
    </w:p>
    <w:p>
      <w:pPr>
        <w:spacing w:before="95" w:line="258" w:lineRule="auto"/>
        <w:ind w:left="1986" w:right="1981" w:firstLine="463"/>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一方面 ，汽车领域外资准入限制全面</w:t>
      </w:r>
      <w:r>
        <w:rPr>
          <w:rFonts w:ascii="微软雅黑" w:hAnsi="微软雅黑" w:eastAsia="微软雅黑" w:cs="微软雅黑"/>
          <w:color w:val="231F20"/>
          <w:sz w:val="22"/>
          <w:szCs w:val="22"/>
        </w:rPr>
        <w:t xml:space="preserve">取消 ，行业对外资实现全方位开放。为了保 </w:t>
      </w:r>
      <w:r>
        <w:rPr>
          <w:rFonts w:ascii="微软雅黑" w:hAnsi="微软雅黑" w:eastAsia="微软雅黑" w:cs="微软雅黑"/>
          <w:color w:val="231F20"/>
          <w:spacing w:val="-1"/>
          <w:sz w:val="22"/>
          <w:szCs w:val="22"/>
        </w:rPr>
        <w:t xml:space="preserve">护中国的汽车工业，  中国于 </w:t>
      </w:r>
      <w:r>
        <w:rPr>
          <w:rFonts w:ascii="Times New Roman" w:hAnsi="Times New Roman" w:eastAsia="Times New Roman" w:cs="Times New Roman"/>
          <w:color w:val="231F20"/>
          <w:spacing w:val="-1"/>
          <w:sz w:val="22"/>
          <w:szCs w:val="22"/>
        </w:rPr>
        <w:t xml:space="preserve">1994 </w:t>
      </w:r>
      <w:r>
        <w:rPr>
          <w:rFonts w:ascii="微软雅黑" w:hAnsi="微软雅黑" w:eastAsia="微软雅黑" w:cs="微软雅黑"/>
          <w:color w:val="231F20"/>
          <w:spacing w:val="-1"/>
          <w:sz w:val="22"/>
          <w:szCs w:val="22"/>
        </w:rPr>
        <w:t>年发布《汽车</w:t>
      </w:r>
      <w:r>
        <w:rPr>
          <w:rFonts w:ascii="微软雅黑" w:hAnsi="微软雅黑" w:eastAsia="微软雅黑" w:cs="微软雅黑"/>
          <w:color w:val="231F20"/>
          <w:sz w:val="22"/>
          <w:szCs w:val="22"/>
        </w:rPr>
        <w:t xml:space="preserve">工业产业政策》  ，对外资企业进入汽 </w:t>
      </w:r>
      <w:r>
        <w:rPr>
          <w:rFonts w:ascii="微软雅黑" w:hAnsi="微软雅黑" w:eastAsia="微软雅黑" w:cs="微软雅黑"/>
          <w:color w:val="231F20"/>
          <w:spacing w:val="2"/>
          <w:sz w:val="22"/>
          <w:szCs w:val="22"/>
        </w:rPr>
        <w:t>车制造行业的股比、设立企业数量进行了严格要求。近年来 ，随</w:t>
      </w:r>
      <w:r>
        <w:rPr>
          <w:rFonts w:ascii="微软雅黑" w:hAnsi="微软雅黑" w:eastAsia="微软雅黑" w:cs="微软雅黑"/>
          <w:color w:val="231F20"/>
          <w:spacing w:val="1"/>
          <w:sz w:val="22"/>
          <w:szCs w:val="22"/>
        </w:rPr>
        <w:t>着中国持续深入推进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高水平对外开放 ，汽车</w:t>
      </w:r>
      <w:r>
        <w:rPr>
          <w:rFonts w:ascii="微软雅黑" w:hAnsi="微软雅黑" w:eastAsia="微软雅黑" w:cs="微软雅黑"/>
          <w:color w:val="231F20"/>
          <w:sz w:val="22"/>
          <w:szCs w:val="22"/>
        </w:rPr>
        <w:t>领域的外资准入限制逐步取消。</w:t>
      </w:r>
      <w:r>
        <w:rPr>
          <w:rFonts w:ascii="Times New Roman" w:hAnsi="Times New Roman" w:eastAsia="Times New Roman" w:cs="Times New Roman"/>
          <w:color w:val="231F20"/>
          <w:sz w:val="22"/>
          <w:szCs w:val="22"/>
        </w:rPr>
        <w:t xml:space="preserve">2018 </w:t>
      </w:r>
      <w:r>
        <w:rPr>
          <w:rFonts w:ascii="微软雅黑" w:hAnsi="微软雅黑" w:eastAsia="微软雅黑" w:cs="微软雅黑"/>
          <w:color w:val="231F20"/>
          <w:sz w:val="22"/>
          <w:szCs w:val="22"/>
        </w:rPr>
        <w:t xml:space="preserve">年取消了专用车、新能源 </w:t>
      </w:r>
      <w:r>
        <w:rPr>
          <w:rFonts w:ascii="微软雅黑" w:hAnsi="微软雅黑" w:eastAsia="微软雅黑" w:cs="微软雅黑"/>
          <w:color w:val="231F20"/>
          <w:spacing w:val="10"/>
          <w:sz w:val="22"/>
          <w:szCs w:val="22"/>
        </w:rPr>
        <w:t>汽车的外资股</w:t>
      </w:r>
      <w:r>
        <w:rPr>
          <w:rFonts w:ascii="微软雅黑" w:hAnsi="微软雅黑" w:eastAsia="微软雅黑" w:cs="微软雅黑"/>
          <w:color w:val="231F20"/>
          <w:spacing w:val="7"/>
          <w:sz w:val="22"/>
          <w:szCs w:val="22"/>
        </w:rPr>
        <w:t>比</w:t>
      </w:r>
      <w:r>
        <w:rPr>
          <w:rFonts w:ascii="微软雅黑" w:hAnsi="微软雅黑" w:eastAsia="微软雅黑" w:cs="微软雅黑"/>
          <w:color w:val="231F20"/>
          <w:spacing w:val="5"/>
          <w:sz w:val="22"/>
          <w:szCs w:val="22"/>
        </w:rPr>
        <w:t>限制，</w:t>
      </w:r>
      <w:r>
        <w:rPr>
          <w:rFonts w:ascii="Times New Roman" w:hAnsi="Times New Roman" w:eastAsia="Times New Roman" w:cs="Times New Roman"/>
          <w:color w:val="231F20"/>
          <w:spacing w:val="5"/>
          <w:sz w:val="22"/>
          <w:szCs w:val="22"/>
        </w:rPr>
        <w:t xml:space="preserve">2020 </w:t>
      </w:r>
      <w:r>
        <w:rPr>
          <w:rFonts w:ascii="微软雅黑" w:hAnsi="微软雅黑" w:eastAsia="微软雅黑" w:cs="微软雅黑"/>
          <w:color w:val="231F20"/>
          <w:spacing w:val="5"/>
          <w:sz w:val="22"/>
          <w:szCs w:val="22"/>
        </w:rPr>
        <w:t>年取消了商用车外资股比限制，</w:t>
      </w:r>
      <w:r>
        <w:rPr>
          <w:rFonts w:ascii="Times New Roman" w:hAnsi="Times New Roman" w:eastAsia="Times New Roman" w:cs="Times New Roman"/>
          <w:color w:val="231F20"/>
          <w:spacing w:val="5"/>
          <w:sz w:val="22"/>
          <w:szCs w:val="22"/>
        </w:rPr>
        <w:t xml:space="preserve">2021 </w:t>
      </w:r>
      <w:r>
        <w:rPr>
          <w:rFonts w:ascii="微软雅黑" w:hAnsi="微软雅黑" w:eastAsia="微软雅黑" w:cs="微软雅黑"/>
          <w:color w:val="231F20"/>
          <w:spacing w:val="5"/>
          <w:sz w:val="22"/>
          <w:szCs w:val="22"/>
        </w:rPr>
        <w:t>年发布的《外商投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资准</w:t>
      </w:r>
      <w:r>
        <w:rPr>
          <w:rFonts w:ascii="微软雅黑" w:hAnsi="微软雅黑" w:eastAsia="微软雅黑" w:cs="微软雅黑"/>
          <w:color w:val="231F20"/>
          <w:spacing w:val="-1"/>
          <w:sz w:val="22"/>
          <w:szCs w:val="22"/>
        </w:rPr>
        <w:t xml:space="preserve">入特别管理措施 ( 负面清单 )   (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年版 )  》和《 自由贸易试验区外商投资准入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特别管理措施 </w:t>
      </w:r>
      <w:r>
        <w:rPr>
          <w:rFonts w:ascii="微软雅黑" w:hAnsi="微软雅黑" w:eastAsia="微软雅黑" w:cs="微软雅黑"/>
          <w:color w:val="231F20"/>
          <w:spacing w:val="-3"/>
          <w:sz w:val="22"/>
          <w:szCs w:val="22"/>
        </w:rPr>
        <w:t>(</w:t>
      </w:r>
      <w:r>
        <w:rPr>
          <w:rFonts w:ascii="微软雅黑" w:hAnsi="微软雅黑" w:eastAsia="微软雅黑" w:cs="微软雅黑"/>
          <w:color w:val="231F20"/>
          <w:spacing w:val="-2"/>
          <w:sz w:val="22"/>
          <w:szCs w:val="22"/>
        </w:rPr>
        <w:t xml:space="preserve"> 负面清单 )   (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年版 )  》取消了乘用车外资股比限制，  同时取消合</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资企业不超过两家的限制 ，标志着中国汽车制造领域对外资企业的投资限制</w:t>
      </w:r>
      <w:r>
        <w:rPr>
          <w:rFonts w:ascii="微软雅黑" w:hAnsi="微软雅黑" w:eastAsia="微软雅黑" w:cs="微软雅黑"/>
          <w:color w:val="231F20"/>
          <w:spacing w:val="1"/>
          <w:sz w:val="22"/>
          <w:szCs w:val="22"/>
        </w:rPr>
        <w:t>已</w:t>
      </w:r>
      <w:r>
        <w:rPr>
          <w:rFonts w:ascii="微软雅黑" w:hAnsi="微软雅黑" w:eastAsia="微软雅黑" w:cs="微软雅黑"/>
          <w:color w:val="231F20"/>
          <w:sz w:val="22"/>
          <w:szCs w:val="22"/>
        </w:rPr>
        <w:t xml:space="preserve">经全面 </w:t>
      </w:r>
      <w:r>
        <w:rPr>
          <w:rFonts w:ascii="微软雅黑" w:hAnsi="微软雅黑" w:eastAsia="微软雅黑" w:cs="微软雅黑"/>
          <w:color w:val="231F20"/>
          <w:spacing w:val="-2"/>
          <w:sz w:val="22"/>
          <w:szCs w:val="22"/>
        </w:rPr>
        <w:t>放开 ，为外资车企在华发展提供了更为广阔的空</w:t>
      </w:r>
      <w:r>
        <w:rPr>
          <w:rFonts w:ascii="微软雅黑" w:hAnsi="微软雅黑" w:eastAsia="微软雅黑" w:cs="微软雅黑"/>
          <w:color w:val="231F20"/>
          <w:spacing w:val="-1"/>
          <w:sz w:val="22"/>
          <w:szCs w:val="22"/>
        </w:rPr>
        <w:t>间</w:t>
      </w:r>
      <w:r>
        <w:rPr>
          <w:rFonts w:ascii="微软雅黑" w:hAnsi="微软雅黑" w:eastAsia="微软雅黑" w:cs="微软雅黑"/>
          <w:color w:val="231F20"/>
          <w:sz w:val="22"/>
          <w:szCs w:val="22"/>
        </w:rPr>
        <w:t>。</w:t>
      </w:r>
    </w:p>
    <w:p>
      <w:pPr>
        <w:spacing w:before="172" w:line="262" w:lineRule="auto"/>
        <w:ind w:left="1987" w:right="1984" w:firstLine="467"/>
        <w:rPr>
          <w:rFonts w:ascii="微软雅黑" w:hAnsi="微软雅黑" w:eastAsia="微软雅黑" w:cs="微软雅黑"/>
          <w:sz w:val="22"/>
          <w:szCs w:val="22"/>
        </w:rPr>
      </w:pPr>
      <w:r>
        <w:rPr>
          <w:rFonts w:ascii="微软雅黑" w:hAnsi="微软雅黑" w:eastAsia="微软雅黑" w:cs="微软雅黑"/>
          <w:color w:val="231F20"/>
          <w:spacing w:val="-10"/>
          <w:sz w:val="22"/>
          <w:szCs w:val="22"/>
        </w:rPr>
        <w:t>另</w:t>
      </w:r>
      <w:r>
        <w:rPr>
          <w:rFonts w:ascii="微软雅黑" w:hAnsi="微软雅黑" w:eastAsia="微软雅黑" w:cs="微软雅黑"/>
          <w:color w:val="231F20"/>
          <w:spacing w:val="-9"/>
          <w:sz w:val="22"/>
          <w:szCs w:val="22"/>
        </w:rPr>
        <w:t>一方面，修订扩大《鼓励外商投资产业目录》，引导外资更多投向汽车行业。《鼓</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励外商投资产业目录 ( </w:t>
      </w:r>
      <w:r>
        <w:rPr>
          <w:rFonts w:ascii="Times New Roman" w:hAnsi="Times New Roman" w:eastAsia="Times New Roman" w:cs="Times New Roman"/>
          <w:color w:val="231F20"/>
          <w:spacing w:val="1"/>
          <w:sz w:val="22"/>
          <w:szCs w:val="22"/>
        </w:rPr>
        <w:t xml:space="preserve">2022 </w:t>
      </w:r>
      <w:r>
        <w:rPr>
          <w:rFonts w:ascii="微软雅黑" w:hAnsi="微软雅黑" w:eastAsia="微软雅黑" w:cs="微软雅黑"/>
          <w:color w:val="231F20"/>
          <w:spacing w:val="1"/>
          <w:sz w:val="22"/>
          <w:szCs w:val="22"/>
        </w:rPr>
        <w:t>年版 )   ( 征求意见稿 )  》的汽车制造业部分 ，在</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2020 </w:t>
      </w:r>
      <w:r>
        <w:rPr>
          <w:rFonts w:ascii="微软雅黑" w:hAnsi="微软雅黑" w:eastAsia="微软雅黑" w:cs="微软雅黑"/>
          <w:color w:val="231F20"/>
          <w:sz w:val="22"/>
          <w:szCs w:val="22"/>
        </w:rPr>
        <w:t xml:space="preserve">年 </w:t>
      </w:r>
      <w:r>
        <w:rPr>
          <w:rFonts w:ascii="微软雅黑" w:hAnsi="微软雅黑" w:eastAsia="微软雅黑" w:cs="微软雅黑"/>
          <w:color w:val="231F20"/>
          <w:spacing w:val="6"/>
          <w:sz w:val="22"/>
          <w:szCs w:val="22"/>
        </w:rPr>
        <w:t>版的汽车发动机</w:t>
      </w:r>
      <w:r>
        <w:rPr>
          <w:rFonts w:ascii="微软雅黑" w:hAnsi="微软雅黑" w:eastAsia="微软雅黑" w:cs="微软雅黑"/>
          <w:color w:val="231F20"/>
          <w:spacing w:val="3"/>
          <w:sz w:val="22"/>
          <w:szCs w:val="22"/>
        </w:rPr>
        <w:t>制造及发动机研发机构建设、汽车关键零部件和技术研发、汽车电子</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器件研发制造、</w:t>
      </w:r>
      <w:r>
        <w:rPr>
          <w:rFonts w:ascii="微软雅黑" w:hAnsi="微软雅黑" w:eastAsia="微软雅黑" w:cs="微软雅黑"/>
          <w:color w:val="231F20"/>
          <w:spacing w:val="4"/>
          <w:sz w:val="22"/>
          <w:szCs w:val="22"/>
        </w:rPr>
        <w:t>新</w:t>
      </w:r>
      <w:r>
        <w:rPr>
          <w:rFonts w:ascii="微软雅黑" w:hAnsi="微软雅黑" w:eastAsia="微软雅黑" w:cs="微软雅黑"/>
          <w:color w:val="231F20"/>
          <w:spacing w:val="3"/>
          <w:sz w:val="22"/>
          <w:szCs w:val="22"/>
        </w:rPr>
        <w:t>能源汽车与智能汽车关键零部件研发制造等关键技术领域基础上，</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增加了与 </w:t>
      </w:r>
      <w:r>
        <w:rPr>
          <w:rFonts w:ascii="Times New Roman" w:hAnsi="Times New Roman" w:eastAsia="Times New Roman" w:cs="Times New Roman"/>
          <w:color w:val="231F20"/>
          <w:sz w:val="22"/>
          <w:szCs w:val="22"/>
        </w:rPr>
        <w:t>L</w:t>
      </w:r>
      <w:r>
        <w:rPr>
          <w:rFonts w:ascii="Times New Roman" w:hAnsi="Times New Roman" w:eastAsia="Times New Roman" w:cs="Times New Roman"/>
          <w:color w:val="231F20"/>
          <w:spacing w:val="1"/>
          <w:sz w:val="22"/>
          <w:szCs w:val="22"/>
        </w:rPr>
        <w:t>3/</w:t>
      </w:r>
      <w:r>
        <w:rPr>
          <w:rFonts w:ascii="Times New Roman" w:hAnsi="Times New Roman" w:eastAsia="Times New Roman" w:cs="Times New Roman"/>
          <w:color w:val="231F20"/>
          <w:sz w:val="22"/>
          <w:szCs w:val="22"/>
        </w:rPr>
        <w:t>L</w:t>
      </w:r>
      <w:r>
        <w:rPr>
          <w:rFonts w:ascii="Times New Roman" w:hAnsi="Times New Roman" w:eastAsia="Times New Roman" w:cs="Times New Roman"/>
          <w:color w:val="231F20"/>
          <w:spacing w:val="1"/>
          <w:sz w:val="22"/>
          <w:szCs w:val="22"/>
        </w:rPr>
        <w:t>4/</w:t>
      </w:r>
      <w:r>
        <w:rPr>
          <w:rFonts w:ascii="Times New Roman" w:hAnsi="Times New Roman" w:eastAsia="Times New Roman" w:cs="Times New Roman"/>
          <w:color w:val="231F20"/>
          <w:sz w:val="22"/>
          <w:szCs w:val="22"/>
        </w:rPr>
        <w:t>L</w:t>
      </w:r>
      <w:r>
        <w:rPr>
          <w:rFonts w:ascii="Times New Roman" w:hAnsi="Times New Roman" w:eastAsia="Times New Roman" w:cs="Times New Roman"/>
          <w:color w:val="231F20"/>
          <w:spacing w:val="1"/>
          <w:sz w:val="22"/>
          <w:szCs w:val="22"/>
        </w:rPr>
        <w:t xml:space="preserve">5 </w:t>
      </w:r>
      <w:r>
        <w:rPr>
          <w:rFonts w:ascii="微软雅黑" w:hAnsi="微软雅黑" w:eastAsia="微软雅黑" w:cs="微软雅黑"/>
          <w:color w:val="231F20"/>
          <w:spacing w:val="1"/>
          <w:sz w:val="22"/>
          <w:szCs w:val="22"/>
        </w:rPr>
        <w:t>自动驾驶相关的硬件及关键零</w:t>
      </w:r>
      <w:r>
        <w:rPr>
          <w:rFonts w:ascii="微软雅黑" w:hAnsi="微软雅黑" w:eastAsia="微软雅黑" w:cs="微软雅黑"/>
          <w:color w:val="231F20"/>
          <w:sz w:val="22"/>
          <w:szCs w:val="22"/>
        </w:rPr>
        <w:t>部件制造以及充电桩等条目。</w:t>
      </w:r>
    </w:p>
    <w:p>
      <w:pPr>
        <w:spacing w:before="175" w:line="214" w:lineRule="auto"/>
        <w:ind w:left="2440"/>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持续出台汽车产业升级政策，引导外资汽车企业转</w:t>
      </w:r>
      <w:r>
        <w:rPr>
          <w:rFonts w:ascii="KaiTi" w:hAnsi="KaiTi" w:eastAsia="KaiTi" w:cs="KaiTi"/>
          <w:color w:val="015DAC"/>
          <w:sz w:val="22"/>
          <w:szCs w:val="22"/>
        </w:rPr>
        <w:t>型升级</w:t>
      </w:r>
    </w:p>
    <w:p>
      <w:pPr>
        <w:spacing w:line="266" w:lineRule="auto"/>
        <w:rPr>
          <w:rFonts w:ascii="Arial"/>
          <w:sz w:val="21"/>
        </w:rPr>
      </w:pPr>
    </w:p>
    <w:p>
      <w:pPr>
        <w:spacing w:before="95" w:line="266" w:lineRule="auto"/>
        <w:ind w:left="1993" w:right="1900" w:firstLine="454"/>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为推进汽车制造业绿色转型与智能化升级，</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年以来，中国相继在新能源汽车、</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智能网联汽车以及汽车制造业的智能化改造等领域出台了</w:t>
      </w:r>
      <w:r>
        <w:rPr>
          <w:rFonts w:ascii="微软雅黑" w:hAnsi="微软雅黑" w:eastAsia="微软雅黑" w:cs="微软雅黑"/>
          <w:color w:val="231F20"/>
          <w:spacing w:val="1"/>
          <w:sz w:val="22"/>
          <w:szCs w:val="22"/>
        </w:rPr>
        <w:t>系列政策文件 ，为外资汽车</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企业智能化和绿色低</w:t>
      </w:r>
      <w:r>
        <w:rPr>
          <w:rFonts w:ascii="微软雅黑" w:hAnsi="微软雅黑" w:eastAsia="微软雅黑" w:cs="微软雅黑"/>
          <w:color w:val="231F20"/>
          <w:sz w:val="22"/>
          <w:szCs w:val="22"/>
        </w:rPr>
        <w:t>碳转型指明了方向。</w:t>
      </w:r>
    </w:p>
    <w:p>
      <w:pPr>
        <w:spacing w:before="172" w:line="263" w:lineRule="auto"/>
        <w:ind w:left="1996" w:right="1915" w:firstLine="457"/>
        <w:rPr>
          <w:rFonts w:ascii="微软雅黑" w:hAnsi="微软雅黑" w:eastAsia="微软雅黑" w:cs="微软雅黑"/>
          <w:sz w:val="22"/>
          <w:szCs w:val="22"/>
        </w:rPr>
      </w:pPr>
      <w:r>
        <w:rPr>
          <w:rFonts w:ascii="SimHei" w:hAnsi="SimHei" w:eastAsia="SimHei" w:cs="SimHei"/>
          <w:color w:val="231F20"/>
          <w:spacing w:val="-4"/>
          <w:sz w:val="22"/>
          <w:szCs w:val="22"/>
        </w:rPr>
        <w:t>支持汽车行业推广智能</w:t>
      </w:r>
      <w:r>
        <w:rPr>
          <w:rFonts w:ascii="SimHei" w:hAnsi="SimHei" w:eastAsia="SimHei" w:cs="SimHei"/>
          <w:color w:val="231F20"/>
          <w:spacing w:val="-2"/>
          <w:sz w:val="22"/>
          <w:szCs w:val="22"/>
        </w:rPr>
        <w:t>制造。</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12 </w:t>
      </w:r>
      <w:r>
        <w:rPr>
          <w:rFonts w:ascii="微软雅黑" w:hAnsi="微软雅黑" w:eastAsia="微软雅黑" w:cs="微软雅黑"/>
          <w:color w:val="231F20"/>
          <w:spacing w:val="-2"/>
          <w:sz w:val="22"/>
          <w:szCs w:val="22"/>
        </w:rPr>
        <w:t>月，  中国出台的《  “十四五”智能制造</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发展规划》明确了智能制造的重点任务，对汽车制造业的智能</w:t>
      </w:r>
      <w:r>
        <w:rPr>
          <w:rFonts w:ascii="微软雅黑" w:hAnsi="微软雅黑" w:eastAsia="微软雅黑" w:cs="微软雅黑"/>
          <w:color w:val="231F20"/>
          <w:sz w:val="22"/>
          <w:szCs w:val="22"/>
        </w:rPr>
        <w:t xml:space="preserve">化转型尤其具有针对性， </w:t>
      </w:r>
      <w:r>
        <w:rPr>
          <w:rFonts w:ascii="微软雅黑" w:hAnsi="微软雅黑" w:eastAsia="微软雅黑" w:cs="微软雅黑"/>
          <w:color w:val="231F20"/>
          <w:spacing w:val="1"/>
          <w:sz w:val="22"/>
          <w:szCs w:val="22"/>
        </w:rPr>
        <w:t>如支持汽车龙头企业建设智慧供应链协同平台 ，开展智能制造示范工厂建设行动等</w:t>
      </w:r>
      <w:r>
        <w:rPr>
          <w:rFonts w:ascii="微软雅黑" w:hAnsi="微软雅黑" w:eastAsia="微软雅黑" w:cs="微软雅黑"/>
          <w:color w:val="231F20"/>
          <w:sz w:val="22"/>
          <w:szCs w:val="22"/>
        </w:rPr>
        <w:t xml:space="preserve"> ，  </w:t>
      </w:r>
      <w:r>
        <w:rPr>
          <w:rFonts w:ascii="微软雅黑" w:hAnsi="微软雅黑" w:eastAsia="微软雅黑" w:cs="微软雅黑"/>
          <w:color w:val="231F20"/>
          <w:spacing w:val="1"/>
          <w:sz w:val="22"/>
          <w:szCs w:val="22"/>
        </w:rPr>
        <w:t>为外资企业开展汽车制造</w:t>
      </w:r>
      <w:r>
        <w:rPr>
          <w:rFonts w:ascii="微软雅黑" w:hAnsi="微软雅黑" w:eastAsia="微软雅黑" w:cs="微软雅黑"/>
          <w:color w:val="231F20"/>
          <w:sz w:val="22"/>
          <w:szCs w:val="22"/>
        </w:rPr>
        <w:t>的智能化改造指明了路径。</w:t>
      </w:r>
    </w:p>
    <w:p>
      <w:pPr>
        <w:spacing w:before="172" w:line="266" w:lineRule="auto"/>
        <w:ind w:left="1999" w:right="1981" w:firstLine="454"/>
        <w:rPr>
          <w:rFonts w:ascii="微软雅黑" w:hAnsi="微软雅黑" w:eastAsia="微软雅黑" w:cs="微软雅黑"/>
          <w:sz w:val="22"/>
          <w:szCs w:val="22"/>
        </w:rPr>
      </w:pPr>
      <w:r>
        <w:rPr>
          <w:rFonts w:ascii="SimHei" w:hAnsi="SimHei" w:eastAsia="SimHei" w:cs="SimHei"/>
          <w:color w:val="231F20"/>
          <w:spacing w:val="-6"/>
          <w:sz w:val="22"/>
          <w:szCs w:val="22"/>
        </w:rPr>
        <w:t>支</w:t>
      </w:r>
      <w:r>
        <w:rPr>
          <w:rFonts w:ascii="SimHei" w:hAnsi="SimHei" w:eastAsia="SimHei" w:cs="SimHei"/>
          <w:color w:val="231F20"/>
          <w:spacing w:val="-5"/>
          <w:sz w:val="22"/>
          <w:szCs w:val="22"/>
        </w:rPr>
        <w:t>持</w:t>
      </w:r>
      <w:r>
        <w:rPr>
          <w:rFonts w:ascii="SimHei" w:hAnsi="SimHei" w:eastAsia="SimHei" w:cs="SimHei"/>
          <w:color w:val="231F20"/>
          <w:spacing w:val="-3"/>
          <w:sz w:val="22"/>
          <w:szCs w:val="22"/>
        </w:rPr>
        <w:t>新能源汽车与动力电池发展。</w:t>
      </w:r>
      <w:r>
        <w:rPr>
          <w:rFonts w:ascii="微软雅黑" w:hAnsi="微软雅黑" w:eastAsia="微软雅黑" w:cs="微软雅黑"/>
          <w:color w:val="231F20"/>
          <w:spacing w:val="-3"/>
          <w:sz w:val="22"/>
          <w:szCs w:val="22"/>
        </w:rPr>
        <w:t>大力发展新能源汽车是中国汽车产业高质量发展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的重要主线</w:t>
      </w:r>
      <w:r>
        <w:rPr>
          <w:rFonts w:ascii="微软雅黑" w:hAnsi="微软雅黑" w:eastAsia="微软雅黑" w:cs="微软雅黑"/>
          <w:color w:val="231F20"/>
          <w:spacing w:val="-7"/>
          <w:sz w:val="22"/>
          <w:szCs w:val="22"/>
        </w:rPr>
        <w:t>和</w:t>
      </w:r>
      <w:r>
        <w:rPr>
          <w:rFonts w:ascii="微软雅黑" w:hAnsi="微软雅黑" w:eastAsia="微软雅黑" w:cs="微软雅黑"/>
          <w:color w:val="231F20"/>
          <w:spacing w:val="-5"/>
          <w:sz w:val="22"/>
          <w:szCs w:val="22"/>
        </w:rPr>
        <w:t>引擎。为支持新能源汽车发展 ，近年来中国密集出台了一系列政策 ，如国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务院在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3 </w:t>
      </w:r>
      <w:r>
        <w:rPr>
          <w:rFonts w:ascii="微软雅黑" w:hAnsi="微软雅黑" w:eastAsia="微软雅黑" w:cs="微软雅黑"/>
          <w:color w:val="231F20"/>
          <w:sz w:val="22"/>
          <w:szCs w:val="22"/>
        </w:rPr>
        <w:t>月发布的《中华人民共和国国民经济和社会发展第十四个五年规划和</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89376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09" name="IM 209"/>
            <wp:cNvGraphicFramePr/>
            <a:graphic xmlns:a="http://schemas.openxmlformats.org/drawingml/2006/main">
              <a:graphicData uri="http://schemas.openxmlformats.org/drawingml/2006/picture">
                <pic:pic xmlns:pic="http://schemas.openxmlformats.org/drawingml/2006/picture">
                  <pic:nvPicPr>
                    <pic:cNvPr id="209" name="IM 209"/>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0"/>
        <w:rPr>
          <w:rFonts w:ascii="SimHei" w:hAnsi="SimHei" w:eastAsia="SimHei" w:cs="SimHei"/>
          <w:sz w:val="21"/>
          <w:szCs w:val="21"/>
        </w:rPr>
      </w:pPr>
      <w:bookmarkStart w:id="39" w:name="_bookmark107"/>
      <w:bookmarkEnd w:id="39"/>
      <w:r>
        <w:rPr>
          <w:rFonts w:ascii="Arial" w:hAnsi="Arial" w:eastAsia="Arial" w:cs="Arial"/>
          <w:color w:val="231F20"/>
          <w:spacing w:val="22"/>
          <w:sz w:val="20"/>
          <w:szCs w:val="20"/>
        </w:rPr>
        <w:t xml:space="preserve">40  </w:t>
      </w:r>
      <w:r>
        <w:rPr>
          <w:position w:val="-5"/>
          <w:sz w:val="20"/>
          <w:szCs w:val="20"/>
        </w:rPr>
        <w:drawing>
          <wp:inline distT="0" distB="0" distL="0" distR="0">
            <wp:extent cx="3175" cy="14732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2"/>
          <w:sz w:val="20"/>
          <w:szCs w:val="20"/>
        </w:rPr>
        <w:t xml:space="preserve">   </w:t>
      </w:r>
      <w:r>
        <w:rPr>
          <w:rFonts w:ascii="宋体" w:hAnsi="宋体" w:eastAsia="宋体" w:cs="宋体"/>
          <w:color w:val="537DBF"/>
          <w:spacing w:val="22"/>
          <w:sz w:val="21"/>
          <w:szCs w:val="21"/>
        </w:rPr>
        <w:t xml:space="preserve">中国外商投资报告 2022 </w:t>
      </w:r>
      <w:r>
        <w:rPr>
          <w:position w:val="-5"/>
          <w:sz w:val="21"/>
          <w:szCs w:val="21"/>
        </w:rPr>
        <w:drawing>
          <wp:inline distT="0" distB="0" distL="0" distR="0">
            <wp:extent cx="3175" cy="147320"/>
            <wp:effectExtent l="0" t="0" r="0" b="0"/>
            <wp:docPr id="211" name="IM 211"/>
            <wp:cNvGraphicFramePr/>
            <a:graphic xmlns:a="http://schemas.openxmlformats.org/drawingml/2006/main">
              <a:graphicData uri="http://schemas.openxmlformats.org/drawingml/2006/picture">
                <pic:pic xmlns:pic="http://schemas.openxmlformats.org/drawingml/2006/picture">
                  <pic:nvPicPr>
                    <pic:cNvPr id="211" name="IM 211"/>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2"/>
          <w:sz w:val="21"/>
          <w:szCs w:val="21"/>
        </w:rPr>
        <w:t xml:space="preserve">  </w:t>
      </w:r>
      <w:r>
        <w:rPr>
          <w:rFonts w:ascii="SimHei" w:hAnsi="SimHei" w:eastAsia="SimHei" w:cs="SimHei"/>
          <w:color w:val="1A67B3"/>
          <w:spacing w:val="22"/>
          <w:sz w:val="21"/>
          <w:szCs w:val="21"/>
          <w14:textOutline w14:w="3175" w14:cap="flat" w14:cmpd="sng">
            <w14:solidFill>
              <w14:srgbClr w14:val="1A67B3"/>
            </w14:solidFill>
            <w14:prstDash w14:val="solid"/>
            <w14:miter w14:val="0"/>
          </w14:textOutline>
        </w:rPr>
        <w:t>产业</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篇</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4" w:line="260" w:lineRule="auto"/>
        <w:ind w:left="1997" w:right="1977" w:hanging="9"/>
        <w:rPr>
          <w:rFonts w:ascii="微软雅黑" w:hAnsi="微软雅黑" w:eastAsia="微软雅黑" w:cs="微软雅黑"/>
          <w:sz w:val="22"/>
          <w:szCs w:val="22"/>
        </w:rPr>
      </w:pPr>
      <w:r>
        <w:rPr>
          <w:rFonts w:ascii="Times New Roman" w:hAnsi="Times New Roman" w:eastAsia="Times New Roman" w:cs="Times New Roman"/>
          <w:color w:val="231F20"/>
          <w:spacing w:val="-6"/>
          <w:sz w:val="22"/>
          <w:szCs w:val="22"/>
        </w:rPr>
        <w:t xml:space="preserve">2035 </w:t>
      </w:r>
      <w:r>
        <w:rPr>
          <w:rFonts w:ascii="微软雅黑" w:hAnsi="微软雅黑" w:eastAsia="微软雅黑" w:cs="微软雅黑"/>
          <w:color w:val="231F20"/>
          <w:spacing w:val="-6"/>
          <w:sz w:val="22"/>
          <w:szCs w:val="22"/>
        </w:rPr>
        <w:t>年</w:t>
      </w:r>
      <w:r>
        <w:rPr>
          <w:rFonts w:ascii="微软雅黑" w:hAnsi="微软雅黑" w:eastAsia="微软雅黑" w:cs="微软雅黑"/>
          <w:color w:val="231F20"/>
          <w:spacing w:val="-5"/>
          <w:sz w:val="22"/>
          <w:szCs w:val="22"/>
        </w:rPr>
        <w:t>远</w:t>
      </w:r>
      <w:r>
        <w:rPr>
          <w:rFonts w:ascii="微软雅黑" w:hAnsi="微软雅黑" w:eastAsia="微软雅黑" w:cs="微软雅黑"/>
          <w:color w:val="231F20"/>
          <w:spacing w:val="-3"/>
          <w:sz w:val="22"/>
          <w:szCs w:val="22"/>
        </w:rPr>
        <w:t xml:space="preserve">景目标纲要》以及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 xml:space="preserve">年 </w:t>
      </w:r>
      <w:r>
        <w:rPr>
          <w:rFonts w:ascii="Times New Roman" w:hAnsi="Times New Roman" w:eastAsia="Times New Roman" w:cs="Times New Roman"/>
          <w:color w:val="231F20"/>
          <w:spacing w:val="-3"/>
          <w:sz w:val="22"/>
          <w:szCs w:val="22"/>
        </w:rPr>
        <w:t xml:space="preserve">10 </w:t>
      </w:r>
      <w:r>
        <w:rPr>
          <w:rFonts w:ascii="微软雅黑" w:hAnsi="微软雅黑" w:eastAsia="微软雅黑" w:cs="微软雅黑"/>
          <w:color w:val="231F20"/>
          <w:spacing w:val="-3"/>
          <w:sz w:val="22"/>
          <w:szCs w:val="22"/>
        </w:rPr>
        <w:t>月发布的《关于完整准确全面贯彻新发展理念做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好碳达峰</w:t>
      </w:r>
      <w:r>
        <w:rPr>
          <w:rFonts w:ascii="微软雅黑" w:hAnsi="微软雅黑" w:eastAsia="微软雅黑" w:cs="微软雅黑"/>
          <w:color w:val="231F20"/>
          <w:spacing w:val="-7"/>
          <w:sz w:val="22"/>
          <w:szCs w:val="22"/>
        </w:rPr>
        <w:t>碳</w:t>
      </w:r>
      <w:r>
        <w:rPr>
          <w:rFonts w:ascii="微软雅黑" w:hAnsi="微软雅黑" w:eastAsia="微软雅黑" w:cs="微软雅黑"/>
          <w:color w:val="231F20"/>
          <w:spacing w:val="-5"/>
          <w:sz w:val="22"/>
          <w:szCs w:val="22"/>
        </w:rPr>
        <w:t>中和工作的意见》等文件中提出 ，要聚焦新能源汽车领域 ，加快关键核心技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术创新应用。</w:t>
      </w:r>
      <w:r>
        <w:rPr>
          <w:rFonts w:ascii="Times New Roman" w:hAnsi="Times New Roman" w:eastAsia="Times New Roman" w:cs="Times New Roman"/>
          <w:color w:val="231F20"/>
          <w:spacing w:val="-6"/>
          <w:sz w:val="22"/>
          <w:szCs w:val="22"/>
        </w:rPr>
        <w:t>202</w:t>
      </w:r>
      <w:r>
        <w:rPr>
          <w:rFonts w:ascii="Times New Roman" w:hAnsi="Times New Roman" w:eastAsia="Times New Roman" w:cs="Times New Roman"/>
          <w:color w:val="231F20"/>
          <w:spacing w:val="-5"/>
          <w:sz w:val="22"/>
          <w:szCs w:val="22"/>
        </w:rPr>
        <w:t>1</w:t>
      </w:r>
      <w:r>
        <w:rPr>
          <w:rFonts w:ascii="Times New Roman" w:hAnsi="Times New Roman" w:eastAsia="Times New Roman" w:cs="Times New Roman"/>
          <w:color w:val="231F20"/>
          <w:spacing w:val="-3"/>
          <w:sz w:val="22"/>
          <w:szCs w:val="22"/>
        </w:rPr>
        <w:t xml:space="preserve"> </w:t>
      </w:r>
      <w:r>
        <w:rPr>
          <w:rFonts w:ascii="微软雅黑" w:hAnsi="微软雅黑" w:eastAsia="微软雅黑" w:cs="微软雅黑"/>
          <w:color w:val="231F20"/>
          <w:spacing w:val="-3"/>
          <w:sz w:val="22"/>
          <w:szCs w:val="22"/>
        </w:rPr>
        <w:t xml:space="preserve">年 </w:t>
      </w:r>
      <w:r>
        <w:rPr>
          <w:rFonts w:ascii="Times New Roman" w:hAnsi="Times New Roman" w:eastAsia="Times New Roman" w:cs="Times New Roman"/>
          <w:color w:val="231F20"/>
          <w:spacing w:val="-3"/>
          <w:sz w:val="22"/>
          <w:szCs w:val="22"/>
        </w:rPr>
        <w:t xml:space="preserve">7 </w:t>
      </w:r>
      <w:r>
        <w:rPr>
          <w:rFonts w:ascii="微软雅黑" w:hAnsi="微软雅黑" w:eastAsia="微软雅黑" w:cs="微软雅黑"/>
          <w:color w:val="231F20"/>
          <w:spacing w:val="-3"/>
          <w:sz w:val="22"/>
          <w:szCs w:val="22"/>
        </w:rPr>
        <w:t>月国家发展改革委、能源局等部门发布的《关于加快推动新型储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能发展的指导意见》 以及《新型数据中心发展三年行动计划 ( </w:t>
      </w:r>
      <w:r>
        <w:rPr>
          <w:rFonts w:ascii="Times New Roman" w:hAnsi="Times New Roman" w:eastAsia="Times New Roman" w:cs="Times New Roman"/>
          <w:color w:val="231F20"/>
          <w:spacing w:val="-2"/>
          <w:sz w:val="22"/>
          <w:szCs w:val="22"/>
        </w:rPr>
        <w:t xml:space="preserve">2021-2023 </w:t>
      </w:r>
      <w:r>
        <w:rPr>
          <w:rFonts w:ascii="微软雅黑" w:hAnsi="微软雅黑" w:eastAsia="微软雅黑" w:cs="微软雅黑"/>
          <w:color w:val="231F20"/>
          <w:spacing w:val="-2"/>
          <w:sz w:val="22"/>
          <w:szCs w:val="22"/>
        </w:rPr>
        <w:t>年 )  》等政</w:t>
      </w:r>
      <w:r>
        <w:rPr>
          <w:rFonts w:ascii="微软雅黑" w:hAnsi="微软雅黑" w:eastAsia="微软雅黑" w:cs="微软雅黑"/>
          <w:color w:val="231F20"/>
          <w:sz w:val="22"/>
          <w:szCs w:val="22"/>
        </w:rPr>
        <w:t xml:space="preserve">策 </w:t>
      </w:r>
      <w:r>
        <w:rPr>
          <w:rFonts w:ascii="微软雅黑" w:hAnsi="微软雅黑" w:eastAsia="微软雅黑" w:cs="微软雅黑"/>
          <w:color w:val="231F20"/>
          <w:spacing w:val="-6"/>
          <w:sz w:val="22"/>
          <w:szCs w:val="22"/>
        </w:rPr>
        <w:t>文</w:t>
      </w:r>
      <w:r>
        <w:rPr>
          <w:rFonts w:ascii="微软雅黑" w:hAnsi="微软雅黑" w:eastAsia="微软雅黑" w:cs="微软雅黑"/>
          <w:color w:val="231F20"/>
          <w:spacing w:val="-4"/>
          <w:sz w:val="22"/>
          <w:szCs w:val="22"/>
        </w:rPr>
        <w:t>件中 ，强调要围绕新能源汽车的动力电池领域，推动锂电池成本持续下降以及梯次利</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用产品推</w:t>
      </w:r>
      <w:r>
        <w:rPr>
          <w:rFonts w:ascii="微软雅黑" w:hAnsi="微软雅黑" w:eastAsia="微软雅黑" w:cs="微软雅黑"/>
          <w:color w:val="231F20"/>
          <w:spacing w:val="-5"/>
          <w:sz w:val="22"/>
          <w:szCs w:val="22"/>
        </w:rPr>
        <w:t>广</w:t>
      </w:r>
      <w:r>
        <w:rPr>
          <w:rFonts w:ascii="微软雅黑" w:hAnsi="微软雅黑" w:eastAsia="微软雅黑" w:cs="微软雅黑"/>
          <w:color w:val="231F20"/>
          <w:spacing w:val="-4"/>
          <w:sz w:val="22"/>
          <w:szCs w:val="22"/>
        </w:rPr>
        <w:t>应用。这些政策有力地促进了外资企业投资新能源汽车及动力电池等领域。</w:t>
      </w:r>
    </w:p>
    <w:p>
      <w:pPr>
        <w:spacing w:before="174" w:line="259" w:lineRule="auto"/>
        <w:ind w:left="1996" w:right="1977" w:firstLine="452"/>
        <w:rPr>
          <w:rFonts w:ascii="微软雅黑" w:hAnsi="微软雅黑" w:eastAsia="微软雅黑" w:cs="微软雅黑"/>
          <w:sz w:val="22"/>
          <w:szCs w:val="22"/>
        </w:rPr>
      </w:pPr>
      <w:r>
        <w:rPr>
          <w:rFonts w:ascii="SimHei" w:hAnsi="SimHei" w:eastAsia="SimHei" w:cs="SimHei"/>
          <w:color w:val="231F20"/>
          <w:spacing w:val="1"/>
          <w:sz w:val="22"/>
          <w:szCs w:val="22"/>
        </w:rPr>
        <w:t>推动传统汽车产业节能减排。</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2</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 xml:space="preserve">月 </w:t>
      </w:r>
      <w:r>
        <w:rPr>
          <w:rFonts w:ascii="Times New Roman" w:hAnsi="Times New Roman" w:eastAsia="Times New Roman" w:cs="Times New Roman"/>
          <w:color w:val="231F20"/>
          <w:sz w:val="22"/>
          <w:szCs w:val="22"/>
        </w:rPr>
        <w:t xml:space="preserve">20 </w:t>
      </w:r>
      <w:r>
        <w:rPr>
          <w:rFonts w:ascii="微软雅黑" w:hAnsi="微软雅黑" w:eastAsia="微软雅黑" w:cs="微软雅黑"/>
          <w:color w:val="231F20"/>
          <w:sz w:val="22"/>
          <w:szCs w:val="22"/>
        </w:rPr>
        <w:t xml:space="preserve">日，  中国发布强制性国家标准《乘 </w:t>
      </w:r>
      <w:r>
        <w:rPr>
          <w:rFonts w:ascii="微软雅黑" w:hAnsi="微软雅黑" w:eastAsia="微软雅黑" w:cs="微软雅黑"/>
          <w:color w:val="231F20"/>
          <w:spacing w:val="-2"/>
          <w:sz w:val="22"/>
          <w:szCs w:val="22"/>
        </w:rPr>
        <w:t xml:space="preserve">用车燃料消耗量限值》   ( </w:t>
      </w:r>
      <w:r>
        <w:rPr>
          <w:rFonts w:ascii="Times New Roman" w:hAnsi="Times New Roman" w:eastAsia="Times New Roman" w:cs="Times New Roman"/>
          <w:color w:val="231F20"/>
          <w:spacing w:val="-1"/>
          <w:sz w:val="22"/>
          <w:szCs w:val="22"/>
        </w:rPr>
        <w:t>GB</w:t>
      </w:r>
      <w:r>
        <w:rPr>
          <w:rFonts w:ascii="Times New Roman" w:hAnsi="Times New Roman" w:eastAsia="Times New Roman" w:cs="Times New Roman"/>
          <w:color w:val="231F20"/>
          <w:spacing w:val="-2"/>
          <w:sz w:val="22"/>
          <w:szCs w:val="22"/>
        </w:rPr>
        <w:t>19578-202</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  ，规定了燃用汽油或柴油燃料、最大设计总</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质量不超过 </w:t>
      </w:r>
      <w:r>
        <w:rPr>
          <w:rFonts w:ascii="Times New Roman" w:hAnsi="Times New Roman" w:eastAsia="Times New Roman" w:cs="Times New Roman"/>
          <w:color w:val="231F20"/>
          <w:spacing w:val="1"/>
          <w:sz w:val="22"/>
          <w:szCs w:val="22"/>
        </w:rPr>
        <w:t>3500</w:t>
      </w:r>
      <w:r>
        <w:rPr>
          <w:rFonts w:ascii="Times New Roman" w:hAnsi="Times New Roman" w:eastAsia="Times New Roman" w:cs="Times New Roman"/>
          <w:color w:val="231F20"/>
          <w:sz w:val="22"/>
          <w:szCs w:val="22"/>
        </w:rPr>
        <w:t>kg</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的</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M1 </w:t>
      </w:r>
      <w:r>
        <w:rPr>
          <w:rFonts w:ascii="微软雅黑" w:hAnsi="微软雅黑" w:eastAsia="微软雅黑" w:cs="微软雅黑"/>
          <w:color w:val="231F20"/>
          <w:sz w:val="22"/>
          <w:szCs w:val="22"/>
        </w:rPr>
        <w:t>类车辆今后一个时期的燃料消耗量限值要求。</w:t>
      </w:r>
      <w:r>
        <w:rPr>
          <w:rFonts w:ascii="Times New Roman" w:hAnsi="Times New Roman" w:eastAsia="Times New Roman" w:cs="Times New Roman"/>
          <w:color w:val="231F20"/>
          <w:sz w:val="22"/>
          <w:szCs w:val="22"/>
        </w:rPr>
        <w:t xml:space="preserve">7 </w:t>
      </w:r>
      <w:r>
        <w:rPr>
          <w:rFonts w:ascii="微软雅黑" w:hAnsi="微软雅黑" w:eastAsia="微软雅黑" w:cs="微软雅黑"/>
          <w:color w:val="231F20"/>
          <w:sz w:val="22"/>
          <w:szCs w:val="22"/>
        </w:rPr>
        <w:t xml:space="preserve">月 ，汽车国 </w:t>
      </w:r>
      <w:r>
        <w:rPr>
          <w:rFonts w:ascii="微软雅黑" w:hAnsi="微软雅黑" w:eastAsia="微软雅黑" w:cs="微软雅黑"/>
          <w:color w:val="231F20"/>
          <w:spacing w:val="2"/>
          <w:sz w:val="22"/>
          <w:szCs w:val="22"/>
        </w:rPr>
        <w:t>六排放标准和非道路移动柴油机械国四排放标准全面实施 ，基</w:t>
      </w:r>
      <w:r>
        <w:rPr>
          <w:rFonts w:ascii="微软雅黑" w:hAnsi="微软雅黑" w:eastAsia="微软雅黑" w:cs="微软雅黑"/>
          <w:color w:val="231F20"/>
          <w:spacing w:val="1"/>
          <w:sz w:val="22"/>
          <w:szCs w:val="22"/>
        </w:rPr>
        <w:t>本淘汰国三及以下排放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标准汽车</w:t>
      </w:r>
      <w:r>
        <w:rPr>
          <w:rFonts w:ascii="微软雅黑" w:hAnsi="微软雅黑" w:eastAsia="微软雅黑" w:cs="微软雅黑"/>
          <w:color w:val="231F20"/>
          <w:spacing w:val="4"/>
          <w:sz w:val="22"/>
          <w:szCs w:val="22"/>
        </w:rPr>
        <w:t>。</w:t>
      </w:r>
      <w:r>
        <w:rPr>
          <w:rFonts w:ascii="微软雅黑" w:hAnsi="微软雅黑" w:eastAsia="微软雅黑" w:cs="微软雅黑"/>
          <w:color w:val="231F20"/>
          <w:spacing w:val="3"/>
          <w:sz w:val="22"/>
          <w:szCs w:val="22"/>
        </w:rPr>
        <w:t>两项标准发布实施对推动内外资企业汽车产品节能减排、促进汽车制造业</w:t>
      </w:r>
      <w:r>
        <w:rPr>
          <w:rFonts w:ascii="微软雅黑" w:hAnsi="微软雅黑" w:eastAsia="微软雅黑" w:cs="微软雅黑"/>
          <w:color w:val="231F20"/>
          <w:sz w:val="22"/>
          <w:szCs w:val="22"/>
        </w:rPr>
        <w:t xml:space="preserve"> 绿色低碳转型起到了重要作用。</w:t>
      </w:r>
    </w:p>
    <w:p>
      <w:pPr>
        <w:spacing w:before="188" w:line="215"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促消费政策挖掘市场潜力，推动</w:t>
      </w:r>
      <w:r>
        <w:rPr>
          <w:rFonts w:ascii="KaiTi" w:hAnsi="KaiTi" w:eastAsia="KaiTi" w:cs="KaiTi"/>
          <w:color w:val="015DAC"/>
          <w:sz w:val="22"/>
          <w:szCs w:val="22"/>
        </w:rPr>
        <w:t>外资企业持续投资</w:t>
      </w:r>
    </w:p>
    <w:p>
      <w:pPr>
        <w:spacing w:before="333" w:line="259" w:lineRule="auto"/>
        <w:ind w:left="1988" w:right="1899" w:firstLine="460"/>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 xml:space="preserve">汽车消费占国内社会消费品零售总额的 </w:t>
      </w:r>
      <w:r>
        <w:rPr>
          <w:rFonts w:ascii="Times New Roman" w:hAnsi="Times New Roman" w:eastAsia="Times New Roman" w:cs="Times New Roman"/>
          <w:color w:val="231F20"/>
          <w:spacing w:val="-1"/>
          <w:sz w:val="22"/>
          <w:szCs w:val="22"/>
        </w:rPr>
        <w:t xml:space="preserve">10% </w:t>
      </w:r>
      <w:r>
        <w:rPr>
          <w:rFonts w:ascii="微软雅黑" w:hAnsi="微软雅黑" w:eastAsia="微软雅黑" w:cs="微软雅黑"/>
          <w:color w:val="231F20"/>
          <w:spacing w:val="-1"/>
          <w:sz w:val="22"/>
          <w:szCs w:val="22"/>
        </w:rPr>
        <w:t>左右 ，是国内消费市场的重</w:t>
      </w:r>
      <w:r>
        <w:rPr>
          <w:rFonts w:ascii="微软雅黑" w:hAnsi="微软雅黑" w:eastAsia="微软雅黑" w:cs="微软雅黑"/>
          <w:color w:val="231F20"/>
          <w:sz w:val="22"/>
          <w:szCs w:val="22"/>
        </w:rPr>
        <w:t xml:space="preserve">点领域且 </w:t>
      </w:r>
      <w:r>
        <w:rPr>
          <w:rFonts w:ascii="微软雅黑" w:hAnsi="微软雅黑" w:eastAsia="微软雅黑" w:cs="微软雅黑"/>
          <w:color w:val="231F20"/>
          <w:spacing w:val="-8"/>
          <w:sz w:val="22"/>
          <w:szCs w:val="22"/>
        </w:rPr>
        <w:t>市场</w:t>
      </w:r>
      <w:r>
        <w:rPr>
          <w:rFonts w:ascii="微软雅黑" w:hAnsi="微软雅黑" w:eastAsia="微软雅黑" w:cs="微软雅黑"/>
          <w:color w:val="231F20"/>
          <w:spacing w:val="-4"/>
          <w:sz w:val="22"/>
          <w:szCs w:val="22"/>
        </w:rPr>
        <w:t xml:space="preserve">潜力巨大。截至 </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 xml:space="preserve">7 </w:t>
      </w:r>
      <w:r>
        <w:rPr>
          <w:rFonts w:ascii="微软雅黑" w:hAnsi="微软雅黑" w:eastAsia="微软雅黑" w:cs="微软雅黑"/>
          <w:color w:val="231F20"/>
          <w:spacing w:val="-4"/>
          <w:sz w:val="22"/>
          <w:szCs w:val="22"/>
        </w:rPr>
        <w:t xml:space="preserve">月，中国汽车千人保有量仅为 </w:t>
      </w:r>
      <w:r>
        <w:rPr>
          <w:rFonts w:ascii="Times New Roman" w:hAnsi="Times New Roman" w:eastAsia="Times New Roman" w:cs="Times New Roman"/>
          <w:color w:val="231F20"/>
          <w:spacing w:val="-4"/>
          <w:sz w:val="22"/>
          <w:szCs w:val="22"/>
        </w:rPr>
        <w:t xml:space="preserve">195 </w:t>
      </w:r>
      <w:r>
        <w:rPr>
          <w:rFonts w:ascii="微软雅黑" w:hAnsi="微软雅黑" w:eastAsia="微软雅黑" w:cs="微软雅黑"/>
          <w:color w:val="231F20"/>
          <w:spacing w:val="-4"/>
          <w:sz w:val="22"/>
          <w:szCs w:val="22"/>
        </w:rPr>
        <w:t xml:space="preserve">辆 </w:t>
      </w:r>
      <w:r>
        <w:rPr>
          <w:rFonts w:ascii="Times New Roman" w:hAnsi="Times New Roman" w:eastAsia="Times New Roman" w:cs="Times New Roman"/>
          <w:color w:val="231F20"/>
          <w:spacing w:val="-4"/>
          <w:sz w:val="22"/>
          <w:szCs w:val="22"/>
        </w:rPr>
        <w:t xml:space="preserve">/ </w:t>
      </w:r>
      <w:r>
        <w:rPr>
          <w:rFonts w:ascii="微软雅黑" w:hAnsi="微软雅黑" w:eastAsia="微软雅黑" w:cs="微软雅黑"/>
          <w:color w:val="231F20"/>
          <w:spacing w:val="-4"/>
          <w:sz w:val="22"/>
          <w:szCs w:val="22"/>
        </w:rPr>
        <w:t xml:space="preserve">千人，与美国( </w:t>
      </w:r>
      <w:r>
        <w:rPr>
          <w:rFonts w:ascii="Times New Roman" w:hAnsi="Times New Roman" w:eastAsia="Times New Roman" w:cs="Times New Roman"/>
          <w:color w:val="231F20"/>
          <w:spacing w:val="-4"/>
          <w:sz w:val="22"/>
          <w:szCs w:val="22"/>
        </w:rPr>
        <w:t>817</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8"/>
          <w:sz w:val="22"/>
          <w:szCs w:val="22"/>
        </w:rPr>
        <w:t xml:space="preserve">辆 </w:t>
      </w:r>
      <w:r>
        <w:rPr>
          <w:rFonts w:ascii="Times New Roman" w:hAnsi="Times New Roman" w:eastAsia="Times New Roman" w:cs="Times New Roman"/>
          <w:color w:val="231F20"/>
          <w:spacing w:val="8"/>
          <w:sz w:val="22"/>
          <w:szCs w:val="22"/>
        </w:rPr>
        <w:t xml:space="preserve">/ </w:t>
      </w:r>
      <w:r>
        <w:rPr>
          <w:rFonts w:ascii="微软雅黑" w:hAnsi="微软雅黑" w:eastAsia="微软雅黑" w:cs="微软雅黑"/>
          <w:color w:val="231F20"/>
          <w:spacing w:val="8"/>
          <w:sz w:val="22"/>
          <w:szCs w:val="22"/>
        </w:rPr>
        <w:t>千人</w:t>
      </w:r>
      <w:r>
        <w:rPr>
          <w:rFonts w:ascii="微软雅黑" w:hAnsi="微软雅黑" w:eastAsia="微软雅黑" w:cs="微软雅黑"/>
          <w:color w:val="231F20"/>
          <w:spacing w:val="7"/>
          <w:sz w:val="22"/>
          <w:szCs w:val="22"/>
        </w:rPr>
        <w:t xml:space="preserve"> </w:t>
      </w:r>
      <w:r>
        <w:rPr>
          <w:rFonts w:ascii="微软雅黑" w:hAnsi="微软雅黑" w:eastAsia="微软雅黑" w:cs="微软雅黑"/>
          <w:color w:val="231F20"/>
          <w:spacing w:val="4"/>
          <w:sz w:val="22"/>
          <w:szCs w:val="22"/>
        </w:rPr>
        <w:t>) 等海外成熟市场相比仍有较大增长空间。为了进一步挖掘市场潜力、促进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汽车消费，</w:t>
      </w:r>
      <w:r>
        <w:rPr>
          <w:rFonts w:ascii="Times New Roman" w:hAnsi="Times New Roman" w:eastAsia="Times New Roman" w:cs="Times New Roman"/>
          <w:color w:val="231F20"/>
          <w:spacing w:val="4"/>
          <w:sz w:val="22"/>
          <w:szCs w:val="22"/>
        </w:rPr>
        <w:t>20</w:t>
      </w:r>
      <w:r>
        <w:rPr>
          <w:rFonts w:ascii="Times New Roman" w:hAnsi="Times New Roman" w:eastAsia="Times New Roman" w:cs="Times New Roman"/>
          <w:color w:val="231F20"/>
          <w:spacing w:val="3"/>
          <w:sz w:val="22"/>
          <w:szCs w:val="22"/>
        </w:rPr>
        <w:t>2</w:t>
      </w:r>
      <w:r>
        <w:rPr>
          <w:rFonts w:ascii="Times New Roman" w:hAnsi="Times New Roman" w:eastAsia="Times New Roman" w:cs="Times New Roman"/>
          <w:color w:val="231F20"/>
          <w:spacing w:val="2"/>
          <w:sz w:val="22"/>
          <w:szCs w:val="22"/>
        </w:rPr>
        <w:t xml:space="preserve">1 </w:t>
      </w:r>
      <w:r>
        <w:rPr>
          <w:rFonts w:ascii="微软雅黑" w:hAnsi="微软雅黑" w:eastAsia="微软雅黑" w:cs="微软雅黑"/>
          <w:color w:val="231F20"/>
          <w:spacing w:val="2"/>
          <w:sz w:val="22"/>
          <w:szCs w:val="22"/>
        </w:rPr>
        <w:t xml:space="preserve">年以来，  中国持续出台《关于 </w:t>
      </w:r>
      <w:r>
        <w:rPr>
          <w:rFonts w:ascii="Times New Roman" w:hAnsi="Times New Roman" w:eastAsia="Times New Roman" w:cs="Times New Roman"/>
          <w:color w:val="231F20"/>
          <w:spacing w:val="2"/>
          <w:sz w:val="22"/>
          <w:szCs w:val="22"/>
        </w:rPr>
        <w:t>2022</w:t>
      </w:r>
      <w:r>
        <w:rPr>
          <w:rFonts w:ascii="微软雅黑" w:hAnsi="微软雅黑" w:eastAsia="微软雅黑" w:cs="微软雅黑"/>
          <w:color w:val="231F20"/>
          <w:spacing w:val="2"/>
          <w:sz w:val="22"/>
          <w:szCs w:val="22"/>
        </w:rPr>
        <w:t>年新能源汽车推广应用财政补贴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政策的通知》《关于进一步释放消费潜力促进消费持续恢复的意见</w:t>
      </w:r>
      <w:r>
        <w:rPr>
          <w:rFonts w:ascii="微软雅黑" w:hAnsi="微软雅黑" w:eastAsia="微软雅黑" w:cs="微软雅黑"/>
          <w:color w:val="231F20"/>
          <w:spacing w:val="1"/>
          <w:sz w:val="22"/>
          <w:szCs w:val="22"/>
        </w:rPr>
        <w:t xml:space="preserve">》《关于开展 </w:t>
      </w:r>
      <w:r>
        <w:rPr>
          <w:rFonts w:ascii="Times New Roman" w:hAnsi="Times New Roman" w:eastAsia="Times New Roman" w:cs="Times New Roman"/>
          <w:color w:val="231F20"/>
          <w:spacing w:val="1"/>
          <w:sz w:val="22"/>
          <w:szCs w:val="22"/>
        </w:rPr>
        <w:t>2022</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6"/>
          <w:sz w:val="22"/>
          <w:szCs w:val="22"/>
        </w:rPr>
        <w:t>新能源汽车下</w:t>
      </w:r>
      <w:r>
        <w:rPr>
          <w:rFonts w:ascii="微软雅黑" w:hAnsi="微软雅黑" w:eastAsia="微软雅黑" w:cs="微软雅黑"/>
          <w:color w:val="231F20"/>
          <w:spacing w:val="5"/>
          <w:sz w:val="22"/>
          <w:szCs w:val="22"/>
        </w:rPr>
        <w:t>乡</w:t>
      </w:r>
      <w:r>
        <w:rPr>
          <w:rFonts w:ascii="微软雅黑" w:hAnsi="微软雅黑" w:eastAsia="微软雅黑" w:cs="微软雅黑"/>
          <w:color w:val="231F20"/>
          <w:spacing w:val="3"/>
          <w:sz w:val="22"/>
          <w:szCs w:val="22"/>
        </w:rPr>
        <w:t>活动的通知》《关于减征部分乘用车车辆购置税的公告》《关于搞活</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汽车流通 扩大汽车消费若干措施的通知》等一系列政策文件，</w:t>
      </w:r>
      <w:r>
        <w:rPr>
          <w:rFonts w:ascii="微软雅黑" w:hAnsi="微软雅黑" w:eastAsia="微软雅黑" w:cs="微软雅黑"/>
          <w:color w:val="231F20"/>
          <w:spacing w:val="-1"/>
          <w:sz w:val="22"/>
          <w:szCs w:val="22"/>
        </w:rPr>
        <w:t>着力通过放宽汽车限购、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补贴延长、免征购置税、开展汽车下乡、车辆以旧换新、丰富汽车金融服务等措</w:t>
      </w:r>
      <w:r>
        <w:rPr>
          <w:rFonts w:ascii="微软雅黑" w:hAnsi="微软雅黑" w:eastAsia="微软雅黑" w:cs="微软雅黑"/>
          <w:color w:val="231F20"/>
          <w:spacing w:val="2"/>
          <w:sz w:val="22"/>
          <w:szCs w:val="22"/>
        </w:rPr>
        <w:t>施</w:t>
      </w:r>
      <w:r>
        <w:rPr>
          <w:rFonts w:ascii="微软雅黑" w:hAnsi="微软雅黑" w:eastAsia="微软雅黑" w:cs="微软雅黑"/>
          <w:color w:val="231F20"/>
          <w:sz w:val="22"/>
          <w:szCs w:val="22"/>
        </w:rPr>
        <w:t xml:space="preserve"> ，  </w:t>
      </w:r>
      <w:r>
        <w:rPr>
          <w:rFonts w:ascii="微软雅黑" w:hAnsi="微软雅黑" w:eastAsia="微软雅黑" w:cs="微软雅黑"/>
          <w:color w:val="231F20"/>
          <w:spacing w:val="2"/>
          <w:sz w:val="22"/>
          <w:szCs w:val="22"/>
        </w:rPr>
        <w:t>促进汽车消费。这一系列汽车促消费措施的落地和实施 ，有助于进</w:t>
      </w:r>
      <w:r>
        <w:rPr>
          <w:rFonts w:ascii="微软雅黑" w:hAnsi="微软雅黑" w:eastAsia="微软雅黑" w:cs="微软雅黑"/>
          <w:color w:val="231F20"/>
          <w:spacing w:val="1"/>
          <w:sz w:val="22"/>
          <w:szCs w:val="22"/>
        </w:rPr>
        <w:t>一步扩大中国汽车</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消费市场空间，促进外资汽车企业持续投资中</w:t>
      </w:r>
      <w:r>
        <w:rPr>
          <w:rFonts w:ascii="微软雅黑" w:hAnsi="微软雅黑" w:eastAsia="微软雅黑" w:cs="微软雅黑"/>
          <w:color w:val="231F20"/>
          <w:sz w:val="22"/>
          <w:szCs w:val="22"/>
        </w:rPr>
        <w:t>国市场。</w:t>
      </w:r>
    </w:p>
    <w:p>
      <w:pPr>
        <w:spacing w:before="191" w:line="215" w:lineRule="auto"/>
        <w:ind w:left="2441"/>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4. </w:t>
      </w:r>
      <w:r>
        <w:rPr>
          <w:rFonts w:ascii="KaiTi" w:hAnsi="KaiTi" w:eastAsia="KaiTi" w:cs="KaiTi"/>
          <w:color w:val="015DAC"/>
          <w:spacing w:val="1"/>
          <w:sz w:val="22"/>
          <w:szCs w:val="22"/>
        </w:rPr>
        <w:t>行业制度规范更加公平健全，外资企业发展环境不断</w:t>
      </w:r>
      <w:r>
        <w:rPr>
          <w:rFonts w:ascii="KaiTi" w:hAnsi="KaiTi" w:eastAsia="KaiTi" w:cs="KaiTi"/>
          <w:color w:val="015DAC"/>
          <w:sz w:val="22"/>
          <w:szCs w:val="22"/>
        </w:rPr>
        <w:t>优化</w:t>
      </w:r>
    </w:p>
    <w:p>
      <w:pPr>
        <w:spacing w:line="266" w:lineRule="auto"/>
        <w:rPr>
          <w:rFonts w:ascii="Arial"/>
          <w:sz w:val="21"/>
        </w:rPr>
      </w:pPr>
    </w:p>
    <w:p>
      <w:pPr>
        <w:spacing w:before="95" w:line="263" w:lineRule="auto"/>
        <w:ind w:left="1993" w:right="1986" w:firstLine="451"/>
        <w:rPr>
          <w:rFonts w:ascii="微软雅黑" w:hAnsi="微软雅黑" w:eastAsia="微软雅黑" w:cs="微软雅黑"/>
          <w:sz w:val="22"/>
          <w:szCs w:val="22"/>
        </w:rPr>
      </w:pPr>
      <w:r>
        <w:rPr>
          <w:rFonts w:ascii="SimHei" w:hAnsi="SimHei" w:eastAsia="SimHei" w:cs="SimHei"/>
          <w:color w:val="231F20"/>
          <w:spacing w:val="4"/>
          <w:sz w:val="22"/>
          <w:szCs w:val="22"/>
        </w:rPr>
        <w:t>健全新能源汽车领域相关政</w:t>
      </w:r>
      <w:r>
        <w:rPr>
          <w:rFonts w:ascii="SimHei" w:hAnsi="SimHei" w:eastAsia="SimHei" w:cs="SimHei"/>
          <w:color w:val="231F20"/>
          <w:spacing w:val="3"/>
          <w:sz w:val="22"/>
          <w:szCs w:val="22"/>
        </w:rPr>
        <w:t>策</w:t>
      </w:r>
      <w:r>
        <w:rPr>
          <w:rFonts w:ascii="SimHei" w:hAnsi="SimHei" w:eastAsia="SimHei" w:cs="SimHei"/>
          <w:color w:val="231F20"/>
          <w:spacing w:val="2"/>
          <w:sz w:val="22"/>
          <w:szCs w:val="22"/>
        </w:rPr>
        <w:t xml:space="preserve">，确保内外资企业享受平等待遇。 </w:t>
      </w:r>
      <w:r>
        <w:rPr>
          <w:rFonts w:ascii="微软雅黑" w:hAnsi="微软雅黑" w:eastAsia="微软雅黑" w:cs="微软雅黑"/>
          <w:color w:val="231F20"/>
          <w:spacing w:val="2"/>
          <w:sz w:val="22"/>
          <w:szCs w:val="22"/>
        </w:rPr>
        <w:t xml:space="preserve">自 </w:t>
      </w:r>
      <w:r>
        <w:rPr>
          <w:rFonts w:ascii="Times New Roman" w:hAnsi="Times New Roman" w:eastAsia="Times New Roman" w:cs="Times New Roman"/>
          <w:color w:val="231F20"/>
          <w:spacing w:val="2"/>
          <w:sz w:val="22"/>
          <w:szCs w:val="22"/>
        </w:rPr>
        <w:t xml:space="preserve">2019 </w:t>
      </w:r>
      <w:r>
        <w:rPr>
          <w:rFonts w:ascii="微软雅黑" w:hAnsi="微软雅黑" w:eastAsia="微软雅黑" w:cs="微软雅黑"/>
          <w:color w:val="231F20"/>
          <w:spacing w:val="2"/>
          <w:sz w:val="22"/>
          <w:szCs w:val="22"/>
        </w:rPr>
        <w:t>年起，</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中国</w:t>
      </w:r>
      <w:r>
        <w:rPr>
          <w:rFonts w:ascii="微软雅黑" w:hAnsi="微软雅黑" w:eastAsia="微软雅黑" w:cs="微软雅黑"/>
          <w:color w:val="231F20"/>
          <w:spacing w:val="-2"/>
          <w:sz w:val="22"/>
          <w:szCs w:val="22"/>
        </w:rPr>
        <w:t>持续出台新能源领域相关政策，  内外资企业同等享受。</w:t>
      </w:r>
      <w:r>
        <w:rPr>
          <w:rFonts w:ascii="Times New Roman" w:hAnsi="Times New Roman" w:eastAsia="Times New Roman" w:cs="Times New Roman"/>
          <w:color w:val="231F20"/>
          <w:spacing w:val="-2"/>
          <w:sz w:val="22"/>
          <w:szCs w:val="22"/>
        </w:rPr>
        <w:t xml:space="preserve">2019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11 </w:t>
      </w:r>
      <w:r>
        <w:rPr>
          <w:rFonts w:ascii="微软雅黑" w:hAnsi="微软雅黑" w:eastAsia="微软雅黑" w:cs="微软雅黑"/>
          <w:color w:val="231F20"/>
          <w:spacing w:val="-2"/>
          <w:sz w:val="22"/>
          <w:szCs w:val="22"/>
        </w:rPr>
        <w:t xml:space="preserve">月 </w:t>
      </w:r>
      <w:r>
        <w:rPr>
          <w:rFonts w:ascii="Times New Roman" w:hAnsi="Times New Roman" w:eastAsia="Times New Roman" w:cs="Times New Roman"/>
          <w:color w:val="231F20"/>
          <w:spacing w:val="-2"/>
          <w:sz w:val="22"/>
          <w:szCs w:val="22"/>
        </w:rPr>
        <w:t xml:space="preserve">7 </w:t>
      </w:r>
      <w:r>
        <w:rPr>
          <w:rFonts w:ascii="微软雅黑" w:hAnsi="微软雅黑" w:eastAsia="微软雅黑" w:cs="微软雅黑"/>
          <w:color w:val="231F20"/>
          <w:spacing w:val="-2"/>
          <w:sz w:val="22"/>
          <w:szCs w:val="22"/>
        </w:rPr>
        <w:t>日，  国务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院印发《关于进</w:t>
      </w:r>
      <w:r>
        <w:rPr>
          <w:rFonts w:ascii="微软雅黑" w:hAnsi="微软雅黑" w:eastAsia="微软雅黑" w:cs="微软雅黑"/>
          <w:color w:val="231F20"/>
          <w:sz w:val="22"/>
          <w:szCs w:val="22"/>
        </w:rPr>
        <w:t xml:space="preserve">一步做好利用外资工作的意见》  ，要求各地区保障内外资汽车制造企 </w:t>
      </w:r>
      <w:r>
        <w:rPr>
          <w:rFonts w:ascii="微软雅黑" w:hAnsi="微软雅黑" w:eastAsia="微软雅黑" w:cs="微软雅黑"/>
          <w:color w:val="231F20"/>
          <w:spacing w:val="6"/>
          <w:sz w:val="22"/>
          <w:szCs w:val="22"/>
        </w:rPr>
        <w:t>业生产的新能源汽</w:t>
      </w:r>
      <w:r>
        <w:rPr>
          <w:rFonts w:ascii="微软雅黑" w:hAnsi="微软雅黑" w:eastAsia="微软雅黑" w:cs="微软雅黑"/>
          <w:color w:val="231F20"/>
          <w:spacing w:val="5"/>
          <w:sz w:val="22"/>
          <w:szCs w:val="22"/>
        </w:rPr>
        <w:t>车</w:t>
      </w:r>
      <w:r>
        <w:rPr>
          <w:rFonts w:ascii="微软雅黑" w:hAnsi="微软雅黑" w:eastAsia="微软雅黑" w:cs="微软雅黑"/>
          <w:color w:val="231F20"/>
          <w:spacing w:val="3"/>
          <w:sz w:val="22"/>
          <w:szCs w:val="22"/>
        </w:rPr>
        <w:t>享受同等市场准入待遇。</w:t>
      </w:r>
      <w:r>
        <w:rPr>
          <w:rFonts w:ascii="Times New Roman" w:hAnsi="Times New Roman" w:eastAsia="Times New Roman" w:cs="Times New Roman"/>
          <w:color w:val="231F20"/>
          <w:spacing w:val="3"/>
          <w:sz w:val="22"/>
          <w:szCs w:val="22"/>
        </w:rPr>
        <w:t xml:space="preserve">2019 </w:t>
      </w:r>
      <w:r>
        <w:rPr>
          <w:rFonts w:ascii="微软雅黑" w:hAnsi="微软雅黑" w:eastAsia="微软雅黑" w:cs="微软雅黑"/>
          <w:color w:val="231F20"/>
          <w:spacing w:val="3"/>
          <w:sz w:val="22"/>
          <w:szCs w:val="22"/>
        </w:rPr>
        <w:t xml:space="preserve">年 </w:t>
      </w:r>
      <w:r>
        <w:rPr>
          <w:rFonts w:ascii="Times New Roman" w:hAnsi="Times New Roman" w:eastAsia="Times New Roman" w:cs="Times New Roman"/>
          <w:color w:val="231F20"/>
          <w:spacing w:val="3"/>
          <w:sz w:val="22"/>
          <w:szCs w:val="22"/>
        </w:rPr>
        <w:t xml:space="preserve">12 </w:t>
      </w:r>
      <w:r>
        <w:rPr>
          <w:rFonts w:ascii="微软雅黑" w:hAnsi="微软雅黑" w:eastAsia="微软雅黑" w:cs="微软雅黑"/>
          <w:color w:val="231F20"/>
          <w:spacing w:val="3"/>
          <w:sz w:val="22"/>
          <w:szCs w:val="22"/>
        </w:rPr>
        <w:t xml:space="preserve">月 </w:t>
      </w:r>
      <w:r>
        <w:rPr>
          <w:rFonts w:ascii="Times New Roman" w:hAnsi="Times New Roman" w:eastAsia="Times New Roman" w:cs="Times New Roman"/>
          <w:color w:val="231F20"/>
          <w:spacing w:val="3"/>
          <w:sz w:val="22"/>
          <w:szCs w:val="22"/>
        </w:rPr>
        <w:t xml:space="preserve">6 </w:t>
      </w:r>
      <w:r>
        <w:rPr>
          <w:rFonts w:ascii="微软雅黑" w:hAnsi="微软雅黑" w:eastAsia="微软雅黑" w:cs="微软雅黑"/>
          <w:color w:val="231F20"/>
          <w:spacing w:val="3"/>
          <w:sz w:val="22"/>
          <w:szCs w:val="22"/>
        </w:rPr>
        <w:t>日发布的《新能源汽车</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89478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bookmarkStart w:id="40" w:name="_bookmark109"/>
      <w:bookmarkEnd w:id="40"/>
      <w:bookmarkStart w:id="41" w:name="_bookmark108"/>
      <w:bookmarkEnd w:id="41"/>
      <w:r>
        <w:rPr>
          <w:rFonts w:ascii="SimHei" w:hAnsi="SimHei" w:eastAsia="SimHei" w:cs="SimHei"/>
          <w:color w:val="1A67B3"/>
          <w:spacing w:val="36"/>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213" name="IM 213"/>
            <wp:cNvGraphicFramePr/>
            <a:graphic xmlns:a="http://schemas.openxmlformats.org/drawingml/2006/main">
              <a:graphicData uri="http://schemas.openxmlformats.org/drawingml/2006/picture">
                <pic:pic xmlns:pic="http://schemas.openxmlformats.org/drawingml/2006/picture">
                  <pic:nvPicPr>
                    <pic:cNvPr id="213" name="IM 213"/>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41</w:t>
      </w: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94" w:line="260" w:lineRule="auto"/>
        <w:ind w:left="1989" w:right="1892" w:firstLine="2"/>
        <w:rPr>
          <w:rFonts w:ascii="微软雅黑" w:hAnsi="微软雅黑" w:eastAsia="微软雅黑" w:cs="微软雅黑"/>
          <w:sz w:val="22"/>
          <w:szCs w:val="22"/>
        </w:rPr>
      </w:pPr>
      <w:r>
        <w:rPr>
          <w:rFonts w:ascii="微软雅黑" w:hAnsi="微软雅黑" w:eastAsia="微软雅黑" w:cs="微软雅黑"/>
          <w:color w:val="231F20"/>
          <w:sz w:val="22"/>
          <w:szCs w:val="22"/>
        </w:rPr>
        <w:t xml:space="preserve">推广应用推荐车型目录》  ，首次指明搭载了外资电池的新能源汽车能够获得新能源汽 </w:t>
      </w:r>
      <w:r>
        <w:rPr>
          <w:rFonts w:ascii="微软雅黑" w:hAnsi="微软雅黑" w:eastAsia="微软雅黑" w:cs="微软雅黑"/>
          <w:color w:val="231F20"/>
          <w:spacing w:val="-10"/>
          <w:sz w:val="22"/>
          <w:szCs w:val="22"/>
        </w:rPr>
        <w:t>车补贴，</w:t>
      </w:r>
      <w:r>
        <w:rPr>
          <w:rFonts w:ascii="微软雅黑" w:hAnsi="微软雅黑" w:eastAsia="微软雅黑" w:cs="微软雅黑"/>
          <w:color w:val="231F20"/>
          <w:spacing w:val="-7"/>
          <w:sz w:val="22"/>
          <w:szCs w:val="22"/>
        </w:rPr>
        <w:t>在</w:t>
      </w:r>
      <w:r>
        <w:rPr>
          <w:rFonts w:ascii="微软雅黑" w:hAnsi="微软雅黑" w:eastAsia="微软雅黑" w:cs="微软雅黑"/>
          <w:color w:val="231F20"/>
          <w:spacing w:val="-5"/>
          <w:sz w:val="22"/>
          <w:szCs w:val="22"/>
        </w:rPr>
        <w:t>此之前，只有搭载了“动力电池白名单”中电池的新能源汽车才能享受补贴。</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1"/>
          <w:sz w:val="22"/>
          <w:szCs w:val="22"/>
        </w:rPr>
        <w:t>2</w:t>
      </w:r>
      <w:r>
        <w:rPr>
          <w:rFonts w:ascii="Times New Roman" w:hAnsi="Times New Roman" w:eastAsia="Times New Roman" w:cs="Times New Roman"/>
          <w:color w:val="231F20"/>
          <w:sz w:val="22"/>
          <w:szCs w:val="22"/>
        </w:rPr>
        <w:t xml:space="preserve">020 </w:t>
      </w:r>
      <w:r>
        <w:rPr>
          <w:rFonts w:ascii="微软雅黑" w:hAnsi="微软雅黑" w:eastAsia="微软雅黑" w:cs="微软雅黑"/>
          <w:color w:val="231F20"/>
          <w:sz w:val="22"/>
          <w:szCs w:val="22"/>
        </w:rPr>
        <w:t xml:space="preserve">年 </w:t>
      </w:r>
      <w:r>
        <w:rPr>
          <w:rFonts w:ascii="Times New Roman" w:hAnsi="Times New Roman" w:eastAsia="Times New Roman" w:cs="Times New Roman"/>
          <w:color w:val="231F20"/>
          <w:sz w:val="22"/>
          <w:szCs w:val="22"/>
        </w:rPr>
        <w:t xml:space="preserve">6 </w:t>
      </w:r>
      <w:r>
        <w:rPr>
          <w:rFonts w:ascii="微软雅黑" w:hAnsi="微软雅黑" w:eastAsia="微软雅黑" w:cs="微软雅黑"/>
          <w:color w:val="231F20"/>
          <w:sz w:val="22"/>
          <w:szCs w:val="22"/>
        </w:rPr>
        <w:t xml:space="preserve">月 ，工业和信息化部发布的《关于修改〈乘用车企业平均燃料消耗量与新能 </w:t>
      </w:r>
      <w:r>
        <w:rPr>
          <w:rFonts w:ascii="微软雅黑" w:hAnsi="微软雅黑" w:eastAsia="微软雅黑" w:cs="微软雅黑"/>
          <w:color w:val="231F20"/>
          <w:spacing w:val="-6"/>
          <w:sz w:val="22"/>
          <w:szCs w:val="22"/>
        </w:rPr>
        <w:t>源汽</w:t>
      </w:r>
      <w:r>
        <w:rPr>
          <w:rFonts w:ascii="微软雅黑" w:hAnsi="微软雅黑" w:eastAsia="微软雅黑" w:cs="微软雅黑"/>
          <w:color w:val="231F20"/>
          <w:spacing w:val="-4"/>
          <w:sz w:val="22"/>
          <w:szCs w:val="22"/>
        </w:rPr>
        <w:t>车</w:t>
      </w:r>
      <w:r>
        <w:rPr>
          <w:rFonts w:ascii="微软雅黑" w:hAnsi="微软雅黑" w:eastAsia="微软雅黑" w:cs="微软雅黑"/>
          <w:color w:val="231F20"/>
          <w:spacing w:val="-3"/>
          <w:sz w:val="22"/>
          <w:szCs w:val="22"/>
        </w:rPr>
        <w:t>积分并行管理办法〉  的决定》  ，对现行的“双积分政策”进行了修订，放宽了</w:t>
      </w:r>
      <w:r>
        <w:rPr>
          <w:rFonts w:ascii="微软雅黑" w:hAnsi="微软雅黑" w:eastAsia="微软雅黑" w:cs="微软雅黑"/>
          <w:color w:val="231F20"/>
          <w:sz w:val="22"/>
          <w:szCs w:val="22"/>
        </w:rPr>
        <w:t xml:space="preserve"> 关联企业的认定要求 ，允许外资企业在华投资的整车企业间转让积分 ，使得外资及合 </w:t>
      </w:r>
      <w:r>
        <w:rPr>
          <w:rFonts w:ascii="微软雅黑" w:hAnsi="微软雅黑" w:eastAsia="微软雅黑" w:cs="微软雅黑"/>
          <w:color w:val="231F20"/>
          <w:spacing w:val="1"/>
          <w:sz w:val="22"/>
          <w:szCs w:val="22"/>
        </w:rPr>
        <w:t>资车企也能够通过积分转让的方式与内资企</w:t>
      </w:r>
      <w:r>
        <w:rPr>
          <w:rFonts w:ascii="微软雅黑" w:hAnsi="微软雅黑" w:eastAsia="微软雅黑" w:cs="微软雅黑"/>
          <w:color w:val="231F20"/>
          <w:sz w:val="22"/>
          <w:szCs w:val="22"/>
        </w:rPr>
        <w:t>业平等竞争。</w:t>
      </w:r>
    </w:p>
    <w:p>
      <w:pPr>
        <w:spacing w:before="172" w:line="260" w:lineRule="auto"/>
        <w:ind w:left="1984" w:right="1985" w:firstLine="476"/>
        <w:rPr>
          <w:rFonts w:ascii="微软雅黑" w:hAnsi="微软雅黑" w:eastAsia="微软雅黑" w:cs="微软雅黑"/>
          <w:sz w:val="22"/>
          <w:szCs w:val="22"/>
        </w:rPr>
      </w:pPr>
      <w:r>
        <w:rPr>
          <w:rFonts w:ascii="SimHei" w:hAnsi="SimHei" w:eastAsia="SimHei" w:cs="SimHei"/>
          <w:color w:val="231F20"/>
          <w:spacing w:val="3"/>
          <w:sz w:val="22"/>
          <w:szCs w:val="22"/>
        </w:rPr>
        <w:t>出台汽车数据处理规范，保障外资企业合规经营。</w:t>
      </w:r>
      <w:r>
        <w:rPr>
          <w:rFonts w:ascii="微软雅黑" w:hAnsi="微软雅黑" w:eastAsia="微软雅黑" w:cs="微软雅黑"/>
          <w:color w:val="231F20"/>
          <w:spacing w:val="3"/>
          <w:sz w:val="22"/>
          <w:szCs w:val="22"/>
        </w:rPr>
        <w:t>随着新一代信息技术与汽</w:t>
      </w:r>
      <w:r>
        <w:rPr>
          <w:rFonts w:ascii="微软雅黑" w:hAnsi="微软雅黑" w:eastAsia="微软雅黑" w:cs="微软雅黑"/>
          <w:color w:val="231F20"/>
          <w:sz w:val="22"/>
          <w:szCs w:val="22"/>
        </w:rPr>
        <w:t xml:space="preserve">车产 </w:t>
      </w:r>
      <w:r>
        <w:rPr>
          <w:rFonts w:ascii="微软雅黑" w:hAnsi="微软雅黑" w:eastAsia="微软雅黑" w:cs="微软雅黑"/>
          <w:color w:val="231F20"/>
          <w:spacing w:val="1"/>
          <w:sz w:val="22"/>
          <w:szCs w:val="22"/>
        </w:rPr>
        <w:t>业加</w:t>
      </w:r>
      <w:r>
        <w:rPr>
          <w:rFonts w:ascii="微软雅黑" w:hAnsi="微软雅黑" w:eastAsia="微软雅黑" w:cs="微软雅黑"/>
          <w:color w:val="231F20"/>
          <w:sz w:val="22"/>
          <w:szCs w:val="22"/>
        </w:rPr>
        <w:t xml:space="preserve">速融合 ，汽车数据处理能力日益增强 ，外资汽车制造企业对中国智能汽车、智能 </w:t>
      </w:r>
      <w:r>
        <w:rPr>
          <w:rFonts w:ascii="微软雅黑" w:hAnsi="微软雅黑" w:eastAsia="微软雅黑" w:cs="微软雅黑"/>
          <w:color w:val="231F20"/>
          <w:spacing w:val="-2"/>
          <w:sz w:val="22"/>
          <w:szCs w:val="22"/>
        </w:rPr>
        <w:t>网联汽车的投资也逐步增多，  由此产生了</w:t>
      </w:r>
      <w:r>
        <w:rPr>
          <w:rFonts w:ascii="微软雅黑" w:hAnsi="微软雅黑" w:eastAsia="微软雅黑" w:cs="微软雅黑"/>
          <w:color w:val="231F20"/>
          <w:spacing w:val="-1"/>
          <w:sz w:val="22"/>
          <w:szCs w:val="22"/>
        </w:rPr>
        <w:t>大量的汽车数据跨境传输需求。</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7 </w:t>
      </w:r>
      <w:r>
        <w:rPr>
          <w:rFonts w:ascii="微软雅黑" w:hAnsi="微软雅黑" w:eastAsia="微软雅黑" w:cs="微软雅黑"/>
          <w:color w:val="231F20"/>
          <w:spacing w:val="-1"/>
          <w:sz w:val="22"/>
          <w:szCs w:val="22"/>
        </w:rPr>
        <w:t>月</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4"/>
          <w:sz w:val="22"/>
          <w:szCs w:val="22"/>
        </w:rPr>
        <w:t xml:space="preserve">5 </w:t>
      </w:r>
      <w:r>
        <w:rPr>
          <w:rFonts w:ascii="微软雅黑" w:hAnsi="微软雅黑" w:eastAsia="微软雅黑" w:cs="微软雅黑"/>
          <w:color w:val="231F20"/>
          <w:spacing w:val="-4"/>
          <w:sz w:val="22"/>
          <w:szCs w:val="22"/>
        </w:rPr>
        <w:t>日，  中</w:t>
      </w:r>
      <w:r>
        <w:rPr>
          <w:rFonts w:ascii="微软雅黑" w:hAnsi="微软雅黑" w:eastAsia="微软雅黑" w:cs="微软雅黑"/>
          <w:color w:val="231F20"/>
          <w:spacing w:val="-2"/>
          <w:sz w:val="22"/>
          <w:szCs w:val="22"/>
        </w:rPr>
        <w:t>国出台《汽车数据安全管理若干规定 ( 试行 )  》，  明确规定汽车重要数据应</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当依法在境内存储 ，对于因业务需要确需向境外提供重要</w:t>
      </w:r>
      <w:r>
        <w:rPr>
          <w:rFonts w:ascii="微软雅黑" w:hAnsi="微软雅黑" w:eastAsia="微软雅黑" w:cs="微软雅黑"/>
          <w:color w:val="231F20"/>
          <w:spacing w:val="-1"/>
          <w:sz w:val="22"/>
          <w:szCs w:val="22"/>
        </w:rPr>
        <w:t>数据的情况，  明确了外资和</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合资企业数据处理及跨境传输的合规义务 ，有利于促进外资企业合规经</w:t>
      </w:r>
      <w:r>
        <w:rPr>
          <w:rFonts w:ascii="微软雅黑" w:hAnsi="微软雅黑" w:eastAsia="微软雅黑" w:cs="微软雅黑"/>
          <w:color w:val="231F20"/>
          <w:sz w:val="22"/>
          <w:szCs w:val="22"/>
        </w:rPr>
        <w:t>营。</w:t>
      </w:r>
    </w:p>
    <w:p>
      <w:pPr>
        <w:spacing w:before="177" w:line="259" w:lineRule="auto"/>
        <w:ind w:left="1969" w:right="1861" w:firstLine="476"/>
        <w:rPr>
          <w:rFonts w:ascii="微软雅黑" w:hAnsi="微软雅黑" w:eastAsia="微软雅黑" w:cs="微软雅黑"/>
          <w:sz w:val="22"/>
          <w:szCs w:val="22"/>
        </w:rPr>
      </w:pPr>
      <w:r>
        <w:rPr>
          <w:rFonts w:ascii="SimHei" w:hAnsi="SimHei" w:eastAsia="SimHei" w:cs="SimHei"/>
          <w:color w:val="231F20"/>
          <w:spacing w:val="6"/>
          <w:sz w:val="22"/>
          <w:szCs w:val="22"/>
        </w:rPr>
        <w:t>制定智</w:t>
      </w:r>
      <w:r>
        <w:rPr>
          <w:rFonts w:ascii="SimHei" w:hAnsi="SimHei" w:eastAsia="SimHei" w:cs="SimHei"/>
          <w:color w:val="231F20"/>
          <w:spacing w:val="4"/>
          <w:sz w:val="22"/>
          <w:szCs w:val="22"/>
        </w:rPr>
        <w:t>能</w:t>
      </w:r>
      <w:r>
        <w:rPr>
          <w:rFonts w:ascii="SimHei" w:hAnsi="SimHei" w:eastAsia="SimHei" w:cs="SimHei"/>
          <w:color w:val="231F20"/>
          <w:spacing w:val="3"/>
          <w:sz w:val="22"/>
          <w:szCs w:val="22"/>
        </w:rPr>
        <w:t>网联汽车标准规范，促进外资企业合规发展。</w:t>
      </w:r>
      <w:r>
        <w:rPr>
          <w:rFonts w:ascii="微软雅黑" w:hAnsi="微软雅黑" w:eastAsia="微软雅黑" w:cs="微软雅黑"/>
          <w:color w:val="231F20"/>
          <w:spacing w:val="3"/>
          <w:sz w:val="22"/>
          <w:szCs w:val="22"/>
        </w:rPr>
        <w:t>智能网联汽车是新一代信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息技术与汽</w:t>
      </w:r>
      <w:r>
        <w:rPr>
          <w:rFonts w:ascii="微软雅黑" w:hAnsi="微软雅黑" w:eastAsia="微软雅黑" w:cs="微软雅黑"/>
          <w:color w:val="231F20"/>
          <w:spacing w:val="2"/>
          <w:sz w:val="22"/>
          <w:szCs w:val="22"/>
        </w:rPr>
        <w:t>车产业融合发展的产物 ，是全球汽车产业发展的新兴领域和战略方向。为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了完善智能网联汽车的政策体系，</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  中国先后出台了《国家车</w:t>
      </w:r>
      <w:r>
        <w:rPr>
          <w:rFonts w:ascii="微软雅黑" w:hAnsi="微软雅黑" w:eastAsia="微软雅黑" w:cs="微软雅黑"/>
          <w:color w:val="231F20"/>
          <w:sz w:val="22"/>
          <w:szCs w:val="22"/>
        </w:rPr>
        <w:t xml:space="preserve">联网产业标准体  </w:t>
      </w:r>
      <w:r>
        <w:rPr>
          <w:rFonts w:ascii="微软雅黑" w:hAnsi="微软雅黑" w:eastAsia="微软雅黑" w:cs="微软雅黑"/>
          <w:color w:val="231F20"/>
          <w:spacing w:val="1"/>
          <w:sz w:val="22"/>
          <w:szCs w:val="22"/>
        </w:rPr>
        <w:t>系建设指南( 智能交通相关 ) 》《智能网联汽车道路测试与示</w:t>
      </w:r>
      <w:r>
        <w:rPr>
          <w:rFonts w:ascii="微软雅黑" w:hAnsi="微软雅黑" w:eastAsia="微软雅黑" w:cs="微软雅黑"/>
          <w:color w:val="231F20"/>
          <w:sz w:val="22"/>
          <w:szCs w:val="22"/>
        </w:rPr>
        <w:t xml:space="preserve">范应用管理规范( 试行 ) 》 </w:t>
      </w:r>
      <w:r>
        <w:rPr>
          <w:rFonts w:ascii="微软雅黑" w:hAnsi="微软雅黑" w:eastAsia="微软雅黑" w:cs="微软雅黑"/>
          <w:color w:val="231F20"/>
          <w:spacing w:val="4"/>
          <w:sz w:val="22"/>
          <w:szCs w:val="22"/>
        </w:rPr>
        <w:t>《关于加强</w:t>
      </w:r>
      <w:r>
        <w:rPr>
          <w:rFonts w:ascii="微软雅黑" w:hAnsi="微软雅黑" w:eastAsia="微软雅黑" w:cs="微软雅黑"/>
          <w:color w:val="231F20"/>
          <w:spacing w:val="2"/>
          <w:sz w:val="22"/>
          <w:szCs w:val="22"/>
        </w:rPr>
        <w:t>智能网联汽车生产企业及产品准入管理的意见》等系列文件 ，对智能网联</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汽车的</w:t>
      </w:r>
      <w:r>
        <w:rPr>
          <w:rFonts w:ascii="微软雅黑" w:hAnsi="微软雅黑" w:eastAsia="微软雅黑" w:cs="微软雅黑"/>
          <w:color w:val="231F20"/>
          <w:spacing w:val="3"/>
          <w:sz w:val="22"/>
          <w:szCs w:val="22"/>
        </w:rPr>
        <w:t>产</w:t>
      </w:r>
      <w:r>
        <w:rPr>
          <w:rFonts w:ascii="微软雅黑" w:hAnsi="微软雅黑" w:eastAsia="微软雅黑" w:cs="微软雅黑"/>
          <w:color w:val="231F20"/>
          <w:spacing w:val="2"/>
          <w:sz w:val="22"/>
          <w:szCs w:val="22"/>
        </w:rPr>
        <w:t>业标准、研发验证、行业准入等方面进行了规范 ，有利于促进内外资企业规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范发展智能网联汽车。</w:t>
      </w:r>
    </w:p>
    <w:p>
      <w:pPr>
        <w:spacing w:before="177"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0"/>
          <w:sz w:val="24"/>
          <w:szCs w:val="24"/>
        </w:rPr>
        <w:t>二) 利用外资情况</w:t>
      </w:r>
    </w:p>
    <w:p>
      <w:pPr>
        <w:spacing w:before="331" w:line="260" w:lineRule="auto"/>
        <w:ind w:left="1994" w:right="1914" w:firstLine="449"/>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尽管近两年受疫情影响，  中国汽</w:t>
      </w:r>
      <w:r>
        <w:rPr>
          <w:rFonts w:ascii="微软雅黑" w:hAnsi="微软雅黑" w:eastAsia="微软雅黑" w:cs="微软雅黑"/>
          <w:color w:val="231F20"/>
          <w:sz w:val="22"/>
          <w:szCs w:val="22"/>
        </w:rPr>
        <w:t xml:space="preserve">车产业供应链受到较大冲击，但中国作为全球最 </w:t>
      </w:r>
      <w:r>
        <w:rPr>
          <w:rFonts w:ascii="微软雅黑" w:hAnsi="微软雅黑" w:eastAsia="微软雅黑" w:cs="微软雅黑"/>
          <w:color w:val="231F20"/>
          <w:spacing w:val="2"/>
          <w:sz w:val="22"/>
          <w:szCs w:val="22"/>
        </w:rPr>
        <w:t>大的汽车消费市场 ，对外资汽车企业尤其是新能源</w:t>
      </w:r>
      <w:r>
        <w:rPr>
          <w:rFonts w:ascii="微软雅黑" w:hAnsi="微软雅黑" w:eastAsia="微软雅黑" w:cs="微软雅黑"/>
          <w:color w:val="231F20"/>
          <w:spacing w:val="1"/>
          <w:sz w:val="22"/>
          <w:szCs w:val="22"/>
        </w:rPr>
        <w:t>汽车企业仍具有较大吸引力。</w:t>
      </w:r>
      <w:r>
        <w:rPr>
          <w:rFonts w:ascii="Times New Roman" w:hAnsi="Times New Roman" w:eastAsia="Times New Roman" w:cs="Times New Roman"/>
          <w:color w:val="231F20"/>
          <w:spacing w:val="1"/>
          <w:sz w:val="22"/>
          <w:szCs w:val="22"/>
        </w:rPr>
        <w:t>2021</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10"/>
          <w:sz w:val="22"/>
          <w:szCs w:val="22"/>
        </w:rPr>
        <w:t>年，  中国</w:t>
      </w:r>
      <w:r>
        <w:rPr>
          <w:rFonts w:ascii="微软雅黑" w:hAnsi="微软雅黑" w:eastAsia="微软雅黑" w:cs="微软雅黑"/>
          <w:color w:val="231F20"/>
          <w:spacing w:val="-5"/>
          <w:sz w:val="22"/>
          <w:szCs w:val="22"/>
        </w:rPr>
        <w:t xml:space="preserve">汽车产销分别完成 </w:t>
      </w:r>
      <w:r>
        <w:rPr>
          <w:rFonts w:ascii="Times New Roman" w:hAnsi="Times New Roman" w:eastAsia="Times New Roman" w:cs="Times New Roman"/>
          <w:color w:val="231F20"/>
          <w:spacing w:val="-5"/>
          <w:sz w:val="22"/>
          <w:szCs w:val="22"/>
        </w:rPr>
        <w:t xml:space="preserve">2608.2 </w:t>
      </w:r>
      <w:r>
        <w:rPr>
          <w:rFonts w:ascii="微软雅黑" w:hAnsi="微软雅黑" w:eastAsia="微软雅黑" w:cs="微软雅黑"/>
          <w:color w:val="231F20"/>
          <w:spacing w:val="-5"/>
          <w:sz w:val="22"/>
          <w:szCs w:val="22"/>
        </w:rPr>
        <w:t xml:space="preserve">万辆和 </w:t>
      </w:r>
      <w:r>
        <w:rPr>
          <w:rFonts w:ascii="Times New Roman" w:hAnsi="Times New Roman" w:eastAsia="Times New Roman" w:cs="Times New Roman"/>
          <w:color w:val="231F20"/>
          <w:spacing w:val="-5"/>
          <w:sz w:val="22"/>
          <w:szCs w:val="22"/>
        </w:rPr>
        <w:t xml:space="preserve">2627.5 </w:t>
      </w:r>
      <w:r>
        <w:rPr>
          <w:rFonts w:ascii="微软雅黑" w:hAnsi="微软雅黑" w:eastAsia="微软雅黑" w:cs="微软雅黑"/>
          <w:color w:val="231F20"/>
          <w:spacing w:val="-5"/>
          <w:sz w:val="22"/>
          <w:szCs w:val="22"/>
        </w:rPr>
        <w:t xml:space="preserve">万辆，  同比增长 </w:t>
      </w:r>
      <w:r>
        <w:rPr>
          <w:rFonts w:ascii="Times New Roman" w:hAnsi="Times New Roman" w:eastAsia="Times New Roman" w:cs="Times New Roman"/>
          <w:color w:val="231F20"/>
          <w:spacing w:val="-5"/>
          <w:sz w:val="22"/>
          <w:szCs w:val="22"/>
        </w:rPr>
        <w:t xml:space="preserve">3.4% </w:t>
      </w:r>
      <w:r>
        <w:rPr>
          <w:rFonts w:ascii="微软雅黑" w:hAnsi="微软雅黑" w:eastAsia="微软雅黑" w:cs="微软雅黑"/>
          <w:color w:val="231F20"/>
          <w:spacing w:val="-5"/>
          <w:sz w:val="22"/>
          <w:szCs w:val="22"/>
        </w:rPr>
        <w:t xml:space="preserve">和 </w:t>
      </w:r>
      <w:r>
        <w:rPr>
          <w:rFonts w:ascii="Times New Roman" w:hAnsi="Times New Roman" w:eastAsia="Times New Roman" w:cs="Times New Roman"/>
          <w:color w:val="231F20"/>
          <w:spacing w:val="-5"/>
          <w:sz w:val="22"/>
          <w:szCs w:val="22"/>
        </w:rPr>
        <w:t xml:space="preserve">3.8% </w:t>
      </w:r>
      <w:r>
        <w:rPr>
          <w:rFonts w:ascii="微软雅黑" w:hAnsi="微软雅黑" w:eastAsia="微软雅黑" w:cs="微软雅黑"/>
          <w:color w:val="231F20"/>
          <w:spacing w:val="-5"/>
          <w:sz w:val="22"/>
          <w:szCs w:val="22"/>
        </w:rPr>
        <w:t>，结束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了近三年的下降趋势，反映出中国作为全球最大的单一</w:t>
      </w:r>
      <w:r>
        <w:rPr>
          <w:rFonts w:ascii="微软雅黑" w:hAnsi="微软雅黑" w:eastAsia="微软雅黑" w:cs="微软雅黑"/>
          <w:color w:val="231F20"/>
          <w:sz w:val="22"/>
          <w:szCs w:val="22"/>
        </w:rPr>
        <w:t xml:space="preserve">新车市场仍具有巨大增长潜力， </w:t>
      </w:r>
      <w:r>
        <w:rPr>
          <w:rFonts w:ascii="微软雅黑" w:hAnsi="微软雅黑" w:eastAsia="微软雅黑" w:cs="微软雅黑"/>
          <w:color w:val="231F20"/>
          <w:spacing w:val="1"/>
          <w:sz w:val="22"/>
          <w:szCs w:val="22"/>
        </w:rPr>
        <w:t>中国仍是跨国</w:t>
      </w:r>
      <w:r>
        <w:rPr>
          <w:rFonts w:ascii="微软雅黑" w:hAnsi="微软雅黑" w:eastAsia="微软雅黑" w:cs="微软雅黑"/>
          <w:color w:val="231F20"/>
          <w:sz w:val="22"/>
          <w:szCs w:val="22"/>
        </w:rPr>
        <w:t>车企投资的主要目的地。</w:t>
      </w:r>
    </w:p>
    <w:p>
      <w:pPr>
        <w:spacing w:before="190" w:line="217" w:lineRule="auto"/>
        <w:ind w:left="2463"/>
        <w:rPr>
          <w:rFonts w:ascii="KaiTi" w:hAnsi="KaiTi" w:eastAsia="KaiTi" w:cs="KaiTi"/>
          <w:sz w:val="22"/>
          <w:szCs w:val="22"/>
        </w:rPr>
      </w:pPr>
      <w:r>
        <w:rPr>
          <w:rFonts w:ascii="Times New Roman" w:hAnsi="Times New Roman" w:eastAsia="Times New Roman" w:cs="Times New Roman"/>
          <w:color w:val="015DAC"/>
          <w:spacing w:val="-1"/>
          <w:sz w:val="22"/>
          <w:szCs w:val="22"/>
        </w:rPr>
        <w:t>1.</w:t>
      </w:r>
      <w:r>
        <w:rPr>
          <w:rFonts w:ascii="Times New Roman" w:hAnsi="Times New Roman" w:eastAsia="Times New Roman" w:cs="Times New Roman"/>
          <w:color w:val="015DAC"/>
          <w:sz w:val="22"/>
          <w:szCs w:val="22"/>
        </w:rPr>
        <w:t xml:space="preserve"> </w:t>
      </w:r>
      <w:r>
        <w:rPr>
          <w:rFonts w:ascii="KaiTi" w:hAnsi="KaiTi" w:eastAsia="KaiTi" w:cs="KaiTi"/>
          <w:color w:val="015DAC"/>
          <w:sz w:val="22"/>
          <w:szCs w:val="22"/>
        </w:rPr>
        <w:t>外资汽车企业对中国汽车市场的投资持续加码</w:t>
      </w:r>
    </w:p>
    <w:p>
      <w:pPr>
        <w:spacing w:line="263" w:lineRule="auto"/>
        <w:rPr>
          <w:rFonts w:ascii="Arial"/>
          <w:sz w:val="21"/>
        </w:rPr>
      </w:pPr>
    </w:p>
    <w:p>
      <w:pPr>
        <w:spacing w:before="95" w:line="272" w:lineRule="auto"/>
        <w:ind w:left="1997" w:right="1981" w:firstLine="456"/>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近年来 ，</w:t>
      </w:r>
      <w:r>
        <w:rPr>
          <w:rFonts w:ascii="微软雅黑" w:hAnsi="微软雅黑" w:eastAsia="微软雅黑" w:cs="微软雅黑"/>
          <w:color w:val="231F20"/>
          <w:spacing w:val="-2"/>
          <w:sz w:val="22"/>
          <w:szCs w:val="22"/>
        </w:rPr>
        <w:t>为降低成本 ，提升供应链运作的安全与效率 ，跨国汽车整车生产企业纷</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纷通过零部件采购本土化或者投资本土汽车科技企业等 ，完善在华汽车供应链布局</w:t>
      </w:r>
      <w:r>
        <w:rPr>
          <w:rFonts w:ascii="微软雅黑" w:hAnsi="微软雅黑" w:eastAsia="微软雅黑" w:cs="微软雅黑"/>
          <w:color w:val="231F20"/>
          <w:sz w:val="22"/>
          <w:szCs w:val="22"/>
        </w:rPr>
        <w:t>。</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89580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15" name="IM 215"/>
            <wp:cNvGraphicFramePr/>
            <a:graphic xmlns:a="http://schemas.openxmlformats.org/drawingml/2006/main">
              <a:graphicData uri="http://schemas.openxmlformats.org/drawingml/2006/picture">
                <pic:pic xmlns:pic="http://schemas.openxmlformats.org/drawingml/2006/picture">
                  <pic:nvPicPr>
                    <pic:cNvPr id="215" name="IM 215"/>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0"/>
        <w:rPr>
          <w:rFonts w:ascii="SimHei" w:hAnsi="SimHei" w:eastAsia="SimHei" w:cs="SimHei"/>
          <w:sz w:val="21"/>
          <w:szCs w:val="21"/>
        </w:rPr>
      </w:pPr>
      <w:r>
        <w:rPr>
          <w:rFonts w:ascii="Arial" w:hAnsi="Arial" w:eastAsia="Arial" w:cs="Arial"/>
          <w:color w:val="231F20"/>
          <w:spacing w:val="22"/>
          <w:sz w:val="20"/>
          <w:szCs w:val="20"/>
        </w:rPr>
        <w:t xml:space="preserve">42  </w:t>
      </w:r>
      <w:r>
        <w:rPr>
          <w:position w:val="-5"/>
          <w:sz w:val="20"/>
          <w:szCs w:val="20"/>
        </w:rPr>
        <w:drawing>
          <wp:inline distT="0" distB="0" distL="0" distR="0">
            <wp:extent cx="3175" cy="14732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2"/>
          <w:sz w:val="20"/>
          <w:szCs w:val="20"/>
        </w:rPr>
        <w:t xml:space="preserve">   </w:t>
      </w:r>
      <w:r>
        <w:rPr>
          <w:rFonts w:ascii="宋体" w:hAnsi="宋体" w:eastAsia="宋体" w:cs="宋体"/>
          <w:color w:val="537DBF"/>
          <w:spacing w:val="22"/>
          <w:sz w:val="21"/>
          <w:szCs w:val="21"/>
        </w:rPr>
        <w:t xml:space="preserve">中国外商投资报告 2022 </w:t>
      </w:r>
      <w:r>
        <w:rPr>
          <w:position w:val="-5"/>
          <w:sz w:val="21"/>
          <w:szCs w:val="21"/>
        </w:rPr>
        <w:drawing>
          <wp:inline distT="0" distB="0" distL="0" distR="0">
            <wp:extent cx="3175" cy="147320"/>
            <wp:effectExtent l="0" t="0" r="0" b="0"/>
            <wp:docPr id="217" name="IM 217"/>
            <wp:cNvGraphicFramePr/>
            <a:graphic xmlns:a="http://schemas.openxmlformats.org/drawingml/2006/main">
              <a:graphicData uri="http://schemas.openxmlformats.org/drawingml/2006/picture">
                <pic:pic xmlns:pic="http://schemas.openxmlformats.org/drawingml/2006/picture">
                  <pic:nvPicPr>
                    <pic:cNvPr id="217" name="IM 217"/>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2"/>
          <w:sz w:val="21"/>
          <w:szCs w:val="21"/>
        </w:rPr>
        <w:t xml:space="preserve">  </w:t>
      </w:r>
      <w:r>
        <w:rPr>
          <w:rFonts w:ascii="SimHei" w:hAnsi="SimHei" w:eastAsia="SimHei" w:cs="SimHei"/>
          <w:color w:val="1A67B3"/>
          <w:spacing w:val="22"/>
          <w:sz w:val="21"/>
          <w:szCs w:val="21"/>
          <w14:textOutline w14:w="3175" w14:cap="flat" w14:cmpd="sng">
            <w14:solidFill>
              <w14:srgbClr w14:val="1A67B3"/>
            </w14:solidFill>
            <w14:prstDash w14:val="solid"/>
            <w14:miter w14:val="0"/>
          </w14:textOutline>
        </w:rPr>
        <w:t>产业</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篇</w:t>
      </w: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94" w:line="263" w:lineRule="auto"/>
        <w:ind w:left="1992" w:right="1982" w:firstLine="452"/>
        <w:rPr>
          <w:rFonts w:ascii="微软雅黑" w:hAnsi="微软雅黑" w:eastAsia="微软雅黑" w:cs="微软雅黑"/>
          <w:sz w:val="22"/>
          <w:szCs w:val="22"/>
        </w:rPr>
      </w:pPr>
      <w:r>
        <w:rPr>
          <w:rFonts w:ascii="SimHei" w:hAnsi="SimHei" w:eastAsia="SimHei" w:cs="SimHei"/>
          <w:color w:val="231F20"/>
          <w:spacing w:val="6"/>
          <w:sz w:val="22"/>
          <w:szCs w:val="22"/>
        </w:rPr>
        <w:t>汽车零部</w:t>
      </w:r>
      <w:r>
        <w:rPr>
          <w:rFonts w:ascii="SimHei" w:hAnsi="SimHei" w:eastAsia="SimHei" w:cs="SimHei"/>
          <w:color w:val="231F20"/>
          <w:spacing w:val="4"/>
          <w:sz w:val="22"/>
          <w:szCs w:val="22"/>
        </w:rPr>
        <w:t>件</w:t>
      </w:r>
      <w:r>
        <w:rPr>
          <w:rFonts w:ascii="SimHei" w:hAnsi="SimHei" w:eastAsia="SimHei" w:cs="SimHei"/>
          <w:color w:val="231F20"/>
          <w:spacing w:val="3"/>
          <w:sz w:val="22"/>
          <w:szCs w:val="22"/>
        </w:rPr>
        <w:t>是外商投资的主要领域。</w:t>
      </w:r>
      <w:r>
        <w:rPr>
          <w:rFonts w:ascii="微软雅黑" w:hAnsi="微软雅黑" w:eastAsia="微软雅黑" w:cs="微软雅黑"/>
          <w:color w:val="231F20"/>
          <w:spacing w:val="3"/>
          <w:sz w:val="22"/>
          <w:szCs w:val="22"/>
        </w:rPr>
        <w:t>中国汽车零部件产业种类齐全、配套完整，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外资汽车零部件生产企业在中</w:t>
      </w:r>
      <w:r>
        <w:rPr>
          <w:rFonts w:ascii="微软雅黑" w:hAnsi="微软雅黑" w:eastAsia="微软雅黑" w:cs="微软雅黑"/>
          <w:color w:val="231F20"/>
          <w:spacing w:val="-1"/>
          <w:sz w:val="22"/>
          <w:szCs w:val="22"/>
        </w:rPr>
        <w:t>国零部件生产体系中扮演着重要角色。</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年以来，  中</w:t>
      </w:r>
      <w:r>
        <w:rPr>
          <w:rFonts w:ascii="微软雅黑" w:hAnsi="微软雅黑" w:eastAsia="微软雅黑" w:cs="微软雅黑"/>
          <w:color w:val="231F20"/>
          <w:sz w:val="22"/>
          <w:szCs w:val="22"/>
        </w:rPr>
        <w:t xml:space="preserve"> 国汽车产业链供应链逐步恢复 ，一些跨国零部件企业加快对华投资步伐 ，并将位于中 </w:t>
      </w:r>
      <w:r>
        <w:rPr>
          <w:rFonts w:ascii="微软雅黑" w:hAnsi="微软雅黑" w:eastAsia="微软雅黑" w:cs="微软雅黑"/>
          <w:color w:val="231F20"/>
          <w:spacing w:val="1"/>
          <w:sz w:val="22"/>
          <w:szCs w:val="22"/>
        </w:rPr>
        <w:t>国的生产基地打造为立足亚洲乃至辐射全球</w:t>
      </w:r>
      <w:r>
        <w:rPr>
          <w:rFonts w:ascii="微软雅黑" w:hAnsi="微软雅黑" w:eastAsia="微软雅黑" w:cs="微软雅黑"/>
          <w:color w:val="231F20"/>
          <w:sz w:val="22"/>
          <w:szCs w:val="22"/>
        </w:rPr>
        <w:t>的制造中心。</w:t>
      </w:r>
    </w:p>
    <w:p>
      <w:pPr>
        <w:spacing w:before="174" w:line="261" w:lineRule="auto"/>
        <w:ind w:left="1990" w:right="1981" w:firstLine="457"/>
        <w:rPr>
          <w:rFonts w:ascii="微软雅黑" w:hAnsi="微软雅黑" w:eastAsia="微软雅黑" w:cs="微软雅黑"/>
          <w:sz w:val="22"/>
          <w:szCs w:val="22"/>
        </w:rPr>
      </w:pPr>
      <w:r>
        <w:rPr>
          <w:rFonts w:ascii="SimHei" w:hAnsi="SimHei" w:eastAsia="SimHei" w:cs="SimHei"/>
          <w:color w:val="231F20"/>
          <w:spacing w:val="6"/>
          <w:sz w:val="22"/>
          <w:szCs w:val="22"/>
        </w:rPr>
        <w:t>新能源</w:t>
      </w:r>
      <w:r>
        <w:rPr>
          <w:rFonts w:ascii="SimHei" w:hAnsi="SimHei" w:eastAsia="SimHei" w:cs="SimHei"/>
          <w:color w:val="231F20"/>
          <w:spacing w:val="5"/>
          <w:sz w:val="22"/>
          <w:szCs w:val="22"/>
        </w:rPr>
        <w:t>汽</w:t>
      </w:r>
      <w:r>
        <w:rPr>
          <w:rFonts w:ascii="SimHei" w:hAnsi="SimHei" w:eastAsia="SimHei" w:cs="SimHei"/>
          <w:color w:val="231F20"/>
          <w:spacing w:val="3"/>
          <w:sz w:val="22"/>
          <w:szCs w:val="22"/>
        </w:rPr>
        <w:t>车是外商投资的新增长点。</w:t>
      </w:r>
      <w:r>
        <w:rPr>
          <w:rFonts w:ascii="微软雅黑" w:hAnsi="微软雅黑" w:eastAsia="微软雅黑" w:cs="微软雅黑"/>
          <w:color w:val="231F20"/>
          <w:spacing w:val="3"/>
          <w:sz w:val="22"/>
          <w:szCs w:val="22"/>
        </w:rPr>
        <w:t>在“碳达峰、碳中和”战略目标以及企稳向</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好的汽车市场驱动下，  中国新能源汽车产业迎</w:t>
      </w:r>
      <w:r>
        <w:rPr>
          <w:rFonts w:ascii="微软雅黑" w:hAnsi="微软雅黑" w:eastAsia="微软雅黑" w:cs="微软雅黑"/>
          <w:color w:val="231F20"/>
          <w:spacing w:val="-1"/>
          <w:sz w:val="22"/>
          <w:szCs w:val="22"/>
        </w:rPr>
        <w:t>来新的发展机遇 ，对跨国车企吸引力持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续攀升。</w:t>
      </w:r>
      <w:r>
        <w:rPr>
          <w:rFonts w:ascii="Times New Roman" w:hAnsi="Times New Roman" w:eastAsia="Times New Roman" w:cs="Times New Roman"/>
          <w:color w:val="231F20"/>
          <w:spacing w:val="4"/>
          <w:sz w:val="22"/>
          <w:szCs w:val="22"/>
        </w:rPr>
        <w:t xml:space="preserve">2017 </w:t>
      </w:r>
      <w:r>
        <w:rPr>
          <w:rFonts w:ascii="微软雅黑" w:hAnsi="微软雅黑" w:eastAsia="微软雅黑" w:cs="微软雅黑"/>
          <w:color w:val="231F20"/>
          <w:spacing w:val="4"/>
          <w:sz w:val="22"/>
          <w:szCs w:val="22"/>
        </w:rPr>
        <w:t>年、</w:t>
      </w:r>
      <w:r>
        <w:rPr>
          <w:rFonts w:ascii="Times New Roman" w:hAnsi="Times New Roman" w:eastAsia="Times New Roman" w:cs="Times New Roman"/>
          <w:color w:val="231F20"/>
          <w:spacing w:val="4"/>
          <w:sz w:val="22"/>
          <w:szCs w:val="22"/>
        </w:rPr>
        <w:t>2</w:t>
      </w:r>
      <w:r>
        <w:rPr>
          <w:rFonts w:ascii="Times New Roman" w:hAnsi="Times New Roman" w:eastAsia="Times New Roman" w:cs="Times New Roman"/>
          <w:color w:val="231F20"/>
          <w:spacing w:val="3"/>
          <w:sz w:val="22"/>
          <w:szCs w:val="22"/>
        </w:rPr>
        <w:t>0</w:t>
      </w:r>
      <w:r>
        <w:rPr>
          <w:rFonts w:ascii="Times New Roman" w:hAnsi="Times New Roman" w:eastAsia="Times New Roman" w:cs="Times New Roman"/>
          <w:color w:val="231F20"/>
          <w:spacing w:val="2"/>
          <w:sz w:val="22"/>
          <w:szCs w:val="22"/>
        </w:rPr>
        <w:t xml:space="preserve">18 </w:t>
      </w:r>
      <w:r>
        <w:rPr>
          <w:rFonts w:ascii="微软雅黑" w:hAnsi="微软雅黑" w:eastAsia="微软雅黑" w:cs="微软雅黑"/>
          <w:color w:val="231F20"/>
          <w:spacing w:val="2"/>
          <w:sz w:val="22"/>
          <w:szCs w:val="22"/>
        </w:rPr>
        <w:t>年，  中国分两步取消了外商投资新能源汽车企业数量限制和</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股比限</w:t>
      </w:r>
      <w:r>
        <w:rPr>
          <w:rFonts w:ascii="微软雅黑" w:hAnsi="微软雅黑" w:eastAsia="微软雅黑" w:cs="微软雅黑"/>
          <w:color w:val="231F20"/>
          <w:sz w:val="22"/>
          <w:szCs w:val="22"/>
        </w:rPr>
        <w:t xml:space="preserve">制后 ，一批外资整车制造企业大举进入中国市场 ，对中国新能源汽车产业的投 </w:t>
      </w:r>
      <w:r>
        <w:rPr>
          <w:rFonts w:ascii="微软雅黑" w:hAnsi="微软雅黑" w:eastAsia="微软雅黑" w:cs="微软雅黑"/>
          <w:color w:val="231F20"/>
          <w:spacing w:val="1"/>
          <w:sz w:val="22"/>
          <w:szCs w:val="22"/>
        </w:rPr>
        <w:t>资和布</w:t>
      </w:r>
      <w:r>
        <w:rPr>
          <w:rFonts w:ascii="微软雅黑" w:hAnsi="微软雅黑" w:eastAsia="微软雅黑" w:cs="微软雅黑"/>
          <w:color w:val="231F20"/>
          <w:sz w:val="22"/>
          <w:szCs w:val="22"/>
        </w:rPr>
        <w:t>局步伐加快。</w:t>
      </w:r>
    </w:p>
    <w:p>
      <w:pPr>
        <w:spacing w:before="172" w:line="266" w:lineRule="auto"/>
        <w:ind w:left="1999" w:right="1979" w:firstLine="447"/>
        <w:rPr>
          <w:rFonts w:ascii="微软雅黑" w:hAnsi="微软雅黑" w:eastAsia="微软雅黑" w:cs="微软雅黑"/>
          <w:sz w:val="22"/>
          <w:szCs w:val="22"/>
        </w:rPr>
      </w:pPr>
      <w:r>
        <w:rPr>
          <w:rFonts w:ascii="SimHei" w:hAnsi="SimHei" w:eastAsia="SimHei" w:cs="SimHei"/>
          <w:color w:val="231F20"/>
          <w:spacing w:val="2"/>
          <w:sz w:val="22"/>
          <w:szCs w:val="22"/>
        </w:rPr>
        <w:t>放宽准入限制为外资企业提供更多</w:t>
      </w:r>
      <w:r>
        <w:rPr>
          <w:rFonts w:ascii="SimHei" w:hAnsi="SimHei" w:eastAsia="SimHei" w:cs="SimHei"/>
          <w:color w:val="231F20"/>
          <w:spacing w:val="1"/>
          <w:sz w:val="22"/>
          <w:szCs w:val="22"/>
        </w:rPr>
        <w:t>发展机遇。</w:t>
      </w:r>
      <w:r>
        <w:rPr>
          <w:rFonts w:ascii="微软雅黑" w:hAnsi="微软雅黑" w:eastAsia="微软雅黑" w:cs="微软雅黑"/>
          <w:color w:val="231F20"/>
          <w:spacing w:val="1"/>
          <w:sz w:val="22"/>
          <w:szCs w:val="22"/>
        </w:rPr>
        <w:t>乘用车股比限制放开后 ，为深耕中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国的外资车企提供了巨大市场空间以及持续的增长潜</w:t>
      </w:r>
      <w:r>
        <w:rPr>
          <w:rFonts w:ascii="微软雅黑" w:hAnsi="微软雅黑" w:eastAsia="微软雅黑" w:cs="微软雅黑"/>
          <w:color w:val="231F20"/>
          <w:spacing w:val="1"/>
          <w:sz w:val="22"/>
          <w:szCs w:val="22"/>
        </w:rPr>
        <w:t>力 ，一些合资公司中的外国投资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方加</w:t>
      </w:r>
      <w:r>
        <w:rPr>
          <w:rFonts w:ascii="微软雅黑" w:hAnsi="微软雅黑" w:eastAsia="微软雅黑" w:cs="微软雅黑"/>
          <w:color w:val="231F20"/>
          <w:sz w:val="22"/>
          <w:szCs w:val="22"/>
        </w:rPr>
        <w:t>快在华投资进程。</w:t>
      </w:r>
    </w:p>
    <w:p>
      <w:pPr>
        <w:spacing w:before="178" w:line="217" w:lineRule="auto"/>
        <w:ind w:left="2447"/>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外资汽车企业持续加</w:t>
      </w:r>
      <w:r>
        <w:rPr>
          <w:rFonts w:ascii="KaiTi" w:hAnsi="KaiTi" w:eastAsia="KaiTi" w:cs="KaiTi"/>
          <w:color w:val="015DAC"/>
          <w:sz w:val="22"/>
          <w:szCs w:val="22"/>
        </w:rPr>
        <w:t>大技术研发</w:t>
      </w:r>
    </w:p>
    <w:p>
      <w:pPr>
        <w:spacing w:line="260" w:lineRule="auto"/>
        <w:rPr>
          <w:rFonts w:ascii="Arial"/>
          <w:sz w:val="21"/>
        </w:rPr>
      </w:pPr>
    </w:p>
    <w:p>
      <w:pPr>
        <w:spacing w:before="96" w:line="259" w:lineRule="auto"/>
        <w:ind w:left="1990" w:right="1978" w:firstLine="460"/>
        <w:rPr>
          <w:rFonts w:ascii="微软雅黑" w:hAnsi="微软雅黑" w:eastAsia="微软雅黑" w:cs="微软雅黑"/>
          <w:sz w:val="22"/>
          <w:szCs w:val="22"/>
        </w:rPr>
      </w:pPr>
      <w:r>
        <w:rPr>
          <w:rFonts w:ascii="SimHei" w:hAnsi="SimHei" w:eastAsia="SimHei" w:cs="SimHei"/>
          <w:color w:val="231F20"/>
          <w:spacing w:val="9"/>
          <w:sz w:val="22"/>
          <w:szCs w:val="22"/>
        </w:rPr>
        <w:t>从</w:t>
      </w:r>
      <w:r>
        <w:rPr>
          <w:rFonts w:ascii="SimHei" w:hAnsi="SimHei" w:eastAsia="SimHei" w:cs="SimHei"/>
          <w:color w:val="231F20"/>
          <w:spacing w:val="6"/>
          <w:sz w:val="22"/>
          <w:szCs w:val="22"/>
        </w:rPr>
        <w:t xml:space="preserve">汽车领域的发明专利情况看， </w:t>
      </w:r>
      <w:r>
        <w:rPr>
          <w:rFonts w:ascii="微软雅黑" w:hAnsi="微软雅黑" w:eastAsia="微软雅黑" w:cs="微软雅黑"/>
          <w:color w:val="231F20"/>
          <w:spacing w:val="6"/>
          <w:sz w:val="22"/>
          <w:szCs w:val="22"/>
        </w:rPr>
        <w:t>中国汽车专利申请主体以外资企业为主。</w:t>
      </w:r>
      <w:r>
        <w:rPr>
          <w:rFonts w:ascii="Times New Roman" w:hAnsi="Times New Roman" w:eastAsia="Times New Roman" w:cs="Times New Roman"/>
          <w:color w:val="231F20"/>
          <w:spacing w:val="6"/>
          <w:sz w:val="22"/>
          <w:szCs w:val="22"/>
        </w:rPr>
        <w:t>2021</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4"/>
          <w:sz w:val="22"/>
          <w:szCs w:val="22"/>
        </w:rPr>
        <w:t>年汽车发明专利公开量排名前五名中，  四名为外资企业。汽车合资体系中 ，汽车</w:t>
      </w:r>
      <w:r>
        <w:rPr>
          <w:rFonts w:ascii="微软雅黑" w:hAnsi="微软雅黑" w:eastAsia="微软雅黑" w:cs="微软雅黑"/>
          <w:color w:val="231F20"/>
          <w:spacing w:val="3"/>
          <w:sz w:val="22"/>
          <w:szCs w:val="22"/>
        </w:rPr>
        <w:t>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4"/>
          <w:sz w:val="22"/>
          <w:szCs w:val="22"/>
        </w:rPr>
        <w:t>础系统</w:t>
      </w:r>
      <w:r>
        <w:rPr>
          <w:rFonts w:ascii="微软雅黑" w:hAnsi="微软雅黑" w:eastAsia="微软雅黑" w:cs="微软雅黑"/>
          <w:color w:val="231F20"/>
          <w:spacing w:val="13"/>
          <w:sz w:val="22"/>
          <w:szCs w:val="22"/>
        </w:rPr>
        <w:t xml:space="preserve"> </w:t>
      </w:r>
      <w:r>
        <w:rPr>
          <w:rFonts w:ascii="微软雅黑" w:hAnsi="微软雅黑" w:eastAsia="微软雅黑" w:cs="微软雅黑"/>
          <w:color w:val="231F20"/>
          <w:spacing w:val="7"/>
          <w:sz w:val="22"/>
          <w:szCs w:val="22"/>
        </w:rPr>
        <w:t>、核心技术的设计和开发一般在母国进行或由中国的全资子公司负责。</w:t>
      </w:r>
      <w:r>
        <w:rPr>
          <w:rFonts w:ascii="SimHei" w:hAnsi="SimHei" w:eastAsia="SimHei" w:cs="SimHei"/>
          <w:color w:val="231F20"/>
          <w:spacing w:val="7"/>
          <w:sz w:val="22"/>
          <w:szCs w:val="22"/>
        </w:rPr>
        <w:t>从外</w:t>
      </w:r>
      <w:r>
        <w:rPr>
          <w:rFonts w:ascii="SimHei" w:hAnsi="SimHei" w:eastAsia="SimHei" w:cs="SimHei"/>
          <w:color w:val="231F20"/>
          <w:sz w:val="22"/>
          <w:szCs w:val="22"/>
        </w:rPr>
        <w:t xml:space="preserve"> </w:t>
      </w:r>
      <w:r>
        <w:rPr>
          <w:rFonts w:ascii="SimHei" w:hAnsi="SimHei" w:eastAsia="SimHei" w:cs="SimHei"/>
          <w:color w:val="231F20"/>
          <w:spacing w:val="1"/>
          <w:sz w:val="22"/>
          <w:szCs w:val="22"/>
        </w:rPr>
        <w:t xml:space="preserve">资汽车企业研发趋势来看， </w:t>
      </w:r>
      <w:r>
        <w:rPr>
          <w:rFonts w:ascii="微软雅黑" w:hAnsi="微软雅黑" w:eastAsia="微软雅黑" w:cs="微软雅黑"/>
          <w:color w:val="231F20"/>
          <w:spacing w:val="1"/>
          <w:sz w:val="22"/>
          <w:szCs w:val="22"/>
        </w:rPr>
        <w:t>跨国车企为了使理念和技术更</w:t>
      </w:r>
      <w:r>
        <w:rPr>
          <w:rFonts w:ascii="微软雅黑" w:hAnsi="微软雅黑" w:eastAsia="微软雅黑" w:cs="微软雅黑"/>
          <w:color w:val="231F20"/>
          <w:sz w:val="22"/>
          <w:szCs w:val="22"/>
        </w:rPr>
        <w:t xml:space="preserve">加贴合中国消费者的需求， </w:t>
      </w:r>
      <w:r>
        <w:rPr>
          <w:rFonts w:ascii="微软雅黑" w:hAnsi="微软雅黑" w:eastAsia="微软雅黑" w:cs="微软雅黑"/>
          <w:color w:val="231F20"/>
          <w:spacing w:val="6"/>
          <w:sz w:val="22"/>
          <w:szCs w:val="22"/>
        </w:rPr>
        <w:t>通过在中国设立研发中心或加强与本土企业合作的方式，  加快本土化转型的步伐</w:t>
      </w:r>
      <w:r>
        <w:rPr>
          <w:rFonts w:ascii="微软雅黑" w:hAnsi="微软雅黑" w:eastAsia="微软雅黑" w:cs="微软雅黑"/>
          <w:color w:val="231F20"/>
          <w:spacing w:val="4"/>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且</w:t>
      </w:r>
      <w:r>
        <w:rPr>
          <w:rFonts w:ascii="微软雅黑" w:hAnsi="微软雅黑" w:eastAsia="微软雅黑" w:cs="微软雅黑"/>
          <w:color w:val="231F20"/>
          <w:spacing w:val="4"/>
          <w:sz w:val="22"/>
          <w:szCs w:val="22"/>
        </w:rPr>
        <w:t>随着汽车行业电动化 、网联化 、智能化的变革加速 ，外资不再局限于传统内燃机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零部件的研发，  而是更多聚焦于电动汽车零部件 、软件等</w:t>
      </w:r>
      <w:r>
        <w:rPr>
          <w:rFonts w:ascii="微软雅黑" w:hAnsi="微软雅黑" w:eastAsia="微软雅黑" w:cs="微软雅黑"/>
          <w:color w:val="231F20"/>
          <w:sz w:val="22"/>
          <w:szCs w:val="22"/>
        </w:rPr>
        <w:t xml:space="preserve">新领域，  以及高等级智能 </w:t>
      </w:r>
      <w:r>
        <w:rPr>
          <w:rFonts w:ascii="微软雅黑" w:hAnsi="微软雅黑" w:eastAsia="微软雅黑" w:cs="微软雅黑"/>
          <w:color w:val="231F20"/>
          <w:spacing w:val="3"/>
          <w:sz w:val="22"/>
          <w:szCs w:val="22"/>
        </w:rPr>
        <w:t>研发的应用及落地。</w:t>
      </w:r>
    </w:p>
    <w:p>
      <w:pPr>
        <w:spacing w:before="179" w:line="216" w:lineRule="auto"/>
        <w:ind w:left="2449"/>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外资汽车企业在华营</w:t>
      </w:r>
      <w:r>
        <w:rPr>
          <w:rFonts w:ascii="KaiTi" w:hAnsi="KaiTi" w:eastAsia="KaiTi" w:cs="KaiTi"/>
          <w:color w:val="015DAC"/>
          <w:sz w:val="22"/>
          <w:szCs w:val="22"/>
        </w:rPr>
        <w:t>收和销售额持续增长</w:t>
      </w:r>
    </w:p>
    <w:p>
      <w:pPr>
        <w:spacing w:line="264" w:lineRule="auto"/>
        <w:rPr>
          <w:rFonts w:ascii="Arial"/>
          <w:sz w:val="21"/>
        </w:rPr>
      </w:pPr>
    </w:p>
    <w:p>
      <w:pPr>
        <w:spacing w:before="95" w:line="246" w:lineRule="auto"/>
        <w:ind w:left="1996" w:right="1977" w:firstLine="469"/>
        <w:rPr>
          <w:rFonts w:ascii="微软雅黑" w:hAnsi="微软雅黑" w:eastAsia="微软雅黑" w:cs="微软雅黑"/>
          <w:sz w:val="22"/>
          <w:szCs w:val="22"/>
        </w:rPr>
      </w:pPr>
      <w:r>
        <w:rPr>
          <w:rFonts w:ascii="微软雅黑" w:hAnsi="微软雅黑" w:eastAsia="微软雅黑" w:cs="微软雅黑"/>
          <w:color w:val="231F20"/>
          <w:spacing w:val="5"/>
          <w:sz w:val="22"/>
          <w:szCs w:val="22"/>
        </w:rPr>
        <w:t>国</w:t>
      </w:r>
      <w:r>
        <w:rPr>
          <w:rFonts w:ascii="微软雅黑" w:hAnsi="微软雅黑" w:eastAsia="微软雅黑" w:cs="微软雅黑"/>
          <w:color w:val="231F20"/>
          <w:spacing w:val="3"/>
          <w:sz w:val="22"/>
          <w:szCs w:val="22"/>
        </w:rPr>
        <w:t>家统计局数据显示，</w:t>
      </w:r>
      <w:r>
        <w:rPr>
          <w:rFonts w:ascii="Times New Roman" w:hAnsi="Times New Roman" w:eastAsia="Times New Roman" w:cs="Times New Roman"/>
          <w:color w:val="231F20"/>
          <w:spacing w:val="3"/>
          <w:sz w:val="22"/>
          <w:szCs w:val="22"/>
        </w:rPr>
        <w:t xml:space="preserve">2016-2020 </w:t>
      </w:r>
      <w:r>
        <w:rPr>
          <w:rFonts w:ascii="微软雅黑" w:hAnsi="微软雅黑" w:eastAsia="微软雅黑" w:cs="微软雅黑"/>
          <w:color w:val="231F20"/>
          <w:spacing w:val="3"/>
          <w:sz w:val="22"/>
          <w:szCs w:val="22"/>
        </w:rPr>
        <w:t>年 ，规模以上汽车制造业外资企业营业收入从</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1"/>
          <w:sz w:val="22"/>
          <w:szCs w:val="22"/>
        </w:rPr>
        <w:t xml:space="preserve">36904.8 </w:t>
      </w:r>
      <w:r>
        <w:rPr>
          <w:rFonts w:ascii="微软雅黑" w:hAnsi="微软雅黑" w:eastAsia="微软雅黑" w:cs="微软雅黑"/>
          <w:color w:val="231F20"/>
          <w:spacing w:val="-1"/>
          <w:sz w:val="22"/>
          <w:szCs w:val="22"/>
        </w:rPr>
        <w:t xml:space="preserve">亿元增加至 </w:t>
      </w:r>
      <w:r>
        <w:rPr>
          <w:rFonts w:ascii="Times New Roman" w:hAnsi="Times New Roman" w:eastAsia="Times New Roman" w:cs="Times New Roman"/>
          <w:color w:val="231F20"/>
          <w:spacing w:val="-1"/>
          <w:sz w:val="22"/>
          <w:szCs w:val="22"/>
        </w:rPr>
        <w:t xml:space="preserve">43418.4 </w:t>
      </w:r>
      <w:r>
        <w:rPr>
          <w:rFonts w:ascii="微软雅黑" w:hAnsi="微软雅黑" w:eastAsia="微软雅黑" w:cs="微软雅黑"/>
          <w:color w:val="231F20"/>
          <w:spacing w:val="-1"/>
          <w:sz w:val="22"/>
          <w:szCs w:val="22"/>
        </w:rPr>
        <w:t xml:space="preserve">亿元 ，利润总额从 </w:t>
      </w:r>
      <w:r>
        <w:rPr>
          <w:rFonts w:ascii="Times New Roman" w:hAnsi="Times New Roman" w:eastAsia="Times New Roman" w:cs="Times New Roman"/>
          <w:color w:val="231F20"/>
          <w:spacing w:val="-1"/>
          <w:sz w:val="22"/>
          <w:szCs w:val="22"/>
        </w:rPr>
        <w:t xml:space="preserve">3511.6 </w:t>
      </w:r>
      <w:r>
        <w:rPr>
          <w:rFonts w:ascii="微软雅黑" w:hAnsi="微软雅黑" w:eastAsia="微软雅黑" w:cs="微软雅黑"/>
          <w:color w:val="231F20"/>
          <w:spacing w:val="-1"/>
          <w:sz w:val="22"/>
          <w:szCs w:val="22"/>
        </w:rPr>
        <w:t>亿元增</w:t>
      </w:r>
      <w:r>
        <w:rPr>
          <w:rFonts w:ascii="微软雅黑" w:hAnsi="微软雅黑" w:eastAsia="微软雅黑" w:cs="微软雅黑"/>
          <w:color w:val="231F20"/>
          <w:sz w:val="22"/>
          <w:szCs w:val="22"/>
        </w:rPr>
        <w:t xml:space="preserve">长至 </w:t>
      </w:r>
      <w:r>
        <w:rPr>
          <w:rFonts w:ascii="Times New Roman" w:hAnsi="Times New Roman" w:eastAsia="Times New Roman" w:cs="Times New Roman"/>
          <w:color w:val="231F20"/>
          <w:sz w:val="22"/>
          <w:szCs w:val="22"/>
        </w:rPr>
        <w:t xml:space="preserve">3522.7 </w:t>
      </w:r>
      <w:r>
        <w:rPr>
          <w:rFonts w:ascii="微软雅黑" w:hAnsi="微软雅黑" w:eastAsia="微软雅黑" w:cs="微软雅黑"/>
          <w:color w:val="231F20"/>
          <w:sz w:val="22"/>
          <w:szCs w:val="22"/>
        </w:rPr>
        <w:t xml:space="preserve">亿元，  营收 </w:t>
      </w:r>
      <w:r>
        <w:rPr>
          <w:rFonts w:ascii="微软雅黑" w:hAnsi="微软雅黑" w:eastAsia="微软雅黑" w:cs="微软雅黑"/>
          <w:color w:val="231F20"/>
          <w:spacing w:val="1"/>
          <w:sz w:val="22"/>
          <w:szCs w:val="22"/>
        </w:rPr>
        <w:t xml:space="preserve">利润率从 </w:t>
      </w:r>
      <w:r>
        <w:rPr>
          <w:rFonts w:ascii="Times New Roman" w:hAnsi="Times New Roman" w:eastAsia="Times New Roman" w:cs="Times New Roman"/>
          <w:color w:val="231F20"/>
          <w:spacing w:val="1"/>
          <w:sz w:val="22"/>
          <w:szCs w:val="22"/>
        </w:rPr>
        <w:t xml:space="preserve">9.5% </w:t>
      </w:r>
      <w:r>
        <w:rPr>
          <w:rFonts w:ascii="微软雅黑" w:hAnsi="微软雅黑" w:eastAsia="微软雅黑" w:cs="微软雅黑"/>
          <w:color w:val="231F20"/>
          <w:spacing w:val="1"/>
          <w:sz w:val="22"/>
          <w:szCs w:val="22"/>
        </w:rPr>
        <w:t xml:space="preserve">下降至 </w:t>
      </w:r>
      <w:r>
        <w:rPr>
          <w:rFonts w:ascii="Times New Roman" w:hAnsi="Times New Roman" w:eastAsia="Times New Roman" w:cs="Times New Roman"/>
          <w:color w:val="231F20"/>
          <w:spacing w:val="1"/>
          <w:sz w:val="22"/>
          <w:szCs w:val="22"/>
        </w:rPr>
        <w:t>8. 1</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 xml:space="preserve">，但明显高于全国规模以上汽车制造企业营收利润率。从 </w:t>
      </w:r>
      <w:r>
        <w:rPr>
          <w:rFonts w:ascii="微软雅黑" w:hAnsi="微软雅黑" w:eastAsia="微软雅黑" w:cs="微软雅黑"/>
          <w:color w:val="231F20"/>
          <w:spacing w:val="4"/>
          <w:sz w:val="22"/>
          <w:szCs w:val="22"/>
        </w:rPr>
        <w:t>人均营业收入来看</w:t>
      </w:r>
      <w:r>
        <w:rPr>
          <w:rFonts w:ascii="微软雅黑" w:hAnsi="微软雅黑" w:eastAsia="微软雅黑" w:cs="微软雅黑"/>
          <w:color w:val="231F20"/>
          <w:spacing w:val="3"/>
          <w:sz w:val="22"/>
          <w:szCs w:val="22"/>
        </w:rPr>
        <w:t xml:space="preserve"> </w:t>
      </w:r>
      <w:r>
        <w:rPr>
          <w:rFonts w:ascii="微软雅黑" w:hAnsi="微软雅黑" w:eastAsia="微软雅黑" w:cs="微软雅黑"/>
          <w:color w:val="231F20"/>
          <w:spacing w:val="2"/>
          <w:sz w:val="22"/>
          <w:szCs w:val="22"/>
        </w:rPr>
        <w:t xml:space="preserve">，规模以上汽车制造企业人均营业收入呈增长趋势 ，从 </w:t>
      </w:r>
      <w:r>
        <w:rPr>
          <w:rFonts w:ascii="Times New Roman" w:hAnsi="Times New Roman" w:eastAsia="Times New Roman" w:cs="Times New Roman"/>
          <w:color w:val="231F20"/>
          <w:spacing w:val="2"/>
          <w:sz w:val="22"/>
          <w:szCs w:val="22"/>
        </w:rPr>
        <w:t xml:space="preserve">2016 </w:t>
      </w:r>
      <w:r>
        <w:rPr>
          <w:rFonts w:ascii="微软雅黑" w:hAnsi="微软雅黑" w:eastAsia="微软雅黑" w:cs="微软雅黑"/>
          <w:color w:val="231F20"/>
          <w:spacing w:val="2"/>
          <w:sz w:val="22"/>
          <w:szCs w:val="22"/>
        </w:rPr>
        <w:t>年的</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1"/>
          <w:sz w:val="22"/>
          <w:szCs w:val="22"/>
        </w:rPr>
        <w:t xml:space="preserve">168.3 </w:t>
      </w:r>
      <w:r>
        <w:rPr>
          <w:rFonts w:ascii="微软雅黑" w:hAnsi="微软雅黑" w:eastAsia="微软雅黑" w:cs="微软雅黑"/>
          <w:color w:val="231F20"/>
          <w:spacing w:val="1"/>
          <w:sz w:val="22"/>
          <w:szCs w:val="22"/>
        </w:rPr>
        <w:t xml:space="preserve">万元 </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 xml:space="preserve">人增至 </w:t>
      </w:r>
      <w:r>
        <w:rPr>
          <w:rFonts w:ascii="Times New Roman" w:hAnsi="Times New Roman" w:eastAsia="Times New Roman" w:cs="Times New Roman"/>
          <w:color w:val="231F20"/>
          <w:spacing w:val="1"/>
          <w:sz w:val="22"/>
          <w:szCs w:val="22"/>
        </w:rPr>
        <w:t>20</w:t>
      </w:r>
      <w:r>
        <w:rPr>
          <w:rFonts w:ascii="Times New Roman" w:hAnsi="Times New Roman" w:eastAsia="Times New Roman" w:cs="Times New Roman"/>
          <w:color w:val="231F20"/>
          <w:sz w:val="22"/>
          <w:szCs w:val="22"/>
        </w:rPr>
        <w:t xml:space="preserve">20 </w:t>
      </w:r>
      <w:r>
        <w:rPr>
          <w:rFonts w:ascii="微软雅黑" w:hAnsi="微软雅黑" w:eastAsia="微软雅黑" w:cs="微软雅黑"/>
          <w:color w:val="231F20"/>
          <w:sz w:val="22"/>
          <w:szCs w:val="22"/>
        </w:rPr>
        <w:t xml:space="preserve">年的 </w:t>
      </w:r>
      <w:r>
        <w:rPr>
          <w:rFonts w:ascii="Times New Roman" w:hAnsi="Times New Roman" w:eastAsia="Times New Roman" w:cs="Times New Roman"/>
          <w:color w:val="231F20"/>
          <w:sz w:val="22"/>
          <w:szCs w:val="22"/>
        </w:rPr>
        <w:t xml:space="preserve">195.7 </w:t>
      </w:r>
      <w:r>
        <w:rPr>
          <w:rFonts w:ascii="微软雅黑" w:hAnsi="微软雅黑" w:eastAsia="微软雅黑" w:cs="微软雅黑"/>
          <w:color w:val="231F20"/>
          <w:sz w:val="22"/>
          <w:szCs w:val="22"/>
        </w:rPr>
        <w:t xml:space="preserve">万元 </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人。而同期外资汽车制造企业的人均收入从</w:t>
      </w:r>
    </w:p>
    <w:p>
      <w:pPr>
        <w:spacing w:before="33" w:line="233" w:lineRule="auto"/>
        <w:ind w:left="1988"/>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224.3 </w:t>
      </w:r>
      <w:r>
        <w:rPr>
          <w:rFonts w:ascii="微软雅黑" w:hAnsi="微软雅黑" w:eastAsia="微软雅黑" w:cs="微软雅黑"/>
          <w:color w:val="231F20"/>
          <w:spacing w:val="-2"/>
          <w:sz w:val="22"/>
          <w:szCs w:val="22"/>
        </w:rPr>
        <w:t xml:space="preserve">万元 </w:t>
      </w:r>
      <w:r>
        <w:rPr>
          <w:rFonts w:ascii="Times New Roman" w:hAnsi="Times New Roman" w:eastAsia="Times New Roman" w:cs="Times New Roman"/>
          <w:color w:val="231F20"/>
          <w:spacing w:val="-2"/>
          <w:sz w:val="22"/>
          <w:szCs w:val="22"/>
        </w:rPr>
        <w:t xml:space="preserve">/ </w:t>
      </w:r>
      <w:r>
        <w:rPr>
          <w:rFonts w:ascii="微软雅黑" w:hAnsi="微软雅黑" w:eastAsia="微软雅黑" w:cs="微软雅黑"/>
          <w:color w:val="231F20"/>
          <w:spacing w:val="-2"/>
          <w:sz w:val="22"/>
          <w:szCs w:val="22"/>
        </w:rPr>
        <w:t xml:space="preserve">人增长到 </w:t>
      </w:r>
      <w:r>
        <w:rPr>
          <w:rFonts w:ascii="Times New Roman" w:hAnsi="Times New Roman" w:eastAsia="Times New Roman" w:cs="Times New Roman"/>
          <w:color w:val="231F20"/>
          <w:spacing w:val="-2"/>
          <w:sz w:val="22"/>
          <w:szCs w:val="22"/>
        </w:rPr>
        <w:t>288.3</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 xml:space="preserve">万元 </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人 ，也远超同行业企业平均水平。</w:t>
      </w:r>
    </w:p>
    <w:p>
      <w:pPr>
        <w:sectPr>
          <w:pgSz w:w="12246" w:h="16498"/>
          <w:pgMar w:top="400" w:right="0" w:bottom="400" w:left="0" w:header="0" w:footer="0" w:gutter="0"/>
          <w:cols w:space="720" w:num="1"/>
        </w:sectPr>
      </w:pPr>
    </w:p>
    <w:p>
      <w:pPr>
        <w:spacing w:line="241" w:lineRule="auto"/>
        <w:rPr>
          <w:rFonts w:ascii="Arial"/>
          <w:sz w:val="21"/>
        </w:rPr>
      </w:pPr>
      <w:r>
        <w:pict>
          <v:rect id="_x0000_s1231" o:spid="_x0000_s1231" o:spt="1" style="position:absolute;left:0pt;margin-left:135.9pt;margin-top:139.7pt;height:148.85pt;width:0.3pt;mso-position-horizontal-relative:page;mso-position-vertical-relative:page;z-index:-251417600;mso-width-relative:page;mso-height-relative:page;" fillcolor="#231F20" filled="t" stroked="f" coordsize="21600,21600" o:allowincell="f">
            <v:path/>
            <v:fill on="t" focussize="0,0"/>
            <v:stroke on="f"/>
            <v:imagedata o:title=""/>
            <o:lock v:ext="edit"/>
          </v:rect>
        </w:pict>
      </w:r>
      <w:r>
        <w:pict>
          <v:rect id="_x0000_s1232" o:spid="_x0000_s1232" o:spt="1" style="position:absolute;left:0pt;margin-left:152.35pt;margin-top:466.25pt;height:129.15pt;width:0.3pt;mso-position-horizontal-relative:page;mso-position-vertical-relative:page;z-index:251905024;mso-width-relative:page;mso-height-relative:page;" fillcolor="#231F20" filled="t" stroked="f" coordsize="21600,21600" o:allowincell="f">
            <v:path/>
            <v:fill on="t" focussize="0,0"/>
            <v:stroke on="f"/>
            <v:imagedata o:title=""/>
            <o:lock v:ext="edit"/>
          </v:rect>
        </w:pict>
      </w:r>
      <w:r>
        <w:pict>
          <v:rect id="_x0000_s1233" o:spid="_x0000_s1233" o:spt="1" style="position:absolute;left:0pt;margin-left:154.35pt;margin-top:490.25pt;height:0.75pt;width:332.5pt;mso-position-horizontal-relative:page;mso-position-vertical-relative:page;z-index:251909120;mso-width-relative:page;mso-height-relative:page;" fillcolor="#CEE6ED" filled="t" stroked="f" coordsize="21600,21600" o:allowincell="f">
            <v:path/>
            <v:fill on="t" focussize="0,0"/>
            <v:stroke on="f"/>
            <v:imagedata o:title=""/>
            <o:lock v:ext="edit"/>
          </v:rect>
        </w:pict>
      </w:r>
      <w:r>
        <w:pict>
          <v:rect id="_x0000_s1234" o:spid="_x0000_s1234" o:spt="1" style="position:absolute;left:0pt;margin-left:154.35pt;margin-top:469.9pt;height:0.75pt;width:332.5pt;mso-position-horizontal-relative:page;mso-position-vertical-relative:page;z-index:251908096;mso-width-relative:page;mso-height-relative:page;" fillcolor="#CEE6ED" filled="t" stroked="f" coordsize="21600,21600" o:allowincell="f">
            <v:path/>
            <v:fill on="t" focussize="0,0"/>
            <v:stroke on="f"/>
            <v:imagedata o:title=""/>
            <o:lock v:ext="edit"/>
          </v:rect>
        </w:pict>
      </w:r>
      <w:r>
        <w:drawing>
          <wp:anchor distT="0" distB="0" distL="0" distR="0" simplePos="0" relativeHeight="251907072" behindDoc="0" locked="0" layoutInCell="0" allowOverlap="1">
            <wp:simplePos x="0" y="0"/>
            <wp:positionH relativeFrom="page">
              <wp:posOffset>1791335</wp:posOffset>
            </wp:positionH>
            <wp:positionV relativeFrom="page">
              <wp:posOffset>2678430</wp:posOffset>
            </wp:positionV>
            <wp:extent cx="4519295" cy="1016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98"/>
                    <a:stretch>
                      <a:fillRect/>
                    </a:stretch>
                  </pic:blipFill>
                  <pic:spPr>
                    <a:xfrm>
                      <a:off x="0" y="0"/>
                      <a:ext cx="4519065" cy="9854"/>
                    </a:xfrm>
                    <a:prstGeom prst="rect">
                      <a:avLst/>
                    </a:prstGeom>
                  </pic:spPr>
                </pic:pic>
              </a:graphicData>
            </a:graphic>
          </wp:anchor>
        </w:drawing>
      </w:r>
      <w:r>
        <w:drawing>
          <wp:anchor distT="0" distB="0" distL="0" distR="0" simplePos="0" relativeHeight="251906048" behindDoc="0" locked="0" layoutInCell="0" allowOverlap="1">
            <wp:simplePos x="0" y="0"/>
            <wp:positionH relativeFrom="page">
              <wp:posOffset>1911350</wp:posOffset>
            </wp:positionH>
            <wp:positionV relativeFrom="page">
              <wp:posOffset>7514590</wp:posOffset>
            </wp:positionV>
            <wp:extent cx="4330700" cy="12065"/>
            <wp:effectExtent l="0" t="0" r="0" b="0"/>
            <wp:wrapNone/>
            <wp:docPr id="219" name="IM 219"/>
            <wp:cNvGraphicFramePr/>
            <a:graphic xmlns:a="http://schemas.openxmlformats.org/drawingml/2006/main">
              <a:graphicData uri="http://schemas.openxmlformats.org/drawingml/2006/picture">
                <pic:pic xmlns:pic="http://schemas.openxmlformats.org/drawingml/2006/picture">
                  <pic:nvPicPr>
                    <pic:cNvPr id="219" name="IM 219"/>
                    <pic:cNvPicPr/>
                  </pic:nvPicPr>
                  <pic:blipFill>
                    <a:blip r:embed="rId99"/>
                    <a:stretch>
                      <a:fillRect/>
                    </a:stretch>
                  </pic:blipFill>
                  <pic:spPr>
                    <a:xfrm>
                      <a:off x="0" y="0"/>
                      <a:ext cx="4330801" cy="12159"/>
                    </a:xfrm>
                    <a:prstGeom prst="rect">
                      <a:avLst/>
                    </a:prstGeom>
                  </pic:spPr>
                </pic:pic>
              </a:graphicData>
            </a:graphic>
          </wp:anchor>
        </w:drawing>
      </w:r>
      <w:r>
        <w:drawing>
          <wp:anchor distT="0" distB="0" distL="0" distR="0" simplePos="0" relativeHeight="25189683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43"/>
                    <a:stretch>
                      <a:fillRect/>
                    </a:stretch>
                  </pic:blipFill>
                  <pic:spPr>
                    <a:xfrm>
                      <a:off x="0" y="0"/>
                      <a:ext cx="7775994" cy="422998"/>
                    </a:xfrm>
                    <a:prstGeom prst="rect">
                      <a:avLst/>
                    </a:prstGeom>
                  </pic:spPr>
                </pic:pic>
              </a:graphicData>
            </a:graphic>
          </wp:anchor>
        </w:drawing>
      </w:r>
      <w:r>
        <w:pict>
          <v:shape id="_x0000_s1235" o:spid="_x0000_s1235" o:spt="202" type="#_x0000_t202" style="position:absolute;left:0pt;margin-left:169.9pt;margin-top:136.95pt;height:12.7pt;width:22pt;mso-position-horizontal-relative:page;mso-position-vertical-relative:page;z-index:251910144;mso-width-relative:page;mso-height-relative:page;" filled="f" stroked="f" coordsize="21600,21600" o:allowincell="f">
            <v:path/>
            <v:fill on="f" focussize="0,0"/>
            <v:stroke on="f"/>
            <v:imagedata o:title=""/>
            <o:lock v:ext="edit" aspectratio="f"/>
            <v:textbox inset="0mm,0mm,0mm,0mm">
              <w:txbxContent>
                <w:p>
                  <w:pPr>
                    <w:spacing w:before="19" w:line="176" w:lineRule="auto"/>
                    <w:ind w:left="20"/>
                    <w:rPr>
                      <w:rFonts w:ascii="微软雅黑" w:hAnsi="微软雅黑" w:eastAsia="微软雅黑" w:cs="微软雅黑"/>
                      <w:sz w:val="17"/>
                      <w:szCs w:val="17"/>
                    </w:rPr>
                  </w:pPr>
                  <w:r>
                    <w:rPr>
                      <w:rFonts w:ascii="微软雅黑" w:hAnsi="微软雅黑" w:eastAsia="微软雅黑" w:cs="微软雅黑"/>
                      <w:color w:val="231F20"/>
                      <w:spacing w:val="4"/>
                      <w:sz w:val="17"/>
                      <w:szCs w:val="17"/>
                    </w:rPr>
                    <w:t>9</w:t>
                  </w:r>
                  <w:r>
                    <w:rPr>
                      <w:rFonts w:ascii="微软雅黑" w:hAnsi="微软雅黑" w:eastAsia="微软雅黑" w:cs="微软雅黑"/>
                      <w:color w:val="231F20"/>
                      <w:spacing w:val="2"/>
                      <w:sz w:val="17"/>
                      <w:szCs w:val="17"/>
                    </w:rPr>
                    <w:t>.5%</w:t>
                  </w:r>
                </w:p>
              </w:txbxContent>
            </v:textbox>
          </v:shape>
        </w:pict>
      </w:r>
      <w:r>
        <w:pict>
          <v:shape id="_x0000_s1236" o:spid="_x0000_s1236" o:spt="202" type="#_x0000_t202" style="position:absolute;left:0pt;margin-left:237.4pt;margin-top:139.8pt;height:12.7pt;width:22pt;mso-position-horizontal-relative:page;mso-position-vertical-relative:page;z-index:251911168;mso-width-relative:page;mso-height-relative:page;" filled="f" stroked="f" coordsize="21600,21600" o:allowincell="f">
            <v:path/>
            <v:fill on="f" focussize="0,0"/>
            <v:stroke on="f"/>
            <v:imagedata o:title=""/>
            <o:lock v:ext="edit" aspectratio="f"/>
            <v:textbox inset="0mm,0mm,0mm,0mm">
              <w:txbxContent>
                <w:p>
                  <w:pPr>
                    <w:spacing w:before="19" w:line="176" w:lineRule="auto"/>
                    <w:ind w:left="20"/>
                    <w:rPr>
                      <w:rFonts w:ascii="微软雅黑" w:hAnsi="微软雅黑" w:eastAsia="微软雅黑" w:cs="微软雅黑"/>
                      <w:sz w:val="17"/>
                      <w:szCs w:val="17"/>
                    </w:rPr>
                  </w:pPr>
                  <w:r>
                    <w:rPr>
                      <w:rFonts w:ascii="微软雅黑" w:hAnsi="微软雅黑" w:eastAsia="微软雅黑" w:cs="微软雅黑"/>
                      <w:color w:val="231F20"/>
                      <w:spacing w:val="3"/>
                      <w:sz w:val="17"/>
                      <w:szCs w:val="17"/>
                    </w:rPr>
                    <w:t>9</w:t>
                  </w:r>
                  <w:r>
                    <w:rPr>
                      <w:rFonts w:ascii="微软雅黑" w:hAnsi="微软雅黑" w:eastAsia="微软雅黑" w:cs="微软雅黑"/>
                      <w:color w:val="231F20"/>
                      <w:spacing w:val="2"/>
                      <w:sz w:val="17"/>
                      <w:szCs w:val="17"/>
                    </w:rPr>
                    <w:t>.3%</w:t>
                  </w:r>
                </w:p>
              </w:txbxContent>
            </v:textbox>
          </v:shape>
        </w:pict>
      </w:r>
      <w:r>
        <w:pict>
          <v:shape id="_x0000_s1237" o:spid="_x0000_s1237" o:spt="202" type="#_x0000_t202" style="position:absolute;left:0pt;margin-left:140.05pt;margin-top:151.15pt;height:12.7pt;width:357.85pt;mso-position-horizontal-relative:page;mso-position-vertical-relative:page;z-index:-251418624;mso-width-relative:page;mso-height-relative:page;" filled="f" stroked="f" coordsize="21600,21600" o:allowincell="f">
            <v:path/>
            <v:fill on="f" focussize="0,0"/>
            <v:stroke on="f"/>
            <v:imagedata o:title=""/>
            <o:lock v:ext="edit" aspectratio="f"/>
            <v:textbox inset="0mm,0mm,0mm,0mm">
              <w:txbxContent>
                <w:p>
                  <w:pPr>
                    <w:tabs>
                      <w:tab w:val="left" w:pos="3327"/>
                    </w:tabs>
                    <w:spacing w:before="19" w:line="176" w:lineRule="auto"/>
                    <w:ind w:left="20"/>
                    <w:rPr>
                      <w:rFonts w:ascii="微软雅黑" w:hAnsi="微软雅黑" w:eastAsia="微软雅黑" w:cs="微软雅黑"/>
                      <w:sz w:val="17"/>
                      <w:szCs w:val="17"/>
                    </w:rPr>
                  </w:pPr>
                  <w:r>
                    <w:rPr>
                      <w:rFonts w:ascii="微软雅黑" w:hAnsi="微软雅黑" w:eastAsia="微软雅黑" w:cs="微软雅黑"/>
                      <w:strike/>
                      <w:color w:val="231F20"/>
                      <w:sz w:val="17"/>
                      <w:szCs w:val="17"/>
                    </w:rPr>
                    <w:tab/>
                  </w:r>
                  <w:r>
                    <w:rPr>
                      <w:rFonts w:ascii="微软雅黑" w:hAnsi="微软雅黑" w:eastAsia="微软雅黑" w:cs="微软雅黑"/>
                      <w:strike/>
                      <w:color w:val="231F20"/>
                      <w:spacing w:val="2"/>
                      <w:sz w:val="17"/>
                      <w:szCs w:val="17"/>
                    </w:rPr>
                    <w:t>8.5</w:t>
                  </w:r>
                  <w:r>
                    <w:rPr>
                      <w:rFonts w:ascii="微软雅黑" w:hAnsi="微软雅黑" w:eastAsia="微软雅黑" w:cs="微软雅黑"/>
                      <w:strike/>
                      <w:color w:val="231F20"/>
                      <w:spacing w:val="1"/>
                      <w:sz w:val="17"/>
                      <w:szCs w:val="17"/>
                    </w:rPr>
                    <w:t>%</w:t>
                  </w:r>
                  <w:r>
                    <w:rPr>
                      <w:rFonts w:ascii="微软雅黑" w:hAnsi="微软雅黑" w:eastAsia="微软雅黑" w:cs="微软雅黑"/>
                      <w:strike/>
                      <w:color w:val="231F20"/>
                      <w:sz w:val="17"/>
                      <w:szCs w:val="17"/>
                    </w:rPr>
                    <w:t xml:space="preserve">                                                                   </w:t>
                  </w:r>
                </w:p>
              </w:txbxContent>
            </v:textbox>
          </v:shape>
        </w:pict>
      </w:r>
      <w:r>
        <w:pict>
          <v:shape id="_x0000_s1238" o:spid="_x0000_s1238" o:spt="202" type="#_x0000_t202" style="position:absolute;left:0pt;margin-left:173.45pt;margin-top:156.5pt;height:12.75pt;width:288.9pt;mso-position-horizontal-relative:page;mso-position-vertical-relative:page;z-index:251918336;mso-width-relative:page;mso-height-relative:page;" filled="f" stroked="f" coordsize="21600,21600" o:allowincell="f">
            <v:path/>
            <v:fill on="f" focussize="0,0"/>
            <v:stroke on="f"/>
            <v:imagedata o:title=""/>
            <o:lock v:ext="edit" aspectratio="f"/>
            <v:textbox inset="0mm,0mm,0mm,0mm">
              <w:txbxContent>
                <w:p>
                  <w:pPr>
                    <w:spacing w:before="19" w:line="177" w:lineRule="auto"/>
                    <w:ind w:left="20"/>
                    <w:rPr>
                      <w:rFonts w:ascii="微软雅黑" w:hAnsi="微软雅黑" w:eastAsia="微软雅黑" w:cs="微软雅黑"/>
                      <w:sz w:val="17"/>
                      <w:szCs w:val="17"/>
                    </w:rPr>
                  </w:pPr>
                  <w:r>
                    <w:rPr>
                      <w:rFonts w:ascii="微软雅黑" w:hAnsi="微软雅黑" w:eastAsia="微软雅黑" w:cs="微软雅黑"/>
                      <w:color w:val="231F20"/>
                      <w:position w:val="-3"/>
                      <w:sz w:val="17"/>
                      <w:szCs w:val="17"/>
                    </w:rPr>
                    <w:drawing>
                      <wp:inline distT="0" distB="0" distL="0" distR="0">
                        <wp:extent cx="64770" cy="64770"/>
                        <wp:effectExtent l="0" t="0" r="0" b="0"/>
                        <wp:docPr id="221" name="IM 221"/>
                        <wp:cNvGraphicFramePr/>
                        <a:graphic xmlns:a="http://schemas.openxmlformats.org/drawingml/2006/main">
                          <a:graphicData uri="http://schemas.openxmlformats.org/drawingml/2006/picture">
                            <pic:pic xmlns:pic="http://schemas.openxmlformats.org/drawingml/2006/picture">
                              <pic:nvPicPr>
                                <pic:cNvPr id="221" name="IM 221"/>
                                <pic:cNvPicPr/>
                              </pic:nvPicPr>
                              <pic:blipFill>
                                <a:blip r:embed="rId100"/>
                                <a:stretch>
                                  <a:fillRect/>
                                </a:stretch>
                              </pic:blipFill>
                              <pic:spPr>
                                <a:xfrm>
                                  <a:off x="0" y="0"/>
                                  <a:ext cx="64795" cy="64820"/>
                                </a:xfrm>
                                <a:prstGeom prst="rect">
                                  <a:avLst/>
                                </a:prstGeom>
                              </pic:spPr>
                            </pic:pic>
                          </a:graphicData>
                        </a:graphic>
                      </wp:inline>
                    </w:drawing>
                  </w:r>
                  <w:r>
                    <w:rPr>
                      <w:rFonts w:ascii="微软雅黑" w:hAnsi="微软雅黑" w:eastAsia="微软雅黑" w:cs="微软雅黑"/>
                      <w:color w:val="231F20"/>
                      <w:spacing w:val="1"/>
                      <w:sz w:val="17"/>
                      <w:szCs w:val="17"/>
                    </w:rPr>
                    <w:t xml:space="preserve">                                                   </w:t>
                  </w:r>
                  <w:r>
                    <w:rPr>
                      <w:rFonts w:ascii="微软雅黑" w:hAnsi="微软雅黑" w:eastAsia="微软雅黑" w:cs="微软雅黑"/>
                      <w:color w:val="231F20"/>
                      <w:position w:val="-1"/>
                      <w:sz w:val="17"/>
                      <w:szCs w:val="17"/>
                    </w:rPr>
                    <w:drawing>
                      <wp:inline distT="0" distB="0" distL="0" distR="0">
                        <wp:extent cx="64770" cy="6477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01"/>
                                <a:stretch>
                                  <a:fillRect/>
                                </a:stretch>
                              </pic:blipFill>
                              <pic:spPr>
                                <a:xfrm>
                                  <a:off x="0" y="0"/>
                                  <a:ext cx="64795" cy="64820"/>
                                </a:xfrm>
                                <a:prstGeom prst="rect">
                                  <a:avLst/>
                                </a:prstGeom>
                              </pic:spPr>
                            </pic:pic>
                          </a:graphicData>
                        </a:graphic>
                      </wp:inline>
                    </w:drawing>
                  </w:r>
                  <w:r>
                    <w:rPr>
                      <w:rFonts w:ascii="微软雅黑" w:hAnsi="微软雅黑" w:eastAsia="微软雅黑" w:cs="微软雅黑"/>
                      <w:color w:val="231F20"/>
                      <w:spacing w:val="1"/>
                      <w:sz w:val="17"/>
                      <w:szCs w:val="17"/>
                    </w:rPr>
                    <w:t xml:space="preserve">               </w:t>
                  </w:r>
                  <w:r>
                    <w:rPr>
                      <w:rFonts w:ascii="微软雅黑" w:hAnsi="微软雅黑" w:eastAsia="微软雅黑" w:cs="微软雅黑"/>
                      <w:color w:val="231F20"/>
                      <w:sz w:val="17"/>
                      <w:szCs w:val="17"/>
                    </w:rPr>
                    <w:t xml:space="preserve">                                   8.1%</w:t>
                  </w:r>
                </w:p>
              </w:txbxContent>
            </v:textbox>
          </v:shape>
        </w:pict>
      </w:r>
      <w:r>
        <w:pict>
          <v:shape id="_x0000_s1239" o:spid="_x0000_s1239" o:spt="202" type="#_x0000_t202" style="position:absolute;left:0pt;margin-left:140.05pt;margin-top:161.25pt;height:25.15pt;width:357.85pt;mso-position-horizontal-relative:page;mso-position-vertical-relative:page;z-index:251916288;mso-width-relative:page;mso-height-relative:page;" filled="f" stroked="f" coordsize="21600,21600" o:allowincell="f">
            <v:path/>
            <v:fill on="f" focussize="0,0"/>
            <v:stroke on="f"/>
            <v:imagedata o:title=""/>
            <o:lock v:ext="edit" aspectratio="f"/>
            <v:textbox inset="0mm,0mm,0mm,0mm">
              <w:txbxContent>
                <w:p>
                  <w:pPr>
                    <w:tabs>
                      <w:tab w:val="left" w:pos="627"/>
                    </w:tabs>
                    <w:spacing w:before="20" w:line="462" w:lineRule="exact"/>
                    <w:ind w:left="20"/>
                    <w:rPr>
                      <w:rFonts w:ascii="微软雅黑" w:hAnsi="微软雅黑" w:eastAsia="微软雅黑" w:cs="微软雅黑"/>
                      <w:sz w:val="17"/>
                      <w:szCs w:val="17"/>
                    </w:rPr>
                  </w:pPr>
                  <w:r>
                    <w:rPr>
                      <w:rFonts w:ascii="微软雅黑" w:hAnsi="微软雅黑" w:eastAsia="微软雅黑" w:cs="微软雅黑"/>
                      <w:strike/>
                      <w:color w:val="231F20"/>
                      <w:position w:val="9"/>
                      <w:sz w:val="17"/>
                      <w:szCs w:val="17"/>
                    </w:rPr>
                    <w:tab/>
                  </w:r>
                  <w:r>
                    <w:rPr>
                      <w:rFonts w:ascii="微软雅黑" w:hAnsi="微软雅黑" w:eastAsia="微软雅黑" w:cs="微软雅黑"/>
                      <w:strike/>
                      <w:color w:val="231F20"/>
                      <w:spacing w:val="2"/>
                      <w:position w:val="9"/>
                      <w:sz w:val="17"/>
                      <w:szCs w:val="17"/>
                    </w:rPr>
                    <w:t>8.4</w:t>
                  </w:r>
                  <w:r>
                    <w:rPr>
                      <w:rFonts w:ascii="微软雅黑" w:hAnsi="微软雅黑" w:eastAsia="微软雅黑" w:cs="微软雅黑"/>
                      <w:strike/>
                      <w:color w:val="231F20"/>
                      <w:spacing w:val="1"/>
                      <w:position w:val="9"/>
                      <w:sz w:val="17"/>
                      <w:szCs w:val="17"/>
                    </w:rPr>
                    <w:t xml:space="preserve">%                  </w:t>
                  </w:r>
                  <w:r>
                    <w:rPr>
                      <w:rFonts w:ascii="微软雅黑" w:hAnsi="微软雅黑" w:eastAsia="微软雅黑" w:cs="微软雅黑"/>
                      <w:strike/>
                      <w:color w:val="231F20"/>
                      <w:spacing w:val="1"/>
                      <w:sz w:val="17"/>
                      <w:szCs w:val="17"/>
                    </w:rPr>
                    <w:t xml:space="preserve">8 1%                                             </w:t>
                  </w:r>
                  <w:r>
                    <w:rPr>
                      <w:rFonts w:ascii="微软雅黑" w:hAnsi="微软雅黑" w:eastAsia="微软雅黑" w:cs="微软雅黑"/>
                      <w:strike/>
                      <w:color w:val="231F20"/>
                      <w:spacing w:val="1"/>
                      <w:position w:val="15"/>
                      <w:sz w:val="17"/>
                      <w:szCs w:val="17"/>
                    </w:rPr>
                    <w:t xml:space="preserve">7.6%                    </w:t>
                  </w:r>
                  <w:r>
                    <w:rPr>
                      <w:position w:val="16"/>
                      <w:sz w:val="17"/>
                      <w:szCs w:val="17"/>
                    </w:rPr>
                    <w:drawing>
                      <wp:inline distT="0" distB="0" distL="0" distR="0">
                        <wp:extent cx="64770" cy="64770"/>
                        <wp:effectExtent l="0" t="0" r="0" b="0"/>
                        <wp:docPr id="223" name="IM 223"/>
                        <wp:cNvGraphicFramePr/>
                        <a:graphic xmlns:a="http://schemas.openxmlformats.org/drawingml/2006/main">
                          <a:graphicData uri="http://schemas.openxmlformats.org/drawingml/2006/picture">
                            <pic:pic xmlns:pic="http://schemas.openxmlformats.org/drawingml/2006/picture">
                              <pic:nvPicPr>
                                <pic:cNvPr id="223" name="IM 223"/>
                                <pic:cNvPicPr/>
                              </pic:nvPicPr>
                              <pic:blipFill>
                                <a:blip r:embed="rId102"/>
                                <a:stretch>
                                  <a:fillRect/>
                                </a:stretch>
                              </pic:blipFill>
                              <pic:spPr>
                                <a:xfrm>
                                  <a:off x="0" y="0"/>
                                  <a:ext cx="64795" cy="64820"/>
                                </a:xfrm>
                                <a:prstGeom prst="rect">
                                  <a:avLst/>
                                </a:prstGeom>
                              </pic:spPr>
                            </pic:pic>
                          </a:graphicData>
                        </a:graphic>
                      </wp:inline>
                    </w:drawing>
                  </w:r>
                  <w:r>
                    <w:rPr>
                      <w:rFonts w:ascii="微软雅黑" w:hAnsi="微软雅黑" w:eastAsia="微软雅黑" w:cs="微软雅黑"/>
                      <w:strike/>
                      <w:color w:val="231F20"/>
                      <w:position w:val="15"/>
                      <w:sz w:val="17"/>
                      <w:szCs w:val="17"/>
                    </w:rPr>
                    <w:t xml:space="preserve">                  </w:t>
                  </w:r>
                </w:p>
              </w:txbxContent>
            </v:textbox>
          </v:shape>
        </w:pict>
      </w:r>
      <w:r>
        <w:pict>
          <v:group id="_x0000_s1240" o:spid="_x0000_s1240" o:spt="203" style="position:absolute;left:0pt;margin-left:141.05pt;margin-top:177.15pt;height:5.5pt;width:355.85pt;mso-position-horizontal-relative:page;mso-position-vertical-relative:page;z-index:251914240;mso-width-relative:page;mso-height-relative:page;" coordsize="7117,110" o:allowincell="f">
            <o:lock v:ext="edit"/>
            <v:shape id="_x0000_s1241" o:spid="_x0000_s1241" o:spt="75" type="#_x0000_t75" style="position:absolute;left:0;top:0;height:110;width:7117;" filled="f" stroked="f" coordsize="21600,21600">
              <v:path/>
              <v:fill on="f" focussize="0,0"/>
              <v:stroke on="f"/>
              <v:imagedata r:id="rId103" o:title=""/>
              <o:lock v:ext="edit" aspectratio="t"/>
            </v:shape>
            <v:shape id="_x0000_s1242" o:spid="_x0000_s1242" o:spt="202" type="#_x0000_t202" style="position:absolute;left:-20;top:-20;height:226;width:7157;" filled="f" stroked="f" coordsize="21600,21600">
              <v:path/>
              <v:fill on="f" focussize="0,0"/>
              <v:stroke on="f"/>
              <v:imagedata o:title=""/>
              <o:lock v:ext="edit" aspectratio="f"/>
              <v:textbox inset="0mm,0mm,0mm,0mm">
                <w:txbxContent>
                  <w:p>
                    <w:pPr>
                      <w:spacing w:before="43" w:line="98" w:lineRule="exact"/>
                      <w:ind w:left="2083"/>
                      <w:rPr>
                        <w:rFonts w:ascii="微软雅黑" w:hAnsi="微软雅黑" w:eastAsia="微软雅黑" w:cs="微软雅黑"/>
                        <w:sz w:val="17"/>
                        <w:szCs w:val="17"/>
                      </w:rPr>
                    </w:pPr>
                    <w:r>
                      <w:rPr>
                        <w:rFonts w:ascii="微软雅黑" w:hAnsi="微软雅黑" w:eastAsia="微软雅黑" w:cs="微软雅黑"/>
                        <w:color w:val="231F20"/>
                        <w:position w:val="2"/>
                        <w:sz w:val="17"/>
                        <w:szCs w:val="17"/>
                      </w:rPr>
                      <w:t>.</w:t>
                    </w:r>
                  </w:p>
                </w:txbxContent>
              </v:textbox>
            </v:shape>
          </v:group>
        </w:pict>
      </w:r>
      <w:r>
        <w:pict>
          <v:shape id="_x0000_s1243" o:spid="_x0000_s1243" o:spt="202" type="#_x0000_t202" style="position:absolute;left:0pt;margin-left:304.3pt;margin-top:182.3pt;height:12.8pt;width:77.25pt;mso-position-horizontal-relative:page;mso-position-vertical-relative:page;z-index:251902976;mso-width-relative:page;mso-height-relative:page;" filled="f" stroked="f" coordsize="21600,21600" o:allowincell="f">
            <v:path/>
            <v:fill on="f" focussize="0,0"/>
            <v:stroke on="f"/>
            <v:imagedata o:title=""/>
            <o:lock v:ext="edit" aspectratio="f"/>
            <v:textbox inset="0mm,0mm,0mm,0mm">
              <w:txbxContent>
                <w:p>
                  <w:pPr>
                    <w:spacing w:before="20" w:line="177" w:lineRule="auto"/>
                    <w:ind w:left="20"/>
                    <w:rPr>
                      <w:rFonts w:ascii="微软雅黑" w:hAnsi="微软雅黑" w:eastAsia="微软雅黑" w:cs="微软雅黑"/>
                      <w:sz w:val="17"/>
                      <w:szCs w:val="17"/>
                    </w:rPr>
                  </w:pPr>
                  <w:r>
                    <w:rPr>
                      <w:rFonts w:ascii="微软雅黑" w:hAnsi="微软雅黑" w:eastAsia="微软雅黑" w:cs="微软雅黑"/>
                      <w:color w:val="231F20"/>
                      <w:spacing w:val="2"/>
                      <w:sz w:val="17"/>
                      <w:szCs w:val="17"/>
                    </w:rPr>
                    <w:t>7.</w:t>
                  </w:r>
                  <w:r>
                    <w:rPr>
                      <w:rFonts w:ascii="微软雅黑" w:hAnsi="微软雅黑" w:eastAsia="微软雅黑" w:cs="微软雅黑"/>
                      <w:color w:val="231F20"/>
                      <w:spacing w:val="1"/>
                      <w:sz w:val="17"/>
                      <w:szCs w:val="17"/>
                    </w:rPr>
                    <w:t>3%</w:t>
                  </w:r>
                  <w:r>
                    <w:rPr>
                      <w:rFonts w:ascii="微软雅黑" w:hAnsi="微软雅黑" w:eastAsia="微软雅黑" w:cs="微软雅黑"/>
                      <w:color w:val="231F20"/>
                      <w:sz w:val="17"/>
                      <w:szCs w:val="17"/>
                    </w:rPr>
                    <w:t xml:space="preserve">                     </w:t>
                  </w:r>
                </w:p>
              </w:txbxContent>
            </v:textbox>
          </v:shape>
        </w:pict>
      </w:r>
      <w:r>
        <w:pict>
          <v:shape id="_x0000_s1244" o:spid="_x0000_s1244" o:spt="202" type="#_x0000_t202" style="position:absolute;left:0pt;margin-left:441pt;margin-top:184.85pt;height:12.7pt;width:21.9pt;mso-position-horizontal-relative:page;mso-position-vertical-relative:page;z-index:251913216;mso-width-relative:page;mso-height-relative:page;" filled="f" stroked="f" coordsize="21600,21600" o:allowincell="f">
            <v:path/>
            <v:fill on="f" focussize="0,0"/>
            <v:stroke on="f"/>
            <v:imagedata o:title=""/>
            <o:lock v:ext="edit" aspectratio="f"/>
            <v:textbox inset="0mm,0mm,0mm,0mm">
              <w:txbxContent>
                <w:p>
                  <w:pPr>
                    <w:spacing w:before="19" w:line="176" w:lineRule="auto"/>
                    <w:ind w:left="20"/>
                    <w:rPr>
                      <w:rFonts w:ascii="微软雅黑" w:hAnsi="微软雅黑" w:eastAsia="微软雅黑" w:cs="微软雅黑"/>
                      <w:sz w:val="17"/>
                      <w:szCs w:val="17"/>
                    </w:rPr>
                  </w:pPr>
                  <w:r>
                    <w:rPr>
                      <w:rFonts w:ascii="微软雅黑" w:hAnsi="微软雅黑" w:eastAsia="微软雅黑" w:cs="微软雅黑"/>
                      <w:color w:val="231F20"/>
                      <w:spacing w:val="-1"/>
                      <w:sz w:val="17"/>
                      <w:szCs w:val="17"/>
                    </w:rPr>
                    <w:t>6 2</w:t>
                  </w:r>
                  <w:r>
                    <w:rPr>
                      <w:rFonts w:ascii="微软雅黑" w:hAnsi="微软雅黑" w:eastAsia="微软雅黑" w:cs="微软雅黑"/>
                      <w:color w:val="231F20"/>
                      <w:sz w:val="17"/>
                      <w:szCs w:val="17"/>
                    </w:rPr>
                    <w:t>%</w:t>
                  </w:r>
                </w:p>
              </w:txbxContent>
            </v:textbox>
          </v:shape>
        </w:pict>
      </w:r>
      <w:r>
        <w:pict>
          <v:group id="_x0000_s1245" o:spid="_x0000_s1245" o:spt="203" style="position:absolute;left:0pt;margin-left:141.05pt;margin-top:191.3pt;height:7.1pt;width:355.85pt;mso-position-horizontal-relative:page;mso-position-vertical-relative:page;z-index:251899904;mso-width-relative:page;mso-height-relative:page;" coordsize="7117,141" o:allowincell="f">
            <o:lock v:ext="edit"/>
            <v:shape id="_x0000_s1246" o:spid="_x0000_s1246" o:spt="75" type="#_x0000_t75" style="position:absolute;left:0;top:0;height:141;width:7117;" filled="f" stroked="f" coordsize="21600,21600">
              <v:path/>
              <v:fill on="f" focussize="0,0"/>
              <v:stroke on="f"/>
              <v:imagedata r:id="rId104" o:title=""/>
              <o:lock v:ext="edit" aspectratio="t"/>
            </v:shape>
            <v:shape id="_x0000_s1247" o:spid="_x0000_s1247" o:spt="202" type="#_x0000_t202" style="position:absolute;left:-20;top:-20;height:257;width:7157;" filled="f" stroked="f" coordsize="21600,21600">
              <v:path/>
              <v:fill on="f" focussize="0,0"/>
              <v:stroke on="f"/>
              <v:imagedata o:title=""/>
              <o:lock v:ext="edit" aspectratio="f"/>
              <v:textbox inset="0mm,0mm,0mm,0mm">
                <w:txbxContent>
                  <w:p>
                    <w:pPr>
                      <w:spacing w:before="26" w:line="98" w:lineRule="exact"/>
                      <w:ind w:left="6142"/>
                      <w:rPr>
                        <w:rFonts w:ascii="微软雅黑" w:hAnsi="微软雅黑" w:eastAsia="微软雅黑" w:cs="微软雅黑"/>
                        <w:sz w:val="17"/>
                        <w:szCs w:val="17"/>
                      </w:rPr>
                    </w:pPr>
                    <w:r>
                      <w:rPr>
                        <w:rFonts w:ascii="微软雅黑" w:hAnsi="微软雅黑" w:eastAsia="微软雅黑" w:cs="微软雅黑"/>
                        <w:color w:val="231F20"/>
                        <w:position w:val="2"/>
                        <w:sz w:val="17"/>
                        <w:szCs w:val="17"/>
                      </w:rPr>
                      <w:t>.</w:t>
                    </w:r>
                  </w:p>
                </w:txbxContent>
              </v:textbox>
            </v:shape>
          </v:group>
        </w:pict>
      </w:r>
      <w:r>
        <w:pict>
          <v:shape id="_x0000_s1248" o:spid="_x0000_s1248" o:spt="202" type="#_x0000_t202" style="position:absolute;left:0pt;margin-left:373.5pt;margin-top:196.2pt;height:12.7pt;width:21.9pt;mso-position-horizontal-relative:page;mso-position-vertical-relative:page;z-index:251912192;mso-width-relative:page;mso-height-relative:page;" filled="f" stroked="f" coordsize="21600,21600" o:allowincell="f">
            <v:path/>
            <v:fill on="f" focussize="0,0"/>
            <v:stroke on="f"/>
            <v:imagedata o:title=""/>
            <o:lock v:ext="edit" aspectratio="f"/>
            <v:textbox inset="0mm,0mm,0mm,0mm">
              <w:txbxContent>
                <w:p>
                  <w:pPr>
                    <w:spacing w:before="19" w:line="176" w:lineRule="auto"/>
                    <w:ind w:left="20"/>
                    <w:rPr>
                      <w:rFonts w:ascii="微软雅黑" w:hAnsi="微软雅黑" w:eastAsia="微软雅黑" w:cs="微软雅黑"/>
                      <w:sz w:val="17"/>
                      <w:szCs w:val="17"/>
                    </w:rPr>
                  </w:pPr>
                  <w:r>
                    <w:rPr>
                      <w:rFonts w:ascii="微软雅黑" w:hAnsi="微软雅黑" w:eastAsia="微软雅黑" w:cs="微软雅黑"/>
                      <w:color w:val="231F20"/>
                      <w:spacing w:val="2"/>
                      <w:sz w:val="17"/>
                      <w:szCs w:val="17"/>
                    </w:rPr>
                    <w:t>6.3</w:t>
                  </w:r>
                  <w:r>
                    <w:rPr>
                      <w:rFonts w:ascii="微软雅黑" w:hAnsi="微软雅黑" w:eastAsia="微软雅黑" w:cs="微软雅黑"/>
                      <w:color w:val="231F20"/>
                      <w:spacing w:val="1"/>
                      <w:sz w:val="17"/>
                      <w:szCs w:val="17"/>
                    </w:rPr>
                    <w:t>%</w:t>
                  </w:r>
                </w:p>
              </w:txbxContent>
            </v:textbox>
          </v:shape>
        </w:pict>
      </w:r>
      <w:r>
        <w:pict>
          <v:shape id="_x0000_s1249" o:spid="_x0000_s1249" o:spt="202" type="#_x0000_t202" style="position:absolute;left:0pt;margin-left:121.5pt;margin-top:136.55pt;height:155.15pt;width:15.45pt;mso-position-horizontal-relative:page;mso-position-vertical-relative:page;z-index:251900928;mso-width-relative:page;mso-height-relative:page;" filled="f" stroked="f" coordsize="21600,21600" o:allowincell="f">
            <v:path/>
            <v:fill on="f" focussize="0,0"/>
            <v:stroke on="f"/>
            <v:imagedata o:title=""/>
            <o:lock v:ext="edit" aspectratio="f"/>
            <v:textbox inset="0mm,0mm,0mm,0mm">
              <w:txbxContent>
                <w:p>
                  <w:pPr>
                    <w:spacing w:before="20" w:line="356" w:lineRule="auto"/>
                    <w:ind w:left="101" w:right="20" w:hanging="81"/>
                    <w:rPr>
                      <w:rFonts w:ascii="Arial" w:hAnsi="Arial" w:eastAsia="Arial" w:cs="Arial"/>
                      <w:sz w:val="17"/>
                      <w:szCs w:val="17"/>
                    </w:rPr>
                  </w:pPr>
                  <w:r>
                    <w:rPr>
                      <w:rFonts w:ascii="Arial" w:hAnsi="Arial" w:eastAsia="Arial" w:cs="Arial"/>
                      <w:color w:val="231F20"/>
                      <w:spacing w:val="-6"/>
                      <w:sz w:val="17"/>
                      <w:szCs w:val="17"/>
                    </w:rPr>
                    <w:t>10</w:t>
                  </w:r>
                  <w:r>
                    <w:rPr>
                      <w:rFonts w:ascii="Arial" w:hAnsi="Arial" w:eastAsia="Arial" w:cs="Arial"/>
                      <w:color w:val="231F20"/>
                      <w:sz w:val="17"/>
                      <w:szCs w:val="17"/>
                    </w:rPr>
                    <w:t xml:space="preserve">  </w:t>
                  </w:r>
                  <w:r>
                    <w:rPr>
                      <w:rFonts w:ascii="Arial" w:hAnsi="Arial" w:eastAsia="Arial" w:cs="Arial"/>
                      <w:color w:val="231F20"/>
                      <w:spacing w:val="1"/>
                      <w:sz w:val="17"/>
                      <w:szCs w:val="17"/>
                    </w:rPr>
                    <w:t>9</w:t>
                  </w:r>
                  <w:r>
                    <w:rPr>
                      <w:rFonts w:ascii="Arial" w:hAnsi="Arial" w:eastAsia="Arial" w:cs="Arial"/>
                      <w:color w:val="231F20"/>
                      <w:sz w:val="17"/>
                      <w:szCs w:val="17"/>
                    </w:rPr>
                    <w:t xml:space="preserve">  </w:t>
                  </w:r>
                  <w:r>
                    <w:rPr>
                      <w:rFonts w:ascii="Arial" w:hAnsi="Arial" w:eastAsia="Arial" w:cs="Arial"/>
                      <w:color w:val="231F20"/>
                      <w:spacing w:val="1"/>
                      <w:sz w:val="17"/>
                      <w:szCs w:val="17"/>
                    </w:rPr>
                    <w:t>8</w:t>
                  </w:r>
                  <w:r>
                    <w:rPr>
                      <w:rFonts w:ascii="Arial" w:hAnsi="Arial" w:eastAsia="Arial" w:cs="Arial"/>
                      <w:color w:val="231F20"/>
                      <w:sz w:val="17"/>
                      <w:szCs w:val="17"/>
                    </w:rPr>
                    <w:t xml:space="preserve">  </w:t>
                  </w:r>
                  <w:r>
                    <w:rPr>
                      <w:rFonts w:ascii="Arial" w:hAnsi="Arial" w:eastAsia="Arial" w:cs="Arial"/>
                      <w:color w:val="231F20"/>
                      <w:spacing w:val="1"/>
                      <w:sz w:val="17"/>
                      <w:szCs w:val="17"/>
                    </w:rPr>
                    <w:t>7</w:t>
                  </w:r>
                  <w:r>
                    <w:rPr>
                      <w:rFonts w:ascii="Arial" w:hAnsi="Arial" w:eastAsia="Arial" w:cs="Arial"/>
                      <w:color w:val="231F20"/>
                      <w:sz w:val="17"/>
                      <w:szCs w:val="17"/>
                    </w:rPr>
                    <w:t xml:space="preserve">  </w:t>
                  </w:r>
                  <w:r>
                    <w:rPr>
                      <w:rFonts w:ascii="Arial" w:hAnsi="Arial" w:eastAsia="Arial" w:cs="Arial"/>
                      <w:color w:val="231F20"/>
                      <w:spacing w:val="1"/>
                      <w:sz w:val="17"/>
                      <w:szCs w:val="17"/>
                    </w:rPr>
                    <w:t>6</w:t>
                  </w:r>
                  <w:r>
                    <w:rPr>
                      <w:rFonts w:ascii="Arial" w:hAnsi="Arial" w:eastAsia="Arial" w:cs="Arial"/>
                      <w:color w:val="231F20"/>
                      <w:sz w:val="17"/>
                      <w:szCs w:val="17"/>
                    </w:rPr>
                    <w:t xml:space="preserve">  </w:t>
                  </w:r>
                  <w:r>
                    <w:rPr>
                      <w:rFonts w:ascii="Arial" w:hAnsi="Arial" w:eastAsia="Arial" w:cs="Arial"/>
                      <w:color w:val="231F20"/>
                      <w:spacing w:val="1"/>
                      <w:sz w:val="17"/>
                      <w:szCs w:val="17"/>
                    </w:rPr>
                    <w:t>5</w:t>
                  </w:r>
                  <w:r>
                    <w:rPr>
                      <w:rFonts w:ascii="Arial" w:hAnsi="Arial" w:eastAsia="Arial" w:cs="Arial"/>
                      <w:color w:val="231F20"/>
                      <w:sz w:val="17"/>
                      <w:szCs w:val="17"/>
                    </w:rPr>
                    <w:t xml:space="preserve">  </w:t>
                  </w:r>
                  <w:r>
                    <w:rPr>
                      <w:rFonts w:ascii="Arial" w:hAnsi="Arial" w:eastAsia="Arial" w:cs="Arial"/>
                      <w:color w:val="231F20"/>
                      <w:spacing w:val="1"/>
                      <w:sz w:val="17"/>
                      <w:szCs w:val="17"/>
                    </w:rPr>
                    <w:t>4</w:t>
                  </w:r>
                  <w:r>
                    <w:rPr>
                      <w:rFonts w:ascii="Arial" w:hAnsi="Arial" w:eastAsia="Arial" w:cs="Arial"/>
                      <w:color w:val="231F20"/>
                      <w:sz w:val="17"/>
                      <w:szCs w:val="17"/>
                    </w:rPr>
                    <w:t xml:space="preserve">  </w:t>
                  </w:r>
                  <w:r>
                    <w:rPr>
                      <w:rFonts w:ascii="Arial" w:hAnsi="Arial" w:eastAsia="Arial" w:cs="Arial"/>
                      <w:color w:val="231F20"/>
                      <w:spacing w:val="1"/>
                      <w:sz w:val="17"/>
                      <w:szCs w:val="17"/>
                    </w:rPr>
                    <w:t>3</w:t>
                  </w:r>
                  <w:r>
                    <w:rPr>
                      <w:rFonts w:ascii="Arial" w:hAnsi="Arial" w:eastAsia="Arial" w:cs="Arial"/>
                      <w:color w:val="231F20"/>
                      <w:sz w:val="17"/>
                      <w:szCs w:val="17"/>
                    </w:rPr>
                    <w:t xml:space="preserve">  </w:t>
                  </w:r>
                  <w:r>
                    <w:rPr>
                      <w:rFonts w:ascii="Arial" w:hAnsi="Arial" w:eastAsia="Arial" w:cs="Arial"/>
                      <w:color w:val="231F20"/>
                      <w:spacing w:val="1"/>
                      <w:sz w:val="17"/>
                      <w:szCs w:val="17"/>
                    </w:rPr>
                    <w:t>2</w:t>
                  </w:r>
                  <w:r>
                    <w:rPr>
                      <w:rFonts w:ascii="Arial" w:hAnsi="Arial" w:eastAsia="Arial" w:cs="Arial"/>
                      <w:color w:val="231F20"/>
                      <w:sz w:val="17"/>
                      <w:szCs w:val="17"/>
                    </w:rPr>
                    <w:t xml:space="preserve">  </w:t>
                  </w:r>
                  <w:r>
                    <w:rPr>
                      <w:rFonts w:ascii="Arial" w:hAnsi="Arial" w:eastAsia="Arial" w:cs="Arial"/>
                      <w:color w:val="231F20"/>
                      <w:spacing w:val="1"/>
                      <w:sz w:val="17"/>
                      <w:szCs w:val="17"/>
                    </w:rPr>
                    <w:t>1</w:t>
                  </w:r>
                  <w:r>
                    <w:rPr>
                      <w:rFonts w:ascii="Arial" w:hAnsi="Arial" w:eastAsia="Arial" w:cs="Arial"/>
                      <w:color w:val="231F20"/>
                      <w:sz w:val="17"/>
                      <w:szCs w:val="17"/>
                    </w:rPr>
                    <w:t xml:space="preserve"> </w:t>
                  </w:r>
                </w:p>
                <w:p>
                  <w:pPr>
                    <w:spacing w:line="199" w:lineRule="auto"/>
                    <w:ind w:left="106"/>
                    <w:rPr>
                      <w:rFonts w:ascii="Arial" w:hAnsi="Arial" w:eastAsia="Arial" w:cs="Arial"/>
                      <w:sz w:val="17"/>
                      <w:szCs w:val="17"/>
                    </w:rPr>
                  </w:pPr>
                  <w:r>
                    <w:rPr>
                      <w:rFonts w:ascii="Arial" w:hAnsi="Arial" w:eastAsia="Arial" w:cs="Arial"/>
                      <w:color w:val="231F20"/>
                      <w:sz w:val="17"/>
                      <w:szCs w:val="17"/>
                    </w:rPr>
                    <w:t>0</w:t>
                  </w:r>
                </w:p>
              </w:txbxContent>
            </v:textbox>
          </v:shape>
        </w:pict>
      </w:r>
      <w:r>
        <w:pict>
          <v:shape id="_x0000_s1250" o:spid="_x0000_s1250" o:spt="202" type="#_x0000_t202" style="position:absolute;left:0pt;margin-left:132.3pt;margin-top:507.1pt;height:71.95pt;width:21.1pt;mso-position-horizontal-relative:page;mso-position-vertical-relative:page;z-index:251901952;mso-width-relative:page;mso-height-relative:page;" filled="f" stroked="f" coordsize="21600,21600" o:allowincell="f">
            <v:path/>
            <v:fill on="f" focussize="0,0"/>
            <v:stroke on="f"/>
            <v:imagedata o:title=""/>
            <o:lock v:ext="edit" aspectratio="f"/>
            <v:textbox inset="0mm,0mm,0mm,0mm">
              <w:txbxContent>
                <w:p>
                  <w:pPr>
                    <w:spacing w:before="19" w:line="182" w:lineRule="auto"/>
                    <w:ind w:left="20"/>
                    <w:rPr>
                      <w:rFonts w:ascii="Calibri" w:hAnsi="Calibri" w:eastAsia="Calibri" w:cs="Calibri"/>
                      <w:sz w:val="19"/>
                      <w:szCs w:val="19"/>
                    </w:rPr>
                  </w:pPr>
                  <w:r>
                    <w:rPr>
                      <w:rFonts w:ascii="Calibri" w:hAnsi="Calibri" w:eastAsia="Calibri" w:cs="Calibri"/>
                      <w:color w:val="030303"/>
                      <w:sz w:val="19"/>
                      <w:szCs w:val="19"/>
                    </w:rPr>
                    <w:t>200</w:t>
                  </w:r>
                  <w:r>
                    <w:rPr>
                      <w:rFonts w:ascii="Calibri" w:hAnsi="Calibri" w:eastAsia="Calibri" w:cs="Calibri"/>
                      <w:strike/>
                      <w:color w:val="030303"/>
                      <w:sz w:val="19"/>
                      <w:szCs w:val="19"/>
                    </w:rPr>
                    <w:t xml:space="preserve">  </w:t>
                  </w:r>
                </w:p>
                <w:p>
                  <w:pPr>
                    <w:spacing w:before="231" w:line="182" w:lineRule="auto"/>
                    <w:ind w:left="25"/>
                    <w:rPr>
                      <w:rFonts w:ascii="Calibri" w:hAnsi="Calibri" w:eastAsia="Calibri" w:cs="Calibri"/>
                      <w:sz w:val="19"/>
                      <w:szCs w:val="19"/>
                    </w:rPr>
                  </w:pPr>
                  <w:r>
                    <w:rPr>
                      <w:rFonts w:ascii="Calibri" w:hAnsi="Calibri" w:eastAsia="Calibri" w:cs="Calibri"/>
                      <w:color w:val="030303"/>
                      <w:spacing w:val="-2"/>
                      <w:sz w:val="19"/>
                      <w:szCs w:val="19"/>
                    </w:rPr>
                    <w:t>15</w:t>
                  </w:r>
                  <w:r>
                    <w:rPr>
                      <w:rFonts w:ascii="Calibri" w:hAnsi="Calibri" w:eastAsia="Calibri" w:cs="Calibri"/>
                      <w:color w:val="030303"/>
                      <w:spacing w:val="-1"/>
                      <w:sz w:val="19"/>
                      <w:szCs w:val="19"/>
                    </w:rPr>
                    <w:t>0</w:t>
                  </w:r>
                  <w:r>
                    <w:rPr>
                      <w:rFonts w:ascii="Calibri" w:hAnsi="Calibri" w:eastAsia="Calibri" w:cs="Calibri"/>
                      <w:strike/>
                      <w:color w:val="030303"/>
                      <w:sz w:val="19"/>
                      <w:szCs w:val="19"/>
                    </w:rPr>
                    <w:t xml:space="preserve">  </w:t>
                  </w:r>
                </w:p>
                <w:p>
                  <w:pPr>
                    <w:spacing w:before="231" w:line="182" w:lineRule="auto"/>
                    <w:ind w:left="25"/>
                    <w:rPr>
                      <w:rFonts w:ascii="Calibri" w:hAnsi="Calibri" w:eastAsia="Calibri" w:cs="Calibri"/>
                      <w:sz w:val="19"/>
                      <w:szCs w:val="19"/>
                    </w:rPr>
                  </w:pPr>
                  <w:r>
                    <w:rPr>
                      <w:rFonts w:ascii="Calibri" w:hAnsi="Calibri" w:eastAsia="Calibri" w:cs="Calibri"/>
                      <w:color w:val="030303"/>
                      <w:spacing w:val="-2"/>
                      <w:sz w:val="19"/>
                      <w:szCs w:val="19"/>
                    </w:rPr>
                    <w:t>10</w:t>
                  </w:r>
                  <w:r>
                    <w:rPr>
                      <w:rFonts w:ascii="Calibri" w:hAnsi="Calibri" w:eastAsia="Calibri" w:cs="Calibri"/>
                      <w:color w:val="030303"/>
                      <w:spacing w:val="-1"/>
                      <w:sz w:val="19"/>
                      <w:szCs w:val="19"/>
                    </w:rPr>
                    <w:t>0</w:t>
                  </w:r>
                  <w:r>
                    <w:rPr>
                      <w:rFonts w:ascii="Calibri" w:hAnsi="Calibri" w:eastAsia="Calibri" w:cs="Calibri"/>
                      <w:strike/>
                      <w:color w:val="030303"/>
                      <w:sz w:val="19"/>
                      <w:szCs w:val="19"/>
                    </w:rPr>
                    <w:t xml:space="preserve">  </w:t>
                  </w:r>
                </w:p>
                <w:p>
                  <w:pPr>
                    <w:spacing w:before="231" w:line="182" w:lineRule="auto"/>
                    <w:ind w:left="119"/>
                    <w:rPr>
                      <w:rFonts w:ascii="Calibri" w:hAnsi="Calibri" w:eastAsia="Calibri" w:cs="Calibri"/>
                      <w:sz w:val="19"/>
                      <w:szCs w:val="19"/>
                    </w:rPr>
                  </w:pPr>
                  <w:r>
                    <w:rPr>
                      <w:rFonts w:ascii="Calibri" w:hAnsi="Calibri" w:eastAsia="Calibri" w:cs="Calibri"/>
                      <w:color w:val="030303"/>
                      <w:spacing w:val="-2"/>
                      <w:sz w:val="19"/>
                      <w:szCs w:val="19"/>
                    </w:rPr>
                    <w:t>5</w:t>
                  </w:r>
                  <w:r>
                    <w:rPr>
                      <w:rFonts w:ascii="Calibri" w:hAnsi="Calibri" w:eastAsia="Calibri" w:cs="Calibri"/>
                      <w:color w:val="030303"/>
                      <w:spacing w:val="-1"/>
                      <w:sz w:val="19"/>
                      <w:szCs w:val="19"/>
                    </w:rPr>
                    <w:t>0</w:t>
                  </w:r>
                  <w:r>
                    <w:rPr>
                      <w:rFonts w:ascii="Calibri" w:hAnsi="Calibri" w:eastAsia="Calibri" w:cs="Calibri"/>
                      <w:strike/>
                      <w:color w:val="030303"/>
                      <w:sz w:val="19"/>
                      <w:szCs w:val="19"/>
                    </w:rPr>
                    <w:t xml:space="preserve">  </w:t>
                  </w:r>
                </w:p>
              </w:txbxContent>
            </v:textbox>
          </v:shape>
        </w:pict>
      </w:r>
      <w:r>
        <w:pict>
          <v:shape id="_x0000_s1251" o:spid="_x0000_s1251" style="position:absolute;left:0pt;margin-left:176.7pt;margin-top:146.8pt;height:4.85pt;width:68.05pt;mso-position-horizontal-relative:page;mso-position-vertical-relative:page;z-index:251904000;mso-width-relative:page;mso-height-relative:page;" filled="f" stroked="t" coordsize="1361,96" o:allowincell="f" path="m0,19l1359,76e">
            <v:fill on="f" focussize="0,0"/>
            <v:stroke weight="2pt" color="#92B165" miterlimit="4" joinstyle="miter"/>
            <v:imagedata o:title=""/>
            <o:lock v:ext="edit"/>
          </v:shape>
        </w:pict>
      </w:r>
      <w:r>
        <w:drawing>
          <wp:anchor distT="0" distB="0" distL="0" distR="0" simplePos="0" relativeHeight="251917312" behindDoc="0" locked="0" layoutInCell="0" allowOverlap="1">
            <wp:simplePos x="0" y="0"/>
            <wp:positionH relativeFrom="page">
              <wp:posOffset>2211705</wp:posOffset>
            </wp:positionH>
            <wp:positionV relativeFrom="page">
              <wp:posOffset>1842770</wp:posOffset>
            </wp:positionV>
            <wp:extent cx="925195" cy="100965"/>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05"/>
                    <a:stretch>
                      <a:fillRect/>
                    </a:stretch>
                  </pic:blipFill>
                  <pic:spPr>
                    <a:xfrm>
                      <a:off x="0" y="0"/>
                      <a:ext cx="925194" cy="100812"/>
                    </a:xfrm>
                    <a:prstGeom prst="rect">
                      <a:avLst/>
                    </a:prstGeom>
                  </pic:spPr>
                </pic:pic>
              </a:graphicData>
            </a:graphic>
          </wp:anchor>
        </w:drawing>
      </w:r>
      <w:r>
        <w:pict>
          <v:shape id="_x0000_s1252" o:spid="_x0000_s1252" style="position:absolute;left:0pt;margin-left:310.8pt;margin-top:161.55pt;height:15.35pt;width:137.2pt;mso-position-horizontal-relative:page;mso-position-vertical-relative:page;z-index:251915264;mso-width-relative:page;mso-height-relative:page;" filled="f" stroked="t" coordsize="2743,307" o:allowincell="f" path="m3,19l1396,286m1356,280l2741,138e">
            <v:fill on="f" focussize="0,0"/>
            <v:stroke weight="2pt" color="#92B165" miterlimit="4" joinstyle="miter"/>
            <v:imagedata o:title=""/>
            <o:lock v:ext="edit"/>
          </v:shape>
        </w:pict>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r>
        <w:rPr>
          <w:rFonts w:ascii="SimHei" w:hAnsi="SimHei" w:eastAsia="SimHei" w:cs="SimHei"/>
          <w:color w:val="1A67B3"/>
          <w:spacing w:val="36"/>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225" name="IM 225"/>
            <wp:cNvGraphicFramePr/>
            <a:graphic xmlns:a="http://schemas.openxmlformats.org/drawingml/2006/main">
              <a:graphicData uri="http://schemas.openxmlformats.org/drawingml/2006/picture">
                <pic:pic xmlns:pic="http://schemas.openxmlformats.org/drawingml/2006/picture">
                  <pic:nvPicPr>
                    <pic:cNvPr id="225" name="IM 225"/>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43</w:t>
      </w: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before="49" w:line="241" w:lineRule="exact"/>
        <w:ind w:left="2462"/>
        <w:rPr>
          <w:rFonts w:ascii="Arial" w:hAnsi="Arial" w:eastAsia="Arial" w:cs="Arial"/>
          <w:sz w:val="17"/>
          <w:szCs w:val="17"/>
        </w:rPr>
      </w:pPr>
      <w:r>
        <w:rPr>
          <w:rFonts w:ascii="Arial" w:hAnsi="Arial" w:eastAsia="Arial" w:cs="Arial"/>
          <w:color w:val="231F20"/>
          <w:position w:val="1"/>
          <w:sz w:val="17"/>
          <w:szCs w:val="17"/>
        </w:rPr>
        <w:t>%</w:t>
      </w:r>
    </w:p>
    <w:p>
      <w:pPr>
        <w:spacing w:line="356" w:lineRule="auto"/>
        <w:rPr>
          <w:rFonts w:ascii="Arial"/>
          <w:sz w:val="21"/>
        </w:rPr>
      </w:pPr>
    </w:p>
    <w:p>
      <w:pPr>
        <w:spacing w:line="272" w:lineRule="exact"/>
        <w:ind w:firstLine="4878"/>
        <w:textAlignment w:val="center"/>
      </w:pPr>
      <w:r>
        <w:pict>
          <v:shape id="_x0000_s1253" o:spid="_x0000_s1253" style="height:14.2pt;width:68.9pt;" filled="f" stroked="t" coordsize="1378,283" path="m3,19l1374,263e">
            <v:fill on="f" focussize="0,0"/>
            <v:stroke weight="2pt" color="#92B165" miterlimit="4" joinstyle="miter"/>
            <v:imagedata o:title=""/>
            <o:lock v:ext="edit"/>
            <w10:wrap type="none"/>
            <w10:anchorlock/>
          </v:shape>
        </w:pict>
      </w:r>
    </w:p>
    <w:p>
      <w:pPr>
        <w:spacing w:line="362" w:lineRule="exact"/>
        <w:ind w:firstLine="3523"/>
        <w:textAlignment w:val="center"/>
      </w:pPr>
      <w:r>
        <w:pict>
          <v:shape id="_x0000_s1254" o:spid="_x0000_s1254" style="height:18.75pt;width:136.1pt;" filled="f" stroked="t" coordsize="2722,375" path="m1358,104l2717,354m1,19l1370,104e">
            <v:fill on="f" focussize="0,0"/>
            <v:stroke weight="2pt" color="#5493C7" miterlimit="4" joinstyle="miter"/>
            <v:imagedata o:title=""/>
            <o:lock v:ext="edit"/>
            <w10:wrap type="none"/>
            <w10:anchorlock/>
          </v:shape>
        </w:pict>
      </w:r>
    </w:p>
    <w:p/>
    <w:p/>
    <w:p/>
    <w:p>
      <w:pPr>
        <w:spacing w:line="156" w:lineRule="exact"/>
      </w:pPr>
    </w:p>
    <w:tbl>
      <w:tblPr>
        <w:tblStyle w:val="4"/>
        <w:tblW w:w="7347" w:type="dxa"/>
        <w:tblInd w:w="2684"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734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92" w:hRule="atLeast"/>
        </w:trPr>
        <w:tc>
          <w:tcPr>
            <w:tcW w:w="7347" w:type="dxa"/>
            <w:tcBorders>
              <w:top w:val="dashed" w:color="CEE6ED" w:sz="2" w:space="0"/>
              <w:bottom w:val="dashed" w:color="CEE6ED"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84" w:hRule="atLeast"/>
        </w:trPr>
        <w:tc>
          <w:tcPr>
            <w:tcW w:w="7347" w:type="dxa"/>
            <w:tcBorders>
              <w:top w:val="dashed" w:color="CEE6ED" w:sz="2" w:space="0"/>
              <w:bottom w:val="dashed" w:color="CEE6ED"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85" w:hRule="atLeast"/>
        </w:trPr>
        <w:tc>
          <w:tcPr>
            <w:tcW w:w="7347" w:type="dxa"/>
            <w:tcBorders>
              <w:top w:val="dashed" w:color="CEE6ED" w:sz="2" w:space="0"/>
              <w:bottom w:val="dashed" w:color="CEE6ED"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21" w:hRule="atLeast"/>
        </w:trPr>
        <w:tc>
          <w:tcPr>
            <w:tcW w:w="7347" w:type="dxa"/>
            <w:tcBorders>
              <w:top w:val="dashed" w:color="CEE6ED" w:sz="2" w:space="0"/>
              <w:bottom w:val="single" w:color="231F20" w:sz="2" w:space="0"/>
            </w:tcBorders>
            <w:vAlign w:val="top"/>
          </w:tcPr>
          <w:p>
            <w:pPr>
              <w:rPr>
                <w:rFonts w:ascii="Arial"/>
                <w:sz w:val="21"/>
              </w:rPr>
            </w:pPr>
          </w:p>
        </w:tc>
      </w:tr>
    </w:tbl>
    <w:p>
      <w:pPr>
        <w:spacing w:before="166" w:line="199" w:lineRule="auto"/>
        <w:ind w:left="3335"/>
        <w:rPr>
          <w:rFonts w:ascii="Arial" w:hAnsi="Arial" w:eastAsia="Arial" w:cs="Arial"/>
          <w:sz w:val="17"/>
          <w:szCs w:val="17"/>
        </w:rPr>
      </w:pPr>
      <w:r>
        <w:rPr>
          <w:rFonts w:ascii="Arial" w:hAnsi="Arial" w:eastAsia="Arial" w:cs="Arial"/>
          <w:color w:val="231F20"/>
          <w:spacing w:val="2"/>
          <w:sz w:val="17"/>
          <w:szCs w:val="17"/>
        </w:rPr>
        <w:t xml:space="preserve">2016  </w:t>
      </w:r>
      <w:r>
        <w:rPr>
          <w:rFonts w:ascii="Arial" w:hAnsi="Arial" w:eastAsia="Arial" w:cs="Arial"/>
          <w:color w:val="231F20"/>
          <w:spacing w:val="1"/>
          <w:sz w:val="17"/>
          <w:szCs w:val="17"/>
        </w:rPr>
        <w:t xml:space="preserve">              2017                     2018                     2019                     2020</w:t>
      </w:r>
    </w:p>
    <w:p>
      <w:pPr>
        <w:spacing w:before="210" w:line="346" w:lineRule="exact"/>
        <w:ind w:left="4141"/>
        <w:rPr>
          <w:rFonts w:ascii="宋体" w:hAnsi="宋体" w:eastAsia="宋体" w:cs="宋体"/>
          <w:sz w:val="17"/>
          <w:szCs w:val="17"/>
        </w:rPr>
      </w:pPr>
      <w:r>
        <w:rPr>
          <w:rFonts w:ascii="宋体" w:hAnsi="宋体" w:eastAsia="宋体" w:cs="宋体"/>
          <w:color w:val="231F20"/>
          <w:position w:val="12"/>
          <w:sz w:val="17"/>
          <w:szCs w:val="17"/>
        </w:rPr>
        <w:drawing>
          <wp:inline distT="0" distB="0" distL="0" distR="0">
            <wp:extent cx="186690" cy="64770"/>
            <wp:effectExtent l="0" t="0" r="0" b="0"/>
            <wp:docPr id="227" name="IM 227"/>
            <wp:cNvGraphicFramePr/>
            <a:graphic xmlns:a="http://schemas.openxmlformats.org/drawingml/2006/main">
              <a:graphicData uri="http://schemas.openxmlformats.org/drawingml/2006/picture">
                <pic:pic xmlns:pic="http://schemas.openxmlformats.org/drawingml/2006/picture">
                  <pic:nvPicPr>
                    <pic:cNvPr id="227" name="IM 227"/>
                    <pic:cNvPicPr/>
                  </pic:nvPicPr>
                  <pic:blipFill>
                    <a:blip r:embed="rId106"/>
                    <a:stretch>
                      <a:fillRect/>
                    </a:stretch>
                  </pic:blipFill>
                  <pic:spPr>
                    <a:xfrm>
                      <a:off x="0" y="0"/>
                      <a:ext cx="187203" cy="64820"/>
                    </a:xfrm>
                    <a:prstGeom prst="rect">
                      <a:avLst/>
                    </a:prstGeom>
                  </pic:spPr>
                </pic:pic>
              </a:graphicData>
            </a:graphic>
          </wp:inline>
        </w:drawing>
      </w:r>
      <w:r>
        <w:rPr>
          <w:rFonts w:ascii="宋体" w:hAnsi="宋体" w:eastAsia="宋体" w:cs="宋体"/>
          <w:color w:val="231F20"/>
          <w:spacing w:val="9"/>
          <w:position w:val="13"/>
          <w:sz w:val="17"/>
          <w:szCs w:val="17"/>
        </w:rPr>
        <w:t xml:space="preserve"> 全国规模以上汽车制造企业营收利润</w:t>
      </w:r>
      <w:r>
        <w:rPr>
          <w:rFonts w:ascii="宋体" w:hAnsi="宋体" w:eastAsia="宋体" w:cs="宋体"/>
          <w:color w:val="231F20"/>
          <w:spacing w:val="8"/>
          <w:position w:val="13"/>
          <w:sz w:val="17"/>
          <w:szCs w:val="17"/>
        </w:rPr>
        <w:t>率</w:t>
      </w:r>
    </w:p>
    <w:p>
      <w:pPr>
        <w:spacing w:line="226" w:lineRule="auto"/>
        <w:ind w:left="4152"/>
        <w:rPr>
          <w:rFonts w:ascii="宋体" w:hAnsi="宋体" w:eastAsia="宋体" w:cs="宋体"/>
          <w:sz w:val="17"/>
          <w:szCs w:val="17"/>
        </w:rPr>
      </w:pPr>
      <w:r>
        <w:rPr>
          <w:rFonts w:ascii="宋体" w:hAnsi="宋体" w:eastAsia="宋体" w:cs="宋体"/>
          <w:color w:val="231F20"/>
          <w:position w:val="1"/>
          <w:sz w:val="17"/>
          <w:szCs w:val="17"/>
        </w:rPr>
        <w:drawing>
          <wp:inline distT="0" distB="0" distL="0" distR="0">
            <wp:extent cx="186690" cy="6477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07"/>
                    <a:stretch>
                      <a:fillRect/>
                    </a:stretch>
                  </pic:blipFill>
                  <pic:spPr>
                    <a:xfrm>
                      <a:off x="0" y="0"/>
                      <a:ext cx="187203" cy="64820"/>
                    </a:xfrm>
                    <a:prstGeom prst="rect">
                      <a:avLst/>
                    </a:prstGeom>
                  </pic:spPr>
                </pic:pic>
              </a:graphicData>
            </a:graphic>
          </wp:inline>
        </w:drawing>
      </w:r>
      <w:r>
        <w:rPr>
          <w:rFonts w:ascii="宋体" w:hAnsi="宋体" w:eastAsia="宋体" w:cs="宋体"/>
          <w:color w:val="231F20"/>
          <w:spacing w:val="14"/>
          <w:sz w:val="17"/>
          <w:szCs w:val="17"/>
        </w:rPr>
        <w:t xml:space="preserve"> </w:t>
      </w:r>
      <w:r>
        <w:rPr>
          <w:rFonts w:ascii="宋体" w:hAnsi="宋体" w:eastAsia="宋体" w:cs="宋体"/>
          <w:color w:val="231F20"/>
          <w:spacing w:val="8"/>
          <w:sz w:val="17"/>
          <w:szCs w:val="17"/>
        </w:rPr>
        <w:t>规模以上外资汽车制造企业营收利润率</w:t>
      </w:r>
    </w:p>
    <w:p>
      <w:pPr>
        <w:spacing w:line="243" w:lineRule="auto"/>
        <w:rPr>
          <w:rFonts w:ascii="Arial"/>
          <w:sz w:val="21"/>
        </w:rPr>
      </w:pPr>
    </w:p>
    <w:p>
      <w:pPr>
        <w:spacing w:before="65" w:line="383" w:lineRule="exact"/>
        <w:ind w:left="3509"/>
        <w:rPr>
          <w:rFonts w:ascii="SimHei" w:hAnsi="SimHei" w:eastAsia="SimHei" w:cs="SimHei"/>
          <w:sz w:val="20"/>
          <w:szCs w:val="20"/>
        </w:rPr>
      </w:pPr>
      <w:r>
        <w:rPr>
          <w:rFonts w:ascii="SimHei" w:hAnsi="SimHei" w:eastAsia="SimHei" w:cs="SimHei"/>
          <w:color w:val="231F20"/>
          <w:spacing w:val="6"/>
          <w:position w:val="13"/>
          <w:sz w:val="20"/>
          <w:szCs w:val="20"/>
        </w:rPr>
        <w:t xml:space="preserve">图 </w:t>
      </w:r>
      <w:r>
        <w:rPr>
          <w:rFonts w:ascii="Times New Roman" w:hAnsi="Times New Roman" w:eastAsia="Times New Roman" w:cs="Times New Roman"/>
          <w:color w:val="231F20"/>
          <w:spacing w:val="6"/>
          <w:position w:val="13"/>
          <w:sz w:val="20"/>
          <w:szCs w:val="20"/>
        </w:rPr>
        <w:t>2-</w:t>
      </w:r>
      <w:r>
        <w:rPr>
          <w:rFonts w:ascii="Times New Roman" w:hAnsi="Times New Roman" w:eastAsia="Times New Roman" w:cs="Times New Roman"/>
          <w:color w:val="231F20"/>
          <w:spacing w:val="3"/>
          <w:position w:val="13"/>
          <w:sz w:val="20"/>
          <w:szCs w:val="20"/>
        </w:rPr>
        <w:t xml:space="preserve">5 2016-2020 </w:t>
      </w:r>
      <w:r>
        <w:rPr>
          <w:rFonts w:ascii="SimHei" w:hAnsi="SimHei" w:eastAsia="SimHei" w:cs="SimHei"/>
          <w:color w:val="231F20"/>
          <w:spacing w:val="3"/>
          <w:position w:val="13"/>
          <w:sz w:val="20"/>
          <w:szCs w:val="20"/>
        </w:rPr>
        <w:t>年规模以上汽车制造企业营收利润率情况</w:t>
      </w:r>
    </w:p>
    <w:p>
      <w:pPr>
        <w:spacing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56" w:line="242" w:lineRule="exact"/>
        <w:ind w:left="2627"/>
        <w:rPr>
          <w:rFonts w:ascii="宋体" w:hAnsi="宋体" w:eastAsia="宋体" w:cs="宋体"/>
          <w:sz w:val="17"/>
          <w:szCs w:val="17"/>
        </w:rPr>
      </w:pPr>
      <w:r>
        <w:rPr>
          <w:rFonts w:ascii="宋体" w:hAnsi="宋体" w:eastAsia="宋体" w:cs="宋体"/>
          <w:color w:val="030303"/>
          <w:spacing w:val="5"/>
          <w:position w:val="1"/>
          <w:sz w:val="17"/>
          <w:szCs w:val="17"/>
        </w:rPr>
        <w:t>万元</w:t>
      </w:r>
      <w:r>
        <w:rPr>
          <w:rFonts w:ascii="Times New Roman" w:hAnsi="Times New Roman" w:eastAsia="Times New Roman" w:cs="Times New Roman"/>
          <w:color w:val="030303"/>
          <w:spacing w:val="5"/>
          <w:position w:val="1"/>
          <w:sz w:val="17"/>
          <w:szCs w:val="17"/>
        </w:rPr>
        <w:t>/</w:t>
      </w:r>
      <w:r>
        <w:rPr>
          <w:rFonts w:ascii="宋体" w:hAnsi="宋体" w:eastAsia="宋体" w:cs="宋体"/>
          <w:color w:val="030303"/>
          <w:spacing w:val="5"/>
          <w:position w:val="1"/>
          <w:sz w:val="17"/>
          <w:szCs w:val="17"/>
        </w:rPr>
        <w:t>人</w:t>
      </w:r>
    </w:p>
    <w:p>
      <w:pPr>
        <w:spacing w:before="264" w:line="182" w:lineRule="auto"/>
        <w:ind w:left="2665"/>
        <w:rPr>
          <w:rFonts w:ascii="Calibri" w:hAnsi="Calibri" w:eastAsia="Calibri" w:cs="Calibri"/>
          <w:sz w:val="19"/>
          <w:szCs w:val="19"/>
        </w:rPr>
      </w:pPr>
      <w:r>
        <w:rPr>
          <w:rFonts w:ascii="Calibri" w:hAnsi="Calibri" w:eastAsia="Calibri" w:cs="Calibri"/>
          <w:color w:val="030303"/>
          <w:spacing w:val="1"/>
          <w:sz w:val="19"/>
          <w:szCs w:val="19"/>
        </w:rPr>
        <w:t>3</w:t>
      </w:r>
      <w:r>
        <w:rPr>
          <w:rFonts w:ascii="Calibri" w:hAnsi="Calibri" w:eastAsia="Calibri" w:cs="Calibri"/>
          <w:color w:val="030303"/>
          <w:sz w:val="19"/>
          <w:szCs w:val="19"/>
        </w:rPr>
        <w:t>00</w:t>
      </w:r>
      <w:r>
        <w:rPr>
          <w:rFonts w:ascii="Calibri" w:hAnsi="Calibri" w:eastAsia="Calibri" w:cs="Calibri"/>
          <w:strike/>
          <w:color w:val="030303"/>
          <w:sz w:val="19"/>
          <w:szCs w:val="19"/>
        </w:rPr>
        <w:t xml:space="preserve">  </w:t>
      </w:r>
    </w:p>
    <w:p>
      <w:pPr>
        <w:spacing w:before="231" w:line="182" w:lineRule="auto"/>
        <w:ind w:left="2666"/>
        <w:rPr>
          <w:rFonts w:ascii="Calibri" w:hAnsi="Calibri" w:eastAsia="Calibri" w:cs="Calibri"/>
          <w:sz w:val="19"/>
          <w:szCs w:val="19"/>
        </w:rPr>
      </w:pPr>
      <w:r>
        <w:rPr>
          <w:rFonts w:ascii="Calibri" w:hAnsi="Calibri" w:eastAsia="Calibri" w:cs="Calibri"/>
          <w:color w:val="030303"/>
          <w:sz w:val="19"/>
          <w:szCs w:val="19"/>
        </w:rPr>
        <w:t>250</w:t>
      </w:r>
      <w:r>
        <w:rPr>
          <w:rFonts w:ascii="Calibri" w:hAnsi="Calibri" w:eastAsia="Calibri" w:cs="Calibri"/>
          <w:strike/>
          <w:color w:val="030303"/>
          <w:sz w:val="19"/>
          <w:szCs w:val="19"/>
        </w:rPr>
        <w:t xml:space="preserve">  </w:t>
      </w:r>
    </w:p>
    <w:p/>
    <w:p>
      <w:pPr>
        <w:spacing w:line="41" w:lineRule="exact"/>
      </w:pPr>
    </w:p>
    <w:tbl>
      <w:tblPr>
        <w:tblStyle w:val="4"/>
        <w:tblW w:w="6649" w:type="dxa"/>
        <w:tblInd w:w="3087"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349"/>
        <w:gridCol w:w="1306"/>
        <w:gridCol w:w="1340"/>
        <w:gridCol w:w="1334"/>
        <w:gridCol w:w="1320"/>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08" w:hRule="atLeast"/>
        </w:trPr>
        <w:tc>
          <w:tcPr>
            <w:tcW w:w="6649" w:type="dxa"/>
            <w:gridSpan w:val="5"/>
            <w:tcBorders>
              <w:top w:val="dashed" w:color="CEE6ED" w:sz="2" w:space="0"/>
              <w:bottom w:val="dashed" w:color="CEE6ED" w:sz="2" w:space="0"/>
            </w:tcBorders>
            <w:vAlign w:val="top"/>
          </w:tcPr>
          <w:p>
            <w:pPr>
              <w:spacing w:before="293" w:line="114" w:lineRule="exact"/>
              <w:ind w:right="176"/>
              <w:jc w:val="right"/>
              <w:rPr>
                <w:rFonts w:ascii="微软雅黑" w:hAnsi="微软雅黑" w:eastAsia="微软雅黑" w:cs="微软雅黑"/>
                <w:sz w:val="14"/>
                <w:szCs w:val="14"/>
              </w:rPr>
            </w:pPr>
            <w:r>
              <w:rPr>
                <w:rFonts w:ascii="微软雅黑" w:hAnsi="微软雅黑" w:eastAsia="微软雅黑" w:cs="微软雅黑"/>
                <w:color w:val="030303"/>
                <w:spacing w:val="28"/>
                <w:position w:val="-2"/>
                <w:sz w:val="14"/>
                <w:szCs w:val="14"/>
              </w:rPr>
              <w:t>288.</w:t>
            </w:r>
            <w:r>
              <w:rPr>
                <w:rFonts w:ascii="微软雅黑" w:hAnsi="微软雅黑" w:eastAsia="微软雅黑" w:cs="微软雅黑"/>
                <w:color w:val="030303"/>
                <w:spacing w:val="27"/>
                <w:position w:val="-2"/>
                <w:sz w:val="14"/>
                <w:szCs w:val="14"/>
              </w:rPr>
              <w:t>3</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01" w:hRule="atLeast"/>
        </w:trPr>
        <w:tc>
          <w:tcPr>
            <w:tcW w:w="1349" w:type="dxa"/>
            <w:tcBorders>
              <w:top w:val="dashed" w:color="CEE6ED" w:sz="2" w:space="0"/>
              <w:bottom w:val="dashed" w:color="CEE6ED" w:sz="2" w:space="0"/>
            </w:tcBorders>
            <w:vAlign w:val="top"/>
          </w:tcPr>
          <w:p>
            <w:pPr>
              <w:spacing w:before="144" w:line="175" w:lineRule="auto"/>
              <w:ind w:left="625"/>
              <w:rPr>
                <w:rFonts w:ascii="微软雅黑" w:hAnsi="微软雅黑" w:eastAsia="微软雅黑" w:cs="微软雅黑"/>
                <w:sz w:val="19"/>
                <w:szCs w:val="19"/>
              </w:rPr>
            </w:pPr>
            <w:r>
              <w:rPr>
                <w:rFonts w:ascii="微软雅黑" w:hAnsi="微软雅黑" w:eastAsia="微软雅黑" w:cs="微软雅黑"/>
                <w:color w:val="030303"/>
                <w:spacing w:val="2"/>
                <w:sz w:val="19"/>
                <w:szCs w:val="19"/>
              </w:rPr>
              <w:t>224.</w:t>
            </w:r>
            <w:r>
              <w:rPr>
                <w:rFonts w:ascii="微软雅黑" w:hAnsi="微软雅黑" w:eastAsia="微软雅黑" w:cs="微软雅黑"/>
                <w:color w:val="030303"/>
                <w:spacing w:val="1"/>
                <w:sz w:val="19"/>
                <w:szCs w:val="19"/>
              </w:rPr>
              <w:t>3</w:t>
            </w:r>
          </w:p>
        </w:tc>
        <w:tc>
          <w:tcPr>
            <w:tcW w:w="1306" w:type="dxa"/>
            <w:tcBorders>
              <w:top w:val="dashed" w:color="CEE6ED" w:sz="2" w:space="0"/>
              <w:bottom w:val="dashed" w:color="CEE6ED" w:sz="2" w:space="0"/>
            </w:tcBorders>
            <w:vAlign w:val="top"/>
          </w:tcPr>
          <w:p>
            <w:pPr>
              <w:spacing w:before="153" w:line="175" w:lineRule="auto"/>
              <w:ind w:left="597"/>
              <w:rPr>
                <w:rFonts w:ascii="微软雅黑" w:hAnsi="微软雅黑" w:eastAsia="微软雅黑" w:cs="微软雅黑"/>
                <w:sz w:val="19"/>
                <w:szCs w:val="19"/>
              </w:rPr>
            </w:pPr>
            <w:r>
              <w:rPr>
                <w:rFonts w:ascii="微软雅黑" w:hAnsi="微软雅黑" w:eastAsia="微软雅黑" w:cs="微软雅黑"/>
                <w:color w:val="030303"/>
                <w:spacing w:val="2"/>
                <w:sz w:val="19"/>
                <w:szCs w:val="19"/>
              </w:rPr>
              <w:t>233.</w:t>
            </w:r>
            <w:r>
              <w:rPr>
                <w:rFonts w:ascii="微软雅黑" w:hAnsi="微软雅黑" w:eastAsia="微软雅黑" w:cs="微软雅黑"/>
                <w:color w:val="030303"/>
                <w:spacing w:val="1"/>
                <w:sz w:val="19"/>
                <w:szCs w:val="19"/>
              </w:rPr>
              <w:t>0</w:t>
            </w:r>
          </w:p>
        </w:tc>
        <w:tc>
          <w:tcPr>
            <w:tcW w:w="1340" w:type="dxa"/>
            <w:tcBorders>
              <w:top w:val="dashed" w:color="CEE6ED" w:sz="2" w:space="0"/>
              <w:bottom w:val="dashed" w:color="CEE6ED" w:sz="2" w:space="0"/>
            </w:tcBorders>
            <w:vAlign w:val="top"/>
          </w:tcPr>
          <w:p>
            <w:pPr>
              <w:spacing w:before="98" w:line="175" w:lineRule="auto"/>
              <w:ind w:left="638"/>
              <w:rPr>
                <w:rFonts w:ascii="微软雅黑" w:hAnsi="微软雅黑" w:eastAsia="微软雅黑" w:cs="微软雅黑"/>
                <w:sz w:val="19"/>
                <w:szCs w:val="19"/>
              </w:rPr>
            </w:pPr>
            <w:r>
              <w:rPr>
                <w:rFonts w:ascii="微软雅黑" w:hAnsi="微软雅黑" w:eastAsia="微软雅黑" w:cs="微软雅黑"/>
                <w:color w:val="030303"/>
                <w:spacing w:val="2"/>
                <w:sz w:val="19"/>
                <w:szCs w:val="19"/>
              </w:rPr>
              <w:t>244.</w:t>
            </w:r>
            <w:r>
              <w:rPr>
                <w:rFonts w:ascii="微软雅黑" w:hAnsi="微软雅黑" w:eastAsia="微软雅黑" w:cs="微软雅黑"/>
                <w:color w:val="030303"/>
                <w:spacing w:val="1"/>
                <w:sz w:val="19"/>
                <w:szCs w:val="19"/>
              </w:rPr>
              <w:t>1</w:t>
            </w:r>
          </w:p>
        </w:tc>
        <w:tc>
          <w:tcPr>
            <w:tcW w:w="1334" w:type="dxa"/>
            <w:tcBorders>
              <w:top w:val="dashed" w:color="CEE6ED" w:sz="2" w:space="0"/>
              <w:bottom w:val="dashed" w:color="CEE6ED" w:sz="2" w:space="0"/>
            </w:tcBorders>
            <w:vAlign w:val="top"/>
          </w:tcPr>
          <w:p>
            <w:pPr>
              <w:spacing w:before="51" w:line="175" w:lineRule="auto"/>
              <w:ind w:left="619"/>
              <w:rPr>
                <w:rFonts w:ascii="微软雅黑" w:hAnsi="微软雅黑" w:eastAsia="微软雅黑" w:cs="微软雅黑"/>
                <w:sz w:val="19"/>
                <w:szCs w:val="19"/>
              </w:rPr>
            </w:pPr>
            <w:r>
              <w:rPr>
                <w:rFonts w:ascii="微软雅黑" w:hAnsi="微软雅黑" w:eastAsia="微软雅黑" w:cs="微软雅黑"/>
                <w:color w:val="030303"/>
                <w:spacing w:val="2"/>
                <w:sz w:val="19"/>
                <w:szCs w:val="19"/>
              </w:rPr>
              <w:t>253.</w:t>
            </w:r>
            <w:r>
              <w:rPr>
                <w:rFonts w:ascii="微软雅黑" w:hAnsi="微软雅黑" w:eastAsia="微软雅黑" w:cs="微软雅黑"/>
                <w:color w:val="030303"/>
                <w:spacing w:val="1"/>
                <w:sz w:val="19"/>
                <w:szCs w:val="19"/>
              </w:rPr>
              <w:t>1</w:t>
            </w:r>
          </w:p>
        </w:tc>
        <w:tc>
          <w:tcPr>
            <w:tcW w:w="1320" w:type="dxa"/>
            <w:tcBorders>
              <w:top w:val="dashed" w:color="CEE6ED" w:sz="2" w:space="0"/>
              <w:bottom w:val="dashed" w:color="CEE6ED" w:sz="2" w:space="0"/>
            </w:tcBorders>
            <w:vAlign w:val="top"/>
          </w:tcPr>
          <w:p>
            <w:pPr>
              <w:spacing w:before="263" w:line="137" w:lineRule="exact"/>
              <w:ind w:left="255"/>
              <w:rPr>
                <w:rFonts w:ascii="微软雅黑" w:hAnsi="微软雅黑" w:eastAsia="微软雅黑" w:cs="微软雅黑"/>
                <w:sz w:val="17"/>
                <w:szCs w:val="17"/>
              </w:rPr>
            </w:pPr>
            <w:r>
              <w:rPr>
                <w:rFonts w:ascii="微软雅黑" w:hAnsi="微软雅黑" w:eastAsia="微软雅黑" w:cs="微软雅黑"/>
                <w:color w:val="030303"/>
                <w:spacing w:val="12"/>
                <w:position w:val="-2"/>
                <w:sz w:val="17"/>
                <w:szCs w:val="17"/>
              </w:rPr>
              <w:t>1</w:t>
            </w:r>
            <w:r>
              <w:rPr>
                <w:rFonts w:ascii="微软雅黑" w:hAnsi="微软雅黑" w:eastAsia="微软雅黑" w:cs="微软雅黑"/>
                <w:color w:val="030303"/>
                <w:spacing w:val="10"/>
                <w:position w:val="-2"/>
                <w:sz w:val="17"/>
                <w:szCs w:val="17"/>
              </w:rPr>
              <w:t>95.7</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08" w:hRule="atLeast"/>
        </w:trPr>
        <w:tc>
          <w:tcPr>
            <w:tcW w:w="1349" w:type="dxa"/>
            <w:tcBorders>
              <w:top w:val="dashed" w:color="CEE6ED" w:sz="2" w:space="0"/>
              <w:bottom w:val="dashed" w:color="CEE6ED" w:sz="2" w:space="0"/>
            </w:tcBorders>
            <w:vAlign w:val="top"/>
          </w:tcPr>
          <w:p>
            <w:pPr>
              <w:spacing w:before="10" w:line="175" w:lineRule="auto"/>
              <w:ind w:left="220"/>
              <w:rPr>
                <w:rFonts w:ascii="微软雅黑" w:hAnsi="微软雅黑" w:eastAsia="微软雅黑" w:cs="微软雅黑"/>
                <w:sz w:val="19"/>
                <w:szCs w:val="19"/>
              </w:rPr>
            </w:pPr>
            <w:r>
              <w:rPr>
                <w:rFonts w:ascii="微软雅黑" w:hAnsi="微软雅黑" w:eastAsia="微软雅黑" w:cs="微软雅黑"/>
                <w:color w:val="030303"/>
                <w:sz w:val="19"/>
                <w:szCs w:val="19"/>
              </w:rPr>
              <w:t>168.3</w:t>
            </w:r>
          </w:p>
        </w:tc>
        <w:tc>
          <w:tcPr>
            <w:tcW w:w="1306" w:type="dxa"/>
            <w:tcBorders>
              <w:top w:val="dashed" w:color="CEE6ED" w:sz="2" w:space="0"/>
              <w:bottom w:val="dashed" w:color="CEE6ED" w:sz="2" w:space="0"/>
            </w:tcBorders>
            <w:vAlign w:val="top"/>
          </w:tcPr>
          <w:p>
            <w:pPr>
              <w:spacing w:before="38" w:line="175" w:lineRule="auto"/>
              <w:ind w:left="236"/>
              <w:rPr>
                <w:rFonts w:ascii="微软雅黑" w:hAnsi="微软雅黑" w:eastAsia="微软雅黑" w:cs="微软雅黑"/>
                <w:sz w:val="19"/>
                <w:szCs w:val="19"/>
              </w:rPr>
            </w:pPr>
            <w:r>
              <w:rPr>
                <w:rFonts w:ascii="微软雅黑" w:hAnsi="微软雅黑" w:eastAsia="微软雅黑" w:cs="微软雅黑"/>
                <w:color w:val="030303"/>
                <w:sz w:val="19"/>
                <w:szCs w:val="19"/>
              </w:rPr>
              <w:t>173.5</w:t>
            </w:r>
          </w:p>
        </w:tc>
        <w:tc>
          <w:tcPr>
            <w:tcW w:w="1340" w:type="dxa"/>
            <w:tcBorders>
              <w:top w:val="dashed" w:color="CEE6ED" w:sz="2" w:space="0"/>
              <w:bottom w:val="dashed" w:color="CEE6ED" w:sz="2" w:space="0"/>
            </w:tcBorders>
            <w:vAlign w:val="top"/>
          </w:tcPr>
          <w:p>
            <w:pPr>
              <w:spacing w:line="177" w:lineRule="auto"/>
              <w:ind w:left="215"/>
              <w:rPr>
                <w:rFonts w:ascii="微软雅黑" w:hAnsi="微软雅黑" w:eastAsia="微软雅黑" w:cs="微软雅黑"/>
                <w:sz w:val="14"/>
                <w:szCs w:val="14"/>
              </w:rPr>
            </w:pPr>
            <w:r>
              <w:rPr>
                <w:rFonts w:ascii="微软雅黑" w:hAnsi="微软雅黑" w:eastAsia="微软雅黑" w:cs="微软雅黑"/>
                <w:color w:val="030303"/>
                <w:spacing w:val="26"/>
                <w:sz w:val="14"/>
                <w:szCs w:val="14"/>
              </w:rPr>
              <w:t>181.7</w:t>
            </w:r>
          </w:p>
        </w:tc>
        <w:tc>
          <w:tcPr>
            <w:tcW w:w="1334" w:type="dxa"/>
            <w:tcBorders>
              <w:top w:val="dashed" w:color="CEE6ED" w:sz="2" w:space="0"/>
              <w:bottom w:val="dashed" w:color="CEE6ED" w:sz="2" w:space="0"/>
            </w:tcBorders>
            <w:vAlign w:val="top"/>
          </w:tcPr>
          <w:p>
            <w:pPr>
              <w:spacing w:line="173" w:lineRule="auto"/>
              <w:ind w:left="241"/>
              <w:rPr>
                <w:rFonts w:ascii="微软雅黑" w:hAnsi="微软雅黑" w:eastAsia="微软雅黑" w:cs="微软雅黑"/>
                <w:sz w:val="17"/>
                <w:szCs w:val="17"/>
              </w:rPr>
            </w:pPr>
            <w:r>
              <w:rPr>
                <w:rFonts w:ascii="微软雅黑" w:hAnsi="微软雅黑" w:eastAsia="微软雅黑" w:cs="微软雅黑"/>
                <w:color w:val="030303"/>
                <w:spacing w:val="12"/>
                <w:sz w:val="17"/>
                <w:szCs w:val="17"/>
              </w:rPr>
              <w:t>1</w:t>
            </w:r>
            <w:r>
              <w:rPr>
                <w:rFonts w:ascii="微软雅黑" w:hAnsi="微软雅黑" w:eastAsia="微软雅黑" w:cs="微软雅黑"/>
                <w:color w:val="030303"/>
                <w:spacing w:val="10"/>
                <w:sz w:val="17"/>
                <w:szCs w:val="17"/>
              </w:rPr>
              <w:t>78.3</w:t>
            </w:r>
          </w:p>
        </w:tc>
        <w:tc>
          <w:tcPr>
            <w:tcW w:w="1320" w:type="dxa"/>
            <w:tcBorders>
              <w:top w:val="dashed" w:color="CEE6ED" w:sz="2" w:space="0"/>
              <w:bottom w:val="dashed" w:color="CEE6ED" w:sz="2" w:space="0"/>
            </w:tcBorders>
            <w:vAlign w:val="top"/>
          </w:tcPr>
          <w:p>
            <w:pPr>
              <w:rPr>
                <w:rFonts w:ascii="Arial"/>
                <w:sz w:val="21"/>
              </w:rPr>
            </w:pPr>
          </w:p>
        </w:tc>
      </w:tr>
    </w:tbl>
    <w:p>
      <w:pPr>
        <w:spacing w:line="282" w:lineRule="auto"/>
        <w:rPr>
          <w:rFonts w:ascii="Arial"/>
          <w:sz w:val="21"/>
        </w:rPr>
      </w:pPr>
    </w:p>
    <w:p>
      <w:pPr>
        <w:spacing w:before="58" w:line="182" w:lineRule="auto"/>
        <w:ind w:left="2863"/>
        <w:rPr>
          <w:rFonts w:ascii="Calibri" w:hAnsi="Calibri" w:eastAsia="Calibri" w:cs="Calibri"/>
          <w:sz w:val="19"/>
          <w:szCs w:val="19"/>
        </w:rPr>
      </w:pPr>
      <w:r>
        <w:rPr>
          <w:rFonts w:ascii="Calibri" w:hAnsi="Calibri" w:eastAsia="Calibri" w:cs="Calibri"/>
          <w:color w:val="030303"/>
          <w:sz w:val="19"/>
          <w:szCs w:val="19"/>
        </w:rPr>
        <w:t>0</w:t>
      </w:r>
    </w:p>
    <w:p>
      <w:pPr>
        <w:spacing w:before="76" w:line="182" w:lineRule="auto"/>
        <w:ind w:left="3561"/>
        <w:rPr>
          <w:rFonts w:ascii="Calibri" w:hAnsi="Calibri" w:eastAsia="Calibri" w:cs="Calibri"/>
          <w:sz w:val="19"/>
          <w:szCs w:val="19"/>
        </w:rPr>
      </w:pPr>
      <w:r>
        <w:rPr>
          <w:rFonts w:ascii="Calibri" w:hAnsi="Calibri" w:eastAsia="Calibri" w:cs="Calibri"/>
          <w:color w:val="030303"/>
          <w:spacing w:val="2"/>
          <w:sz w:val="19"/>
          <w:szCs w:val="19"/>
        </w:rPr>
        <w:t xml:space="preserve">2016                     2017                     2018                  </w:t>
      </w:r>
      <w:r>
        <w:rPr>
          <w:rFonts w:ascii="Calibri" w:hAnsi="Calibri" w:eastAsia="Calibri" w:cs="Calibri"/>
          <w:color w:val="030303"/>
          <w:spacing w:val="1"/>
          <w:sz w:val="19"/>
          <w:szCs w:val="19"/>
        </w:rPr>
        <w:t xml:space="preserve">   2019                     2020</w:t>
      </w:r>
    </w:p>
    <w:p>
      <w:pPr>
        <w:spacing w:before="220" w:line="306" w:lineRule="exact"/>
        <w:ind w:left="4525"/>
        <w:rPr>
          <w:rFonts w:ascii="宋体" w:hAnsi="宋体" w:eastAsia="宋体" w:cs="宋体"/>
          <w:sz w:val="19"/>
          <w:szCs w:val="19"/>
        </w:rPr>
      </w:pPr>
      <w:r>
        <w:rPr>
          <w:rFonts w:ascii="宋体" w:hAnsi="宋体" w:eastAsia="宋体" w:cs="宋体"/>
          <w:color w:val="030303"/>
          <w:spacing w:val="11"/>
          <w:position w:val="8"/>
          <w:sz w:val="19"/>
          <w:szCs w:val="19"/>
        </w:rPr>
        <w:t>全</w:t>
      </w:r>
      <w:r>
        <w:rPr>
          <w:rFonts w:ascii="宋体" w:hAnsi="宋体" w:eastAsia="宋体" w:cs="宋体"/>
          <w:color w:val="030303"/>
          <w:spacing w:val="9"/>
          <w:position w:val="8"/>
          <w:sz w:val="19"/>
          <w:szCs w:val="19"/>
        </w:rPr>
        <w:t>国规模以上汽车制造企业人均营业收入</w:t>
      </w:r>
    </w:p>
    <w:p>
      <w:pPr>
        <w:spacing w:line="224" w:lineRule="auto"/>
        <w:ind w:left="4526"/>
        <w:rPr>
          <w:rFonts w:ascii="宋体" w:hAnsi="宋体" w:eastAsia="宋体" w:cs="宋体"/>
          <w:sz w:val="19"/>
          <w:szCs w:val="19"/>
        </w:rPr>
      </w:pPr>
      <w:r>
        <w:rPr>
          <w:rFonts w:ascii="宋体" w:hAnsi="宋体" w:eastAsia="宋体" w:cs="宋体"/>
          <w:color w:val="030303"/>
          <w:spacing w:val="10"/>
          <w:sz w:val="19"/>
          <w:szCs w:val="19"/>
        </w:rPr>
        <w:t>规</w:t>
      </w:r>
      <w:r>
        <w:rPr>
          <w:rFonts w:ascii="宋体" w:hAnsi="宋体" w:eastAsia="宋体" w:cs="宋体"/>
          <w:color w:val="030303"/>
          <w:spacing w:val="9"/>
          <w:sz w:val="19"/>
          <w:szCs w:val="19"/>
        </w:rPr>
        <w:t>模以上外资汽车制造企业人均营业收入</w:t>
      </w:r>
    </w:p>
    <w:p>
      <w:pPr>
        <w:spacing w:before="247" w:line="383" w:lineRule="exact"/>
        <w:ind w:left="3612"/>
        <w:rPr>
          <w:rFonts w:ascii="SimHei" w:hAnsi="SimHei" w:eastAsia="SimHei" w:cs="SimHei"/>
          <w:sz w:val="20"/>
          <w:szCs w:val="20"/>
        </w:rPr>
      </w:pPr>
      <w:r>
        <w:rPr>
          <w:rFonts w:ascii="SimHei" w:hAnsi="SimHei" w:eastAsia="SimHei" w:cs="SimHei"/>
          <w:color w:val="231F20"/>
          <w:spacing w:val="6"/>
          <w:position w:val="13"/>
          <w:sz w:val="20"/>
          <w:szCs w:val="20"/>
        </w:rPr>
        <w:t xml:space="preserve">图 </w:t>
      </w:r>
      <w:r>
        <w:rPr>
          <w:rFonts w:ascii="Times New Roman" w:hAnsi="Times New Roman" w:eastAsia="Times New Roman" w:cs="Times New Roman"/>
          <w:color w:val="231F20"/>
          <w:spacing w:val="5"/>
          <w:position w:val="13"/>
          <w:sz w:val="20"/>
          <w:szCs w:val="20"/>
        </w:rPr>
        <w:t>2</w:t>
      </w:r>
      <w:r>
        <w:rPr>
          <w:rFonts w:ascii="Times New Roman" w:hAnsi="Times New Roman" w:eastAsia="Times New Roman" w:cs="Times New Roman"/>
          <w:color w:val="231F20"/>
          <w:spacing w:val="3"/>
          <w:position w:val="13"/>
          <w:sz w:val="20"/>
          <w:szCs w:val="20"/>
        </w:rPr>
        <w:t xml:space="preserve">-6 2016-2020 </w:t>
      </w:r>
      <w:r>
        <w:rPr>
          <w:rFonts w:ascii="SimHei" w:hAnsi="SimHei" w:eastAsia="SimHei" w:cs="SimHei"/>
          <w:color w:val="231F20"/>
          <w:spacing w:val="3"/>
          <w:position w:val="13"/>
          <w:sz w:val="20"/>
          <w:szCs w:val="20"/>
        </w:rPr>
        <w:t>年规模以上汽车制造企业人均营收情况</w:t>
      </w:r>
    </w:p>
    <w:p>
      <w:pPr>
        <w:spacing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91936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29" name="IM 229"/>
            <wp:cNvGraphicFramePr/>
            <a:graphic xmlns:a="http://schemas.openxmlformats.org/drawingml/2006/main">
              <a:graphicData uri="http://schemas.openxmlformats.org/drawingml/2006/picture">
                <pic:pic xmlns:pic="http://schemas.openxmlformats.org/drawingml/2006/picture">
                  <pic:nvPicPr>
                    <pic:cNvPr id="229" name="IM 229"/>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0"/>
        <w:rPr>
          <w:rFonts w:ascii="SimHei" w:hAnsi="SimHei" w:eastAsia="SimHei" w:cs="SimHei"/>
          <w:sz w:val="21"/>
          <w:szCs w:val="21"/>
        </w:rPr>
      </w:pPr>
      <w:r>
        <w:rPr>
          <w:rFonts w:ascii="Arial" w:hAnsi="Arial" w:eastAsia="Arial" w:cs="Arial"/>
          <w:color w:val="231F20"/>
          <w:spacing w:val="22"/>
          <w:sz w:val="20"/>
          <w:szCs w:val="20"/>
        </w:rPr>
        <w:t xml:space="preserve">44  </w:t>
      </w:r>
      <w:r>
        <w:rPr>
          <w:position w:val="-5"/>
          <w:sz w:val="20"/>
          <w:szCs w:val="20"/>
        </w:rPr>
        <w:drawing>
          <wp:inline distT="0" distB="0" distL="0" distR="0">
            <wp:extent cx="3175" cy="14732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2"/>
          <w:sz w:val="20"/>
          <w:szCs w:val="20"/>
        </w:rPr>
        <w:t xml:space="preserve">   </w:t>
      </w:r>
      <w:r>
        <w:rPr>
          <w:rFonts w:ascii="宋体" w:hAnsi="宋体" w:eastAsia="宋体" w:cs="宋体"/>
          <w:color w:val="537DBF"/>
          <w:spacing w:val="22"/>
          <w:sz w:val="21"/>
          <w:szCs w:val="21"/>
        </w:rPr>
        <w:t xml:space="preserve">中国外商投资报告 2022 </w:t>
      </w:r>
      <w:r>
        <w:rPr>
          <w:position w:val="-5"/>
          <w:sz w:val="21"/>
          <w:szCs w:val="21"/>
        </w:rPr>
        <w:drawing>
          <wp:inline distT="0" distB="0" distL="0" distR="0">
            <wp:extent cx="3175" cy="147320"/>
            <wp:effectExtent l="0" t="0" r="0" b="0"/>
            <wp:docPr id="231" name="IM 231"/>
            <wp:cNvGraphicFramePr/>
            <a:graphic xmlns:a="http://schemas.openxmlformats.org/drawingml/2006/main">
              <a:graphicData uri="http://schemas.openxmlformats.org/drawingml/2006/picture">
                <pic:pic xmlns:pic="http://schemas.openxmlformats.org/drawingml/2006/picture">
                  <pic:nvPicPr>
                    <pic:cNvPr id="231" name="IM 231"/>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2"/>
          <w:sz w:val="21"/>
          <w:szCs w:val="21"/>
        </w:rPr>
        <w:t xml:space="preserve">  </w:t>
      </w:r>
      <w:r>
        <w:rPr>
          <w:rFonts w:ascii="SimHei" w:hAnsi="SimHei" w:eastAsia="SimHei" w:cs="SimHei"/>
          <w:color w:val="1A67B3"/>
          <w:spacing w:val="22"/>
          <w:sz w:val="21"/>
          <w:szCs w:val="21"/>
          <w14:textOutline w14:w="3175" w14:cap="flat" w14:cmpd="sng">
            <w14:solidFill>
              <w14:srgbClr w14:val="1A67B3"/>
            </w14:solidFill>
            <w14:prstDash w14:val="solid"/>
            <w14:miter w14:val="0"/>
          </w14:textOutline>
        </w:rPr>
        <w:t>产业</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篇</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91" w:line="227" w:lineRule="auto"/>
        <w:ind w:left="2578"/>
        <w:rPr>
          <w:rFonts w:ascii="SimHei" w:hAnsi="SimHei" w:eastAsia="SimHei" w:cs="SimHei"/>
          <w:sz w:val="28"/>
          <w:szCs w:val="28"/>
        </w:rPr>
      </w:pPr>
      <w:r>
        <w:rPr>
          <w:rFonts w:ascii="SimHei" w:hAnsi="SimHei" w:eastAsia="SimHei" w:cs="SimHei"/>
          <w:color w:val="015DAC"/>
          <w:spacing w:val="-4"/>
          <w:sz w:val="28"/>
          <w:szCs w:val="28"/>
        </w:rPr>
        <w:t>四、化</w:t>
      </w:r>
      <w:r>
        <w:rPr>
          <w:rFonts w:ascii="SimHei" w:hAnsi="SimHei" w:eastAsia="SimHei" w:cs="SimHei"/>
          <w:color w:val="015DAC"/>
          <w:spacing w:val="-2"/>
          <w:sz w:val="28"/>
          <w:szCs w:val="28"/>
        </w:rPr>
        <w:t>工制造业</w:t>
      </w:r>
    </w:p>
    <w:p>
      <w:pPr>
        <w:spacing w:line="351" w:lineRule="auto"/>
        <w:rPr>
          <w:rFonts w:ascii="Arial"/>
          <w:sz w:val="21"/>
        </w:rPr>
      </w:pPr>
    </w:p>
    <w:p>
      <w:pPr>
        <w:spacing w:before="95" w:line="260" w:lineRule="auto"/>
        <w:ind w:left="1986" w:right="1985" w:firstLine="458"/>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化工制造业是国民经济发展的</w:t>
      </w:r>
      <w:r>
        <w:rPr>
          <w:rFonts w:ascii="微软雅黑" w:hAnsi="微软雅黑" w:eastAsia="微软雅黑" w:cs="微软雅黑"/>
          <w:color w:val="231F20"/>
          <w:spacing w:val="1"/>
          <w:sz w:val="22"/>
          <w:szCs w:val="22"/>
        </w:rPr>
        <w:t>重要基础行业 ，其产业链条长、资本技术密集程度</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高、产业带动效应大。中国是世界最大的化工产品生产国和消</w:t>
      </w:r>
      <w:r>
        <w:rPr>
          <w:rFonts w:ascii="微软雅黑" w:hAnsi="微软雅黑" w:eastAsia="微软雅黑" w:cs="微软雅黑"/>
          <w:color w:val="231F20"/>
          <w:spacing w:val="1"/>
          <w:sz w:val="22"/>
          <w:szCs w:val="22"/>
        </w:rPr>
        <w:t>费国 ，在全球化工产业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链供应链中占据重要地位。外资化工企业作为中国化工产业的</w:t>
      </w:r>
      <w:r>
        <w:rPr>
          <w:rFonts w:ascii="微软雅黑" w:hAnsi="微软雅黑" w:eastAsia="微软雅黑" w:cs="微软雅黑"/>
          <w:color w:val="231F20"/>
          <w:spacing w:val="1"/>
          <w:sz w:val="22"/>
          <w:szCs w:val="22"/>
        </w:rPr>
        <w:t>重要组成部分 ，在引领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化工产业技术</w:t>
      </w:r>
      <w:r>
        <w:rPr>
          <w:rFonts w:ascii="微软雅黑" w:hAnsi="微软雅黑" w:eastAsia="微软雅黑" w:cs="微软雅黑"/>
          <w:color w:val="231F20"/>
          <w:spacing w:val="4"/>
          <w:sz w:val="22"/>
          <w:szCs w:val="22"/>
        </w:rPr>
        <w:t>创</w:t>
      </w:r>
      <w:r>
        <w:rPr>
          <w:rFonts w:ascii="微软雅黑" w:hAnsi="微软雅黑" w:eastAsia="微软雅黑" w:cs="微软雅黑"/>
          <w:color w:val="231F20"/>
          <w:spacing w:val="3"/>
          <w:sz w:val="22"/>
          <w:szCs w:val="22"/>
        </w:rPr>
        <w:t>新、促进化工产品贸易发展、推动化工产业高质量发展等方面发挥着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重</w:t>
      </w:r>
      <w:r>
        <w:rPr>
          <w:rFonts w:ascii="微软雅黑" w:hAnsi="微软雅黑" w:eastAsia="微软雅黑" w:cs="微软雅黑"/>
          <w:color w:val="231F20"/>
          <w:sz w:val="22"/>
          <w:szCs w:val="22"/>
        </w:rPr>
        <w:t xml:space="preserve">要作用。近年来 ，在中国产业转型升级和“双碳”目标的推动下 ，外资化工企业正 </w:t>
      </w:r>
      <w:r>
        <w:rPr>
          <w:rFonts w:ascii="微软雅黑" w:hAnsi="微软雅黑" w:eastAsia="微软雅黑" w:cs="微软雅黑"/>
          <w:color w:val="231F20"/>
          <w:spacing w:val="1"/>
          <w:sz w:val="22"/>
          <w:szCs w:val="22"/>
        </w:rPr>
        <w:t>在加速转型升级，推动化工制</w:t>
      </w:r>
      <w:r>
        <w:rPr>
          <w:rFonts w:ascii="微软雅黑" w:hAnsi="微软雅黑" w:eastAsia="微软雅黑" w:cs="微软雅黑"/>
          <w:color w:val="231F20"/>
          <w:sz w:val="22"/>
          <w:szCs w:val="22"/>
        </w:rPr>
        <w:t>造业高质量发展。</w:t>
      </w:r>
    </w:p>
    <w:p>
      <w:pPr>
        <w:spacing w:before="177"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0"/>
          <w:sz w:val="24"/>
          <w:szCs w:val="24"/>
        </w:rPr>
        <w:t>一) 行业政策变化</w:t>
      </w:r>
    </w:p>
    <w:p>
      <w:pPr>
        <w:spacing w:before="332" w:line="266" w:lineRule="auto"/>
        <w:ind w:left="1989" w:right="1983" w:firstLine="464"/>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近年来，  国务院和国家发展改革委、工业和信息化部</w:t>
      </w:r>
      <w:r>
        <w:rPr>
          <w:rFonts w:ascii="微软雅黑" w:hAnsi="微软雅黑" w:eastAsia="微软雅黑" w:cs="微软雅黑"/>
          <w:color w:val="231F20"/>
          <w:sz w:val="22"/>
          <w:szCs w:val="22"/>
        </w:rPr>
        <w:t xml:space="preserve">等相关部门陆续印发了支持 </w:t>
      </w:r>
      <w:r>
        <w:rPr>
          <w:rFonts w:ascii="微软雅黑" w:hAnsi="微软雅黑" w:eastAsia="微软雅黑" w:cs="微软雅黑"/>
          <w:color w:val="231F20"/>
          <w:spacing w:val="2"/>
          <w:sz w:val="22"/>
          <w:szCs w:val="22"/>
        </w:rPr>
        <w:t>化工制造业转型升级和绿色低碳发展的相关政策 ，促进跨国化工</w:t>
      </w:r>
      <w:r>
        <w:rPr>
          <w:rFonts w:ascii="微软雅黑" w:hAnsi="微软雅黑" w:eastAsia="微软雅黑" w:cs="微软雅黑"/>
          <w:color w:val="231F20"/>
          <w:spacing w:val="1"/>
          <w:sz w:val="22"/>
          <w:szCs w:val="22"/>
        </w:rPr>
        <w:t>企业加大在华投资和</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稳</w:t>
      </w:r>
      <w:r>
        <w:rPr>
          <w:rFonts w:ascii="微软雅黑" w:hAnsi="微软雅黑" w:eastAsia="微软雅黑" w:cs="微软雅黑"/>
          <w:color w:val="231F20"/>
          <w:sz w:val="22"/>
          <w:szCs w:val="22"/>
        </w:rPr>
        <w:t>定发展。</w:t>
      </w:r>
    </w:p>
    <w:p>
      <w:pPr>
        <w:spacing w:before="178" w:line="218" w:lineRule="auto"/>
        <w:ind w:left="2464"/>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1. </w:t>
      </w:r>
      <w:r>
        <w:rPr>
          <w:rFonts w:ascii="KaiTi" w:hAnsi="KaiTi" w:eastAsia="KaiTi" w:cs="KaiTi"/>
          <w:color w:val="015DAC"/>
          <w:spacing w:val="1"/>
          <w:sz w:val="22"/>
          <w:szCs w:val="22"/>
        </w:rPr>
        <w:t>推动</w:t>
      </w:r>
      <w:r>
        <w:rPr>
          <w:rFonts w:ascii="KaiTi" w:hAnsi="KaiTi" w:eastAsia="KaiTi" w:cs="KaiTi"/>
          <w:color w:val="015DAC"/>
          <w:sz w:val="22"/>
          <w:szCs w:val="22"/>
        </w:rPr>
        <w:t>化工制造业绿色低碳转型，引导外商投资企业转型发展</w:t>
      </w:r>
    </w:p>
    <w:p>
      <w:pPr>
        <w:spacing w:line="260" w:lineRule="auto"/>
        <w:rPr>
          <w:rFonts w:ascii="Arial"/>
          <w:sz w:val="21"/>
        </w:rPr>
      </w:pPr>
    </w:p>
    <w:p>
      <w:pPr>
        <w:spacing w:before="95" w:line="259" w:lineRule="auto"/>
        <w:ind w:left="1970" w:right="1966" w:firstLine="475"/>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推动化工行业转型升</w:t>
      </w:r>
      <w:r>
        <w:rPr>
          <w:rFonts w:ascii="微软雅黑" w:hAnsi="微软雅黑" w:eastAsia="微软雅黑" w:cs="微软雅黑"/>
          <w:color w:val="231F20"/>
          <w:spacing w:val="3"/>
          <w:sz w:val="22"/>
          <w:szCs w:val="22"/>
        </w:rPr>
        <w:t>级是落实碳达峰碳中和重大战略决策部署的关键措施之一。</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年以来，  中国密集出台</w:t>
      </w:r>
      <w:r>
        <w:rPr>
          <w:rFonts w:ascii="微软雅黑" w:hAnsi="微软雅黑" w:eastAsia="微软雅黑" w:cs="微软雅黑"/>
          <w:color w:val="231F20"/>
          <w:sz w:val="22"/>
          <w:szCs w:val="22"/>
        </w:rPr>
        <w:t xml:space="preserve">《加快建立健全绿色低碳循环发展经济体系的指导意见》 </w:t>
      </w:r>
      <w:r>
        <w:rPr>
          <w:rFonts w:ascii="微软雅黑" w:hAnsi="微软雅黑" w:eastAsia="微软雅黑" w:cs="微软雅黑"/>
          <w:color w:val="231F20"/>
          <w:spacing w:val="1"/>
          <w:sz w:val="22"/>
          <w:szCs w:val="22"/>
        </w:rPr>
        <w:t>《  “十四五”全国清洁生产推行方</w:t>
      </w:r>
      <w:r>
        <w:rPr>
          <w:rFonts w:ascii="微软雅黑" w:hAnsi="微软雅黑" w:eastAsia="微软雅黑" w:cs="微软雅黑"/>
          <w:color w:val="231F20"/>
          <w:sz w:val="22"/>
          <w:szCs w:val="22"/>
        </w:rPr>
        <w:t xml:space="preserve">案》《石化化工重点行业严格能效约束推动节能降 </w:t>
      </w:r>
      <w:r>
        <w:rPr>
          <w:rFonts w:ascii="微软雅黑" w:hAnsi="微软雅黑" w:eastAsia="微软雅黑" w:cs="微软雅黑"/>
          <w:color w:val="231F20"/>
          <w:spacing w:val="3"/>
          <w:sz w:val="22"/>
          <w:szCs w:val="22"/>
        </w:rPr>
        <w:t xml:space="preserve">碳行动方案 ( </w:t>
      </w:r>
      <w:r>
        <w:rPr>
          <w:rFonts w:ascii="Times New Roman" w:hAnsi="Times New Roman" w:eastAsia="Times New Roman" w:cs="Times New Roman"/>
          <w:color w:val="231F20"/>
          <w:spacing w:val="3"/>
          <w:sz w:val="22"/>
          <w:szCs w:val="22"/>
        </w:rPr>
        <w:t xml:space="preserve">2021-2025 </w:t>
      </w:r>
      <w:r>
        <w:rPr>
          <w:rFonts w:ascii="微软雅黑" w:hAnsi="微软雅黑" w:eastAsia="微软雅黑" w:cs="微软雅黑"/>
          <w:color w:val="231F20"/>
          <w:spacing w:val="3"/>
          <w:sz w:val="22"/>
          <w:szCs w:val="22"/>
        </w:rPr>
        <w:t>年 )  》等一系列规划和政策文件 ，强化化工制造业绿色</w:t>
      </w:r>
      <w:r>
        <w:rPr>
          <w:rFonts w:ascii="微软雅黑" w:hAnsi="微软雅黑" w:eastAsia="微软雅黑" w:cs="微软雅黑"/>
          <w:color w:val="231F20"/>
          <w:spacing w:val="1"/>
          <w:sz w:val="22"/>
          <w:szCs w:val="22"/>
        </w:rPr>
        <w:t>低</w:t>
      </w:r>
      <w:r>
        <w:rPr>
          <w:rFonts w:ascii="微软雅黑" w:hAnsi="微软雅黑" w:eastAsia="微软雅黑" w:cs="微软雅黑"/>
          <w:color w:val="231F20"/>
          <w:sz w:val="22"/>
          <w:szCs w:val="22"/>
        </w:rPr>
        <w:t xml:space="preserve">碳 </w:t>
      </w:r>
      <w:r>
        <w:rPr>
          <w:rFonts w:ascii="微软雅黑" w:hAnsi="微软雅黑" w:eastAsia="微软雅黑" w:cs="微软雅黑"/>
          <w:color w:val="231F20"/>
          <w:spacing w:val="-1"/>
          <w:sz w:val="22"/>
          <w:szCs w:val="22"/>
        </w:rPr>
        <w:t>转型的顶层设计 ，推动和引导化工制造业领域节能降碳 ，加</w:t>
      </w:r>
      <w:r>
        <w:rPr>
          <w:rFonts w:ascii="微软雅黑" w:hAnsi="微软雅黑" w:eastAsia="微软雅黑" w:cs="微软雅黑"/>
          <w:color w:val="231F20"/>
          <w:sz w:val="22"/>
          <w:szCs w:val="22"/>
        </w:rPr>
        <w:t xml:space="preserve">快化工产业绿色化改造 ， </w:t>
      </w:r>
      <w:r>
        <w:rPr>
          <w:rFonts w:ascii="微软雅黑" w:hAnsi="微软雅黑" w:eastAsia="微软雅黑" w:cs="微软雅黑"/>
          <w:color w:val="231F20"/>
          <w:spacing w:val="1"/>
          <w:sz w:val="22"/>
          <w:szCs w:val="22"/>
        </w:rPr>
        <w:t>开展清洁生产 ，发</w:t>
      </w:r>
      <w:r>
        <w:rPr>
          <w:rFonts w:ascii="微软雅黑" w:hAnsi="微软雅黑" w:eastAsia="微软雅黑" w:cs="微软雅黑"/>
          <w:color w:val="231F20"/>
          <w:sz w:val="22"/>
          <w:szCs w:val="22"/>
        </w:rPr>
        <w:t xml:space="preserve">展生物化工 ，实现化工制造业绿色低碳转型升级。这些政策对推动 </w:t>
      </w:r>
      <w:r>
        <w:rPr>
          <w:rFonts w:ascii="微软雅黑" w:hAnsi="微软雅黑" w:eastAsia="微软雅黑" w:cs="微软雅黑"/>
          <w:color w:val="231F20"/>
          <w:spacing w:val="4"/>
          <w:sz w:val="22"/>
          <w:szCs w:val="22"/>
        </w:rPr>
        <w:t>外资化工企业围绕化工行业实现“双碳”目标、加快绿色低碳技术开发和应用、</w:t>
      </w:r>
      <w:r>
        <w:rPr>
          <w:rFonts w:ascii="微软雅黑" w:hAnsi="微软雅黑" w:eastAsia="微软雅黑" w:cs="微软雅黑"/>
          <w:color w:val="231F20"/>
          <w:spacing w:val="2"/>
          <w:sz w:val="22"/>
          <w:szCs w:val="22"/>
        </w:rPr>
        <w:t>开</w:t>
      </w:r>
      <w:r>
        <w:rPr>
          <w:rFonts w:ascii="微软雅黑" w:hAnsi="微软雅黑" w:eastAsia="微软雅黑" w:cs="微软雅黑"/>
          <w:color w:val="231F20"/>
          <w:sz w:val="22"/>
          <w:szCs w:val="22"/>
        </w:rPr>
        <w:t xml:space="preserve">发 </w:t>
      </w:r>
      <w:r>
        <w:rPr>
          <w:rFonts w:ascii="微软雅黑" w:hAnsi="微软雅黑" w:eastAsia="微软雅黑" w:cs="微软雅黑"/>
          <w:color w:val="231F20"/>
          <w:spacing w:val="2"/>
          <w:sz w:val="22"/>
          <w:szCs w:val="22"/>
        </w:rPr>
        <w:t>化工新产品</w:t>
      </w:r>
      <w:r>
        <w:rPr>
          <w:rFonts w:ascii="微软雅黑" w:hAnsi="微软雅黑" w:eastAsia="微软雅黑" w:cs="微软雅黑"/>
          <w:color w:val="231F20"/>
          <w:spacing w:val="1"/>
          <w:sz w:val="22"/>
          <w:szCs w:val="22"/>
        </w:rPr>
        <w:t>、发展绿色制造起到了重要的促进作用。</w:t>
      </w:r>
    </w:p>
    <w:p>
      <w:pPr>
        <w:spacing w:line="378" w:lineRule="auto"/>
        <w:rPr>
          <w:rFonts w:ascii="Arial"/>
          <w:sz w:val="21"/>
        </w:rPr>
      </w:pPr>
    </w:p>
    <w:p>
      <w:pPr>
        <w:spacing w:before="66" w:line="226" w:lineRule="auto"/>
        <w:ind w:left="3639"/>
        <w:rPr>
          <w:rFonts w:ascii="SimHei" w:hAnsi="SimHei" w:eastAsia="SimHei" w:cs="SimHei"/>
          <w:sz w:val="20"/>
          <w:szCs w:val="20"/>
        </w:rPr>
      </w:pPr>
      <w:r>
        <w:rPr>
          <w:rFonts w:ascii="SimHei" w:hAnsi="SimHei" w:eastAsia="SimHei" w:cs="SimHei"/>
          <w:color w:val="231F20"/>
          <w:spacing w:val="6"/>
          <w:sz w:val="20"/>
          <w:szCs w:val="20"/>
        </w:rPr>
        <w:t xml:space="preserve">表 </w:t>
      </w:r>
      <w:r>
        <w:rPr>
          <w:rFonts w:ascii="Times New Roman" w:hAnsi="Times New Roman" w:eastAsia="Times New Roman" w:cs="Times New Roman"/>
          <w:color w:val="231F20"/>
          <w:spacing w:val="6"/>
          <w:sz w:val="20"/>
          <w:szCs w:val="20"/>
        </w:rPr>
        <w:t xml:space="preserve">2-3 </w:t>
      </w:r>
      <w:r>
        <w:rPr>
          <w:rFonts w:ascii="Times New Roman" w:hAnsi="Times New Roman" w:eastAsia="Times New Roman" w:cs="Times New Roman"/>
          <w:color w:val="231F20"/>
          <w:spacing w:val="5"/>
          <w:sz w:val="20"/>
          <w:szCs w:val="20"/>
        </w:rPr>
        <w:t>2</w:t>
      </w:r>
      <w:r>
        <w:rPr>
          <w:rFonts w:ascii="Times New Roman" w:hAnsi="Times New Roman" w:eastAsia="Times New Roman" w:cs="Times New Roman"/>
          <w:color w:val="231F20"/>
          <w:spacing w:val="3"/>
          <w:sz w:val="20"/>
          <w:szCs w:val="20"/>
        </w:rPr>
        <w:t xml:space="preserve">021 </w:t>
      </w:r>
      <w:r>
        <w:rPr>
          <w:rFonts w:ascii="SimHei" w:hAnsi="SimHei" w:eastAsia="SimHei" w:cs="SimHei"/>
          <w:color w:val="231F20"/>
          <w:spacing w:val="3"/>
          <w:sz w:val="20"/>
          <w:szCs w:val="20"/>
        </w:rPr>
        <w:t>年有关化工制造业绿色低碳转型的政策文件</w:t>
      </w:r>
    </w:p>
    <w:p>
      <w:pPr>
        <w:spacing w:before="159" w:line="1788" w:lineRule="exact"/>
        <w:ind w:firstLine="1984"/>
        <w:textAlignment w:val="center"/>
      </w:pPr>
      <w:r>
        <w:pict>
          <v:group id="_x0000_s1255" o:spid="_x0000_s1255" o:spt="203" style="height:89.4pt;width:413.9pt;" coordsize="8277,1788">
            <o:lock v:ext="edit"/>
            <v:shape id="_x0000_s1256" o:spid="_x0000_s1256" o:spt="75" type="#_x0000_t75" style="position:absolute;left:0;top:10;height:1775;width:8277;" filled="f" stroked="f" coordsize="21600,21600">
              <v:path/>
              <v:fill on="f" focussize="0,0"/>
              <v:stroke on="f"/>
              <v:imagedata r:id="rId108" o:title=""/>
              <o:lock v:ext="edit" aspectratio="t"/>
            </v:shape>
            <v:shape id="_x0000_s1257" o:spid="_x0000_s1257" o:spt="202" type="#_x0000_t202" style="position:absolute;left:-20;top:-20;height:1828;width:8317;" filled="f" stroked="f" coordsize="21600,21600">
              <v:path/>
              <v:fill on="f" focussize="0,0"/>
              <v:stroke on="f"/>
              <v:imagedata o:title=""/>
              <o:lock v:ext="edit" aspectratio="f"/>
              <v:textbox inset="0mm,0mm,0mm,0mm">
                <w:txbxContent>
                  <w:p>
                    <w:pPr>
                      <w:spacing w:line="20" w:lineRule="exact"/>
                    </w:pPr>
                  </w:p>
                  <w:tbl>
                    <w:tblPr>
                      <w:tblStyle w:val="4"/>
                      <w:tblW w:w="8277" w:type="dxa"/>
                      <w:tblInd w:w="20" w:type="dxa"/>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Layout w:type="fixed"/>
                      <w:tblCellMar>
                        <w:top w:w="0" w:type="dxa"/>
                        <w:left w:w="0" w:type="dxa"/>
                        <w:bottom w:w="0" w:type="dxa"/>
                        <w:right w:w="0" w:type="dxa"/>
                      </w:tblCellMar>
                    </w:tblPr>
                    <w:tblGrid>
                      <w:gridCol w:w="1449"/>
                      <w:gridCol w:w="1707"/>
                      <w:gridCol w:w="2060"/>
                      <w:gridCol w:w="3061"/>
                    </w:tblGrid>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531" w:hRule="atLeast"/>
                      </w:trPr>
                      <w:tc>
                        <w:tcPr>
                          <w:tcW w:w="1449" w:type="dxa"/>
                          <w:tcBorders>
                            <w:left w:val="nil"/>
                          </w:tcBorders>
                          <w:vAlign w:val="top"/>
                        </w:tcPr>
                        <w:p>
                          <w:pPr>
                            <w:spacing w:before="169" w:line="223" w:lineRule="auto"/>
                            <w:ind w:left="538"/>
                            <w:rPr>
                              <w:rFonts w:ascii="SimHei" w:hAnsi="SimHei" w:eastAsia="SimHei" w:cs="SimHei"/>
                              <w:sz w:val="20"/>
                              <w:szCs w:val="20"/>
                            </w:rPr>
                          </w:pPr>
                          <w:r>
                            <w:rPr>
                              <w:rFonts w:ascii="SimHei" w:hAnsi="SimHei" w:eastAsia="SimHei" w:cs="SimHei"/>
                              <w:color w:val="231F20"/>
                              <w:spacing w:val="-4"/>
                              <w:sz w:val="20"/>
                              <w:szCs w:val="20"/>
                            </w:rPr>
                            <w:t>时</w:t>
                          </w:r>
                          <w:r>
                            <w:rPr>
                              <w:rFonts w:ascii="SimHei" w:hAnsi="SimHei" w:eastAsia="SimHei" w:cs="SimHei"/>
                              <w:color w:val="231F20"/>
                              <w:spacing w:val="-3"/>
                              <w:sz w:val="20"/>
                              <w:szCs w:val="20"/>
                            </w:rPr>
                            <w:t>间</w:t>
                          </w:r>
                        </w:p>
                      </w:tc>
                      <w:tc>
                        <w:tcPr>
                          <w:tcW w:w="1707" w:type="dxa"/>
                          <w:vAlign w:val="top"/>
                        </w:tcPr>
                        <w:p>
                          <w:pPr>
                            <w:spacing w:before="168" w:line="221" w:lineRule="auto"/>
                            <w:ind w:left="458"/>
                            <w:rPr>
                              <w:rFonts w:ascii="SimHei" w:hAnsi="SimHei" w:eastAsia="SimHei" w:cs="SimHei"/>
                              <w:sz w:val="20"/>
                              <w:szCs w:val="20"/>
                            </w:rPr>
                          </w:pPr>
                          <w:r>
                            <w:rPr>
                              <w:rFonts w:ascii="SimHei" w:hAnsi="SimHei" w:eastAsia="SimHei" w:cs="SimHei"/>
                              <w:color w:val="231F20"/>
                              <w:spacing w:val="-2"/>
                              <w:sz w:val="20"/>
                              <w:szCs w:val="20"/>
                            </w:rPr>
                            <w:t>发</w:t>
                          </w:r>
                          <w:r>
                            <w:rPr>
                              <w:rFonts w:ascii="SimHei" w:hAnsi="SimHei" w:eastAsia="SimHei" w:cs="SimHei"/>
                              <w:color w:val="231F20"/>
                              <w:spacing w:val="-1"/>
                              <w:sz w:val="20"/>
                              <w:szCs w:val="20"/>
                            </w:rPr>
                            <w:t>文部门</w:t>
                          </w:r>
                        </w:p>
                      </w:tc>
                      <w:tc>
                        <w:tcPr>
                          <w:tcW w:w="2060" w:type="dxa"/>
                          <w:vAlign w:val="top"/>
                        </w:tcPr>
                        <w:p>
                          <w:pPr>
                            <w:spacing w:before="168" w:line="222" w:lineRule="auto"/>
                            <w:ind w:left="635"/>
                            <w:rPr>
                              <w:rFonts w:ascii="SimHei" w:hAnsi="SimHei" w:eastAsia="SimHei" w:cs="SimHei"/>
                              <w:sz w:val="20"/>
                              <w:szCs w:val="20"/>
                            </w:rPr>
                          </w:pPr>
                          <w:r>
                            <w:rPr>
                              <w:rFonts w:ascii="SimHei" w:hAnsi="SimHei" w:eastAsia="SimHei" w:cs="SimHei"/>
                              <w:color w:val="231F20"/>
                              <w:spacing w:val="-2"/>
                              <w:sz w:val="20"/>
                              <w:szCs w:val="20"/>
                            </w:rPr>
                            <w:t>文件</w:t>
                          </w:r>
                          <w:r>
                            <w:rPr>
                              <w:rFonts w:ascii="SimHei" w:hAnsi="SimHei" w:eastAsia="SimHei" w:cs="SimHei"/>
                              <w:color w:val="231F20"/>
                              <w:spacing w:val="-1"/>
                              <w:sz w:val="20"/>
                              <w:szCs w:val="20"/>
                            </w:rPr>
                            <w:t>名称</w:t>
                          </w:r>
                        </w:p>
                      </w:tc>
                      <w:tc>
                        <w:tcPr>
                          <w:tcW w:w="3061" w:type="dxa"/>
                          <w:tcBorders>
                            <w:right w:val="nil"/>
                          </w:tcBorders>
                          <w:vAlign w:val="top"/>
                        </w:tcPr>
                        <w:p>
                          <w:pPr>
                            <w:spacing w:before="168" w:line="221" w:lineRule="auto"/>
                            <w:ind w:left="35"/>
                            <w:rPr>
                              <w:rFonts w:ascii="SimHei" w:hAnsi="SimHei" w:eastAsia="SimHei" w:cs="SimHei"/>
                              <w:sz w:val="20"/>
                              <w:szCs w:val="20"/>
                            </w:rPr>
                          </w:pPr>
                          <w:r>
                            <w:rPr>
                              <w:rFonts w:ascii="SimHei" w:hAnsi="SimHei" w:eastAsia="SimHei" w:cs="SimHei"/>
                              <w:color w:val="231F20"/>
                              <w:spacing w:val="-1"/>
                              <w:sz w:val="20"/>
                              <w:szCs w:val="20"/>
                            </w:rPr>
                            <w:t>涉及化工绿色低</w:t>
                          </w:r>
                          <w:r>
                            <w:rPr>
                              <w:rFonts w:ascii="SimHei" w:hAnsi="SimHei" w:eastAsia="SimHei" w:cs="SimHei"/>
                              <w:color w:val="231F20"/>
                              <w:sz w:val="20"/>
                              <w:szCs w:val="20"/>
                            </w:rPr>
                            <w:t>碳转型的主要内容</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504" w:hRule="atLeast"/>
                      </w:trPr>
                      <w:tc>
                        <w:tcPr>
                          <w:tcW w:w="1449" w:type="dxa"/>
                          <w:tcBorders>
                            <w:left w:val="nil"/>
                          </w:tcBorders>
                          <w:vAlign w:val="top"/>
                        </w:tcPr>
                        <w:p>
                          <w:pPr>
                            <w:spacing w:before="152" w:line="223" w:lineRule="auto"/>
                            <w:ind w:left="202"/>
                            <w:rPr>
                              <w:rFonts w:ascii="SimHei" w:hAnsi="SimHei" w:eastAsia="SimHei" w:cs="SimHei"/>
                              <w:sz w:val="20"/>
                              <w:szCs w:val="20"/>
                            </w:rPr>
                          </w:pPr>
                          <w:r>
                            <w:rPr>
                              <w:rFonts w:ascii="SimHei" w:hAnsi="SimHei" w:eastAsia="SimHei" w:cs="SimHei"/>
                              <w:color w:val="231F20"/>
                              <w:spacing w:val="-21"/>
                              <w:sz w:val="20"/>
                              <w:szCs w:val="20"/>
                            </w:rPr>
                            <w:t>2</w:t>
                          </w:r>
                          <w:r>
                            <w:rPr>
                              <w:rFonts w:ascii="SimHei" w:hAnsi="SimHei" w:eastAsia="SimHei" w:cs="SimHei"/>
                              <w:color w:val="231F20"/>
                              <w:spacing w:val="-13"/>
                              <w:sz w:val="20"/>
                              <w:szCs w:val="20"/>
                            </w:rPr>
                            <w:t>021 年 1 月</w:t>
                          </w:r>
                        </w:p>
                      </w:tc>
                      <w:tc>
                        <w:tcPr>
                          <w:tcW w:w="1707" w:type="dxa"/>
                          <w:vAlign w:val="top"/>
                        </w:tcPr>
                        <w:p>
                          <w:pPr>
                            <w:spacing w:before="26" w:line="167" w:lineRule="auto"/>
                            <w:ind w:left="460" w:right="47" w:hanging="386"/>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中国</w:t>
                          </w:r>
                          <w:r>
                            <w:rPr>
                              <w:rFonts w:ascii="微软雅黑" w:hAnsi="微软雅黑" w:eastAsia="微软雅黑" w:cs="微软雅黑"/>
                              <w:color w:val="231F20"/>
                              <w:spacing w:val="-3"/>
                              <w:sz w:val="20"/>
                              <w:szCs w:val="20"/>
                            </w:rPr>
                            <w:t>石</w:t>
                          </w:r>
                          <w:r>
                            <w:rPr>
                              <w:rFonts w:ascii="微软雅黑" w:hAnsi="微软雅黑" w:eastAsia="微软雅黑" w:cs="微软雅黑"/>
                              <w:color w:val="231F20"/>
                              <w:spacing w:val="-2"/>
                              <w:sz w:val="20"/>
                              <w:szCs w:val="20"/>
                            </w:rPr>
                            <w:t>油和化学工</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业</w:t>
                          </w:r>
                          <w:r>
                            <w:rPr>
                              <w:rFonts w:ascii="微软雅黑" w:hAnsi="微软雅黑" w:eastAsia="微软雅黑" w:cs="微软雅黑"/>
                              <w:color w:val="231F20"/>
                              <w:spacing w:val="-2"/>
                              <w:sz w:val="20"/>
                              <w:szCs w:val="20"/>
                            </w:rPr>
                            <w:t>联合会</w:t>
                          </w:r>
                        </w:p>
                      </w:tc>
                      <w:tc>
                        <w:tcPr>
                          <w:tcW w:w="2060" w:type="dxa"/>
                          <w:vAlign w:val="top"/>
                        </w:tcPr>
                        <w:p>
                          <w:pPr>
                            <w:spacing w:before="26" w:line="167" w:lineRule="auto"/>
                            <w:ind w:left="52" w:right="13" w:firstLine="158"/>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w:t>
                          </w:r>
                          <w:r>
                            <w:rPr>
                              <w:rFonts w:ascii="微软雅黑" w:hAnsi="微软雅黑" w:eastAsia="微软雅黑" w:cs="微软雅黑"/>
                              <w:color w:val="231F20"/>
                              <w:spacing w:val="3"/>
                              <w:sz w:val="20"/>
                              <w:szCs w:val="20"/>
                            </w:rPr>
                            <w:t>石</w:t>
                          </w:r>
                          <w:r>
                            <w:rPr>
                              <w:rFonts w:ascii="微软雅黑" w:hAnsi="微软雅黑" w:eastAsia="微软雅黑" w:cs="微软雅黑"/>
                              <w:color w:val="231F20"/>
                              <w:spacing w:val="2"/>
                              <w:sz w:val="20"/>
                              <w:szCs w:val="20"/>
                            </w:rPr>
                            <w:t>油和化学工业</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“十</w:t>
                          </w:r>
                          <w:r>
                            <w:rPr>
                              <w:rFonts w:ascii="微软雅黑" w:hAnsi="微软雅黑" w:eastAsia="微软雅黑" w:cs="微软雅黑"/>
                              <w:color w:val="231F20"/>
                              <w:spacing w:val="-1"/>
                              <w:sz w:val="20"/>
                              <w:szCs w:val="20"/>
                            </w:rPr>
                            <w:t>四五”发展指南》</w:t>
                          </w:r>
                        </w:p>
                      </w:tc>
                      <w:tc>
                        <w:tcPr>
                          <w:tcW w:w="3061" w:type="dxa"/>
                          <w:tcBorders>
                            <w:right w:val="nil"/>
                          </w:tcBorders>
                          <w:vAlign w:val="top"/>
                        </w:tcPr>
                        <w:p>
                          <w:pPr>
                            <w:spacing w:before="26" w:line="167" w:lineRule="auto"/>
                            <w:ind w:left="37" w:right="27" w:hanging="5"/>
                            <w:rPr>
                              <w:rFonts w:ascii="微软雅黑" w:hAnsi="微软雅黑" w:eastAsia="微软雅黑" w:cs="微软雅黑"/>
                              <w:sz w:val="20"/>
                              <w:szCs w:val="20"/>
                            </w:rPr>
                          </w:pPr>
                          <w:r>
                            <w:rPr>
                              <w:rFonts w:ascii="微软雅黑" w:hAnsi="微软雅黑" w:eastAsia="微软雅黑" w:cs="微软雅黑"/>
                              <w:color w:val="231F20"/>
                              <w:spacing w:val="16"/>
                              <w:sz w:val="20"/>
                              <w:szCs w:val="20"/>
                            </w:rPr>
                            <w:t>推</w:t>
                          </w:r>
                          <w:r>
                            <w:rPr>
                              <w:rFonts w:ascii="微软雅黑" w:hAnsi="微软雅黑" w:eastAsia="微软雅黑" w:cs="微软雅黑"/>
                              <w:color w:val="231F20"/>
                              <w:spacing w:val="14"/>
                              <w:sz w:val="20"/>
                              <w:szCs w:val="20"/>
                            </w:rPr>
                            <w:t>动石油和化学工业绿色低碳转</w:t>
                          </w:r>
                          <w:r>
                            <w:rPr>
                              <w:rFonts w:ascii="微软雅黑" w:hAnsi="微软雅黑" w:eastAsia="微软雅黑" w:cs="微软雅黑"/>
                              <w:color w:val="231F20"/>
                              <w:sz w:val="20"/>
                              <w:szCs w:val="20"/>
                            </w:rPr>
                            <w:t xml:space="preserve"> 型</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732" w:hRule="atLeast"/>
                      </w:trPr>
                      <w:tc>
                        <w:tcPr>
                          <w:tcW w:w="1449" w:type="dxa"/>
                          <w:tcBorders>
                            <w:left w:val="nil"/>
                          </w:tcBorders>
                          <w:vAlign w:val="top"/>
                        </w:tcPr>
                        <w:p>
                          <w:pPr>
                            <w:spacing w:before="266" w:line="223" w:lineRule="auto"/>
                            <w:ind w:left="202"/>
                            <w:rPr>
                              <w:rFonts w:ascii="SimHei" w:hAnsi="SimHei" w:eastAsia="SimHei" w:cs="SimHei"/>
                              <w:sz w:val="20"/>
                              <w:szCs w:val="20"/>
                            </w:rPr>
                          </w:pPr>
                          <w:r>
                            <w:rPr>
                              <w:rFonts w:ascii="SimHei" w:hAnsi="SimHei" w:eastAsia="SimHei" w:cs="SimHei"/>
                              <w:color w:val="231F20"/>
                              <w:spacing w:val="-21"/>
                              <w:sz w:val="20"/>
                              <w:szCs w:val="20"/>
                            </w:rPr>
                            <w:t>2</w:t>
                          </w:r>
                          <w:r>
                            <w:rPr>
                              <w:rFonts w:ascii="SimHei" w:hAnsi="SimHei" w:eastAsia="SimHei" w:cs="SimHei"/>
                              <w:color w:val="231F20"/>
                              <w:spacing w:val="-13"/>
                              <w:sz w:val="20"/>
                              <w:szCs w:val="20"/>
                            </w:rPr>
                            <w:t>021 年 2 月</w:t>
                          </w:r>
                        </w:p>
                      </w:tc>
                      <w:tc>
                        <w:tcPr>
                          <w:tcW w:w="1707" w:type="dxa"/>
                          <w:vAlign w:val="top"/>
                        </w:tcPr>
                        <w:p>
                          <w:pPr>
                            <w:spacing w:before="260" w:line="202" w:lineRule="auto"/>
                            <w:ind w:left="572"/>
                            <w:rPr>
                              <w:rFonts w:ascii="微软雅黑" w:hAnsi="微软雅黑" w:eastAsia="微软雅黑" w:cs="微软雅黑"/>
                              <w:sz w:val="20"/>
                              <w:szCs w:val="20"/>
                            </w:rPr>
                          </w:pPr>
                          <w:r>
                            <w:rPr>
                              <w:rFonts w:ascii="微软雅黑" w:hAnsi="微软雅黑" w:eastAsia="微软雅黑" w:cs="微软雅黑"/>
                              <w:color w:val="231F20"/>
                              <w:spacing w:val="-7"/>
                              <w:sz w:val="20"/>
                              <w:szCs w:val="20"/>
                            </w:rPr>
                            <w:t>国务院</w:t>
                          </w:r>
                        </w:p>
                      </w:tc>
                      <w:tc>
                        <w:tcPr>
                          <w:tcW w:w="2060" w:type="dxa"/>
                          <w:vAlign w:val="top"/>
                        </w:tcPr>
                        <w:p>
                          <w:pPr>
                            <w:spacing w:before="19" w:line="168" w:lineRule="auto"/>
                            <w:ind w:left="126" w:right="123" w:hanging="15"/>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w:t>
                          </w:r>
                          <w:r>
                            <w:rPr>
                              <w:rFonts w:ascii="微软雅黑" w:hAnsi="微软雅黑" w:eastAsia="微软雅黑" w:cs="微软雅黑"/>
                              <w:color w:val="231F20"/>
                              <w:spacing w:val="2"/>
                              <w:sz w:val="20"/>
                              <w:szCs w:val="20"/>
                            </w:rPr>
                            <w:t>加快建立健全绿色</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低碳循环</w:t>
                          </w:r>
                          <w:r>
                            <w:rPr>
                              <w:rFonts w:ascii="微软雅黑" w:hAnsi="微软雅黑" w:eastAsia="微软雅黑" w:cs="微软雅黑"/>
                              <w:color w:val="231F20"/>
                              <w:sz w:val="20"/>
                              <w:szCs w:val="20"/>
                            </w:rPr>
                            <w:t>发展经济体</w:t>
                          </w:r>
                        </w:p>
                        <w:p>
                          <w:pPr>
                            <w:spacing w:line="162" w:lineRule="auto"/>
                            <w:ind w:left="339"/>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系的指</w:t>
                          </w:r>
                          <w:r>
                            <w:rPr>
                              <w:rFonts w:ascii="微软雅黑" w:hAnsi="微软雅黑" w:eastAsia="微软雅黑" w:cs="微软雅黑"/>
                              <w:color w:val="231F20"/>
                              <w:sz w:val="20"/>
                              <w:szCs w:val="20"/>
                            </w:rPr>
                            <w:t>导意见》</w:t>
                          </w:r>
                        </w:p>
                      </w:tc>
                      <w:tc>
                        <w:tcPr>
                          <w:tcW w:w="3061" w:type="dxa"/>
                          <w:tcBorders>
                            <w:right w:val="nil"/>
                          </w:tcBorders>
                          <w:vAlign w:val="top"/>
                        </w:tcPr>
                        <w:p>
                          <w:pPr>
                            <w:spacing w:before="19" w:line="166" w:lineRule="auto"/>
                            <w:ind w:left="30" w:right="27" w:firstLine="5"/>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加快实施石化</w:t>
                          </w:r>
                          <w:r>
                            <w:rPr>
                              <w:rFonts w:ascii="微软雅黑" w:hAnsi="微软雅黑" w:eastAsia="微软雅黑" w:cs="微软雅黑"/>
                              <w:color w:val="231F20"/>
                              <w:sz w:val="20"/>
                              <w:szCs w:val="20"/>
                            </w:rPr>
                            <w:t xml:space="preserve">、化工、有色等行业 绿色化改造，推行产品绿色设计， </w:t>
                          </w:r>
                          <w:r>
                            <w:rPr>
                              <w:rFonts w:ascii="微软雅黑" w:hAnsi="微软雅黑" w:eastAsia="微软雅黑" w:cs="微软雅黑"/>
                              <w:color w:val="231F20"/>
                              <w:spacing w:val="1"/>
                              <w:sz w:val="20"/>
                              <w:szCs w:val="20"/>
                            </w:rPr>
                            <w:t>建设</w:t>
                          </w:r>
                          <w:r>
                            <w:rPr>
                              <w:rFonts w:ascii="微软雅黑" w:hAnsi="微软雅黑" w:eastAsia="微软雅黑" w:cs="微软雅黑"/>
                              <w:color w:val="231F20"/>
                              <w:sz w:val="20"/>
                              <w:szCs w:val="20"/>
                            </w:rPr>
                            <w:t>绿色制造体系</w:t>
                          </w:r>
                        </w:p>
                      </w:tc>
                    </w:tr>
                  </w:tbl>
                  <w:p>
                    <w:pPr>
                      <w:rPr>
                        <w:rFonts w:ascii="Arial"/>
                        <w:sz w:val="21"/>
                      </w:rPr>
                    </w:pPr>
                  </w:p>
                </w:txbxContent>
              </v:textbox>
            </v:shape>
            <w10:wrap type="none"/>
            <w10:anchorlock/>
          </v:group>
        </w:pic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92038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bookmarkStart w:id="42" w:name="_bookmark31"/>
      <w:bookmarkEnd w:id="42"/>
      <w:bookmarkStart w:id="43" w:name="_bookmark110"/>
      <w:bookmarkEnd w:id="43"/>
      <w:r>
        <w:rPr>
          <w:rFonts w:ascii="SimHei" w:hAnsi="SimHei" w:eastAsia="SimHei" w:cs="SimHei"/>
          <w:color w:val="1A67B3"/>
          <w:spacing w:val="36"/>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233" name="IM 233"/>
            <wp:cNvGraphicFramePr/>
            <a:graphic xmlns:a="http://schemas.openxmlformats.org/drawingml/2006/main">
              <a:graphicData uri="http://schemas.openxmlformats.org/drawingml/2006/picture">
                <pic:pic xmlns:pic="http://schemas.openxmlformats.org/drawingml/2006/picture">
                  <pic:nvPicPr>
                    <pic:cNvPr id="233" name="IM 233"/>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45</w:t>
      </w:r>
    </w:p>
    <w:p/>
    <w:p/>
    <w:p/>
    <w:p>
      <w:pPr>
        <w:spacing w:line="120" w:lineRule="exact"/>
      </w:pPr>
    </w:p>
    <w:tbl>
      <w:tblPr>
        <w:tblStyle w:val="4"/>
        <w:tblW w:w="8277" w:type="dxa"/>
        <w:tblInd w:w="1984" w:type="dxa"/>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Layout w:type="fixed"/>
        <w:tblCellMar>
          <w:top w:w="0" w:type="dxa"/>
          <w:left w:w="0" w:type="dxa"/>
          <w:bottom w:w="0" w:type="dxa"/>
          <w:right w:w="0" w:type="dxa"/>
        </w:tblCellMar>
      </w:tblPr>
      <w:tblGrid>
        <w:gridCol w:w="1449"/>
        <w:gridCol w:w="1707"/>
        <w:gridCol w:w="2060"/>
        <w:gridCol w:w="3061"/>
      </w:tblGrid>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532" w:hRule="atLeast"/>
        </w:trPr>
        <w:tc>
          <w:tcPr>
            <w:tcW w:w="1449" w:type="dxa"/>
            <w:tcBorders>
              <w:left w:val="nil"/>
            </w:tcBorders>
            <w:vAlign w:val="top"/>
          </w:tcPr>
          <w:p>
            <w:pPr>
              <w:spacing w:before="169" w:line="223" w:lineRule="auto"/>
              <w:ind w:left="538"/>
              <w:rPr>
                <w:rFonts w:ascii="SimHei" w:hAnsi="SimHei" w:eastAsia="SimHei" w:cs="SimHei"/>
                <w:sz w:val="20"/>
                <w:szCs w:val="20"/>
              </w:rPr>
            </w:pPr>
            <w:r>
              <w:drawing>
                <wp:anchor distT="0" distB="0" distL="0" distR="0" simplePos="0" relativeHeight="251921408" behindDoc="1" locked="0" layoutInCell="1" allowOverlap="1">
                  <wp:simplePos x="0" y="0"/>
                  <wp:positionH relativeFrom="column">
                    <wp:posOffset>0</wp:posOffset>
                  </wp:positionH>
                  <wp:positionV relativeFrom="paragraph">
                    <wp:posOffset>3175</wp:posOffset>
                  </wp:positionV>
                  <wp:extent cx="5255895" cy="1580515"/>
                  <wp:effectExtent l="0" t="0" r="0" b="0"/>
                  <wp:wrapNone/>
                  <wp:docPr id="235" name="IM 235"/>
                  <wp:cNvGraphicFramePr/>
                  <a:graphic xmlns:a="http://schemas.openxmlformats.org/drawingml/2006/main">
                    <a:graphicData uri="http://schemas.openxmlformats.org/drawingml/2006/picture">
                      <pic:pic xmlns:pic="http://schemas.openxmlformats.org/drawingml/2006/picture">
                        <pic:nvPicPr>
                          <pic:cNvPr id="235" name="IM 235"/>
                          <pic:cNvPicPr/>
                        </pic:nvPicPr>
                        <pic:blipFill>
                          <a:blip r:embed="rId109"/>
                          <a:stretch>
                            <a:fillRect/>
                          </a:stretch>
                        </pic:blipFill>
                        <pic:spPr>
                          <a:xfrm>
                            <a:off x="0" y="0"/>
                            <a:ext cx="5255997" cy="1580400"/>
                          </a:xfrm>
                          <a:prstGeom prst="rect">
                            <a:avLst/>
                          </a:prstGeom>
                        </pic:spPr>
                      </pic:pic>
                    </a:graphicData>
                  </a:graphic>
                </wp:anchor>
              </w:drawing>
            </w:r>
            <w:r>
              <w:rPr>
                <w:rFonts w:ascii="SimHei" w:hAnsi="SimHei" w:eastAsia="SimHei" w:cs="SimHei"/>
                <w:color w:val="231F20"/>
                <w:spacing w:val="-4"/>
                <w:sz w:val="20"/>
                <w:szCs w:val="20"/>
              </w:rPr>
              <w:t>时</w:t>
            </w:r>
            <w:r>
              <w:rPr>
                <w:rFonts w:ascii="SimHei" w:hAnsi="SimHei" w:eastAsia="SimHei" w:cs="SimHei"/>
                <w:color w:val="231F20"/>
                <w:spacing w:val="-3"/>
                <w:sz w:val="20"/>
                <w:szCs w:val="20"/>
              </w:rPr>
              <w:t>间</w:t>
            </w:r>
          </w:p>
        </w:tc>
        <w:tc>
          <w:tcPr>
            <w:tcW w:w="1707" w:type="dxa"/>
            <w:vAlign w:val="top"/>
          </w:tcPr>
          <w:p>
            <w:pPr>
              <w:spacing w:before="168" w:line="221" w:lineRule="auto"/>
              <w:ind w:left="458"/>
              <w:rPr>
                <w:rFonts w:ascii="SimHei" w:hAnsi="SimHei" w:eastAsia="SimHei" w:cs="SimHei"/>
                <w:sz w:val="20"/>
                <w:szCs w:val="20"/>
              </w:rPr>
            </w:pPr>
            <w:r>
              <w:rPr>
                <w:rFonts w:ascii="SimHei" w:hAnsi="SimHei" w:eastAsia="SimHei" w:cs="SimHei"/>
                <w:color w:val="231F20"/>
                <w:spacing w:val="-2"/>
                <w:sz w:val="20"/>
                <w:szCs w:val="20"/>
              </w:rPr>
              <w:t>发</w:t>
            </w:r>
            <w:r>
              <w:rPr>
                <w:rFonts w:ascii="SimHei" w:hAnsi="SimHei" w:eastAsia="SimHei" w:cs="SimHei"/>
                <w:color w:val="231F20"/>
                <w:spacing w:val="-1"/>
                <w:sz w:val="20"/>
                <w:szCs w:val="20"/>
              </w:rPr>
              <w:t>文部门</w:t>
            </w:r>
          </w:p>
        </w:tc>
        <w:tc>
          <w:tcPr>
            <w:tcW w:w="2060" w:type="dxa"/>
            <w:vAlign w:val="top"/>
          </w:tcPr>
          <w:p>
            <w:pPr>
              <w:spacing w:before="168" w:line="222" w:lineRule="auto"/>
              <w:ind w:left="635"/>
              <w:rPr>
                <w:rFonts w:ascii="SimHei" w:hAnsi="SimHei" w:eastAsia="SimHei" w:cs="SimHei"/>
                <w:sz w:val="20"/>
                <w:szCs w:val="20"/>
              </w:rPr>
            </w:pPr>
            <w:r>
              <w:rPr>
                <w:rFonts w:ascii="SimHei" w:hAnsi="SimHei" w:eastAsia="SimHei" w:cs="SimHei"/>
                <w:color w:val="231F20"/>
                <w:spacing w:val="-2"/>
                <w:sz w:val="20"/>
                <w:szCs w:val="20"/>
              </w:rPr>
              <w:t>文件</w:t>
            </w:r>
            <w:r>
              <w:rPr>
                <w:rFonts w:ascii="SimHei" w:hAnsi="SimHei" w:eastAsia="SimHei" w:cs="SimHei"/>
                <w:color w:val="231F20"/>
                <w:spacing w:val="-1"/>
                <w:sz w:val="20"/>
                <w:szCs w:val="20"/>
              </w:rPr>
              <w:t>名称</w:t>
            </w:r>
          </w:p>
        </w:tc>
        <w:tc>
          <w:tcPr>
            <w:tcW w:w="3061" w:type="dxa"/>
            <w:tcBorders>
              <w:right w:val="nil"/>
            </w:tcBorders>
            <w:vAlign w:val="top"/>
          </w:tcPr>
          <w:p>
            <w:pPr>
              <w:spacing w:before="168" w:line="221" w:lineRule="auto"/>
              <w:ind w:left="35"/>
              <w:rPr>
                <w:rFonts w:ascii="SimHei" w:hAnsi="SimHei" w:eastAsia="SimHei" w:cs="SimHei"/>
                <w:sz w:val="20"/>
                <w:szCs w:val="20"/>
              </w:rPr>
            </w:pPr>
            <w:r>
              <w:rPr>
                <w:rFonts w:ascii="SimHei" w:hAnsi="SimHei" w:eastAsia="SimHei" w:cs="SimHei"/>
                <w:color w:val="231F20"/>
                <w:spacing w:val="-1"/>
                <w:sz w:val="20"/>
                <w:szCs w:val="20"/>
              </w:rPr>
              <w:t>涉及化工绿色低</w:t>
            </w:r>
            <w:r>
              <w:rPr>
                <w:rFonts w:ascii="SimHei" w:hAnsi="SimHei" w:eastAsia="SimHei" w:cs="SimHei"/>
                <w:color w:val="231F20"/>
                <w:sz w:val="20"/>
                <w:szCs w:val="20"/>
              </w:rPr>
              <w:t>碳转型的主要内容</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978" w:hRule="atLeast"/>
        </w:trPr>
        <w:tc>
          <w:tcPr>
            <w:tcW w:w="1449" w:type="dxa"/>
            <w:tcBorders>
              <w:left w:val="nil"/>
            </w:tcBorders>
            <w:vAlign w:val="top"/>
          </w:tcPr>
          <w:p>
            <w:pPr>
              <w:spacing w:line="324" w:lineRule="auto"/>
              <w:rPr>
                <w:rFonts w:ascii="Arial"/>
                <w:sz w:val="21"/>
              </w:rPr>
            </w:pPr>
          </w:p>
          <w:p>
            <w:pPr>
              <w:spacing w:before="65" w:line="223" w:lineRule="auto"/>
              <w:ind w:left="202"/>
              <w:rPr>
                <w:rFonts w:ascii="SimHei" w:hAnsi="SimHei" w:eastAsia="SimHei" w:cs="SimHei"/>
                <w:sz w:val="20"/>
                <w:szCs w:val="20"/>
              </w:rPr>
            </w:pPr>
            <w:r>
              <w:rPr>
                <w:rFonts w:ascii="SimHei" w:hAnsi="SimHei" w:eastAsia="SimHei" w:cs="SimHei"/>
                <w:color w:val="231F20"/>
                <w:spacing w:val="-21"/>
                <w:sz w:val="20"/>
                <w:szCs w:val="20"/>
              </w:rPr>
              <w:t>2</w:t>
            </w:r>
            <w:r>
              <w:rPr>
                <w:rFonts w:ascii="SimHei" w:hAnsi="SimHei" w:eastAsia="SimHei" w:cs="SimHei"/>
                <w:color w:val="231F20"/>
                <w:spacing w:val="-13"/>
                <w:sz w:val="20"/>
                <w:szCs w:val="20"/>
              </w:rPr>
              <w:t>021 年 4 月</w:t>
            </w:r>
          </w:p>
        </w:tc>
        <w:tc>
          <w:tcPr>
            <w:tcW w:w="1707" w:type="dxa"/>
            <w:vAlign w:val="top"/>
          </w:tcPr>
          <w:p>
            <w:pPr>
              <w:spacing w:before="266" w:line="190" w:lineRule="auto"/>
              <w:ind w:left="557" w:right="148" w:hanging="387"/>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国</w:t>
            </w:r>
            <w:r>
              <w:rPr>
                <w:rFonts w:ascii="微软雅黑" w:hAnsi="微软雅黑" w:eastAsia="微软雅黑" w:cs="微软雅黑"/>
                <w:color w:val="231F20"/>
                <w:spacing w:val="-3"/>
                <w:sz w:val="20"/>
                <w:szCs w:val="20"/>
              </w:rPr>
              <w:t>家</w:t>
            </w:r>
            <w:r>
              <w:rPr>
                <w:rFonts w:ascii="微软雅黑" w:hAnsi="微软雅黑" w:eastAsia="微软雅黑" w:cs="微软雅黑"/>
                <w:color w:val="231F20"/>
                <w:spacing w:val="-2"/>
                <w:sz w:val="20"/>
                <w:szCs w:val="20"/>
              </w:rPr>
              <w:t>发展改革委</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等部门</w:t>
            </w:r>
          </w:p>
        </w:tc>
        <w:tc>
          <w:tcPr>
            <w:tcW w:w="2060" w:type="dxa"/>
            <w:vAlign w:val="top"/>
          </w:tcPr>
          <w:p>
            <w:pPr>
              <w:spacing w:before="265" w:line="190" w:lineRule="auto"/>
              <w:ind w:left="336" w:right="26" w:hanging="323"/>
              <w:rPr>
                <w:rFonts w:ascii="微软雅黑" w:hAnsi="微软雅黑" w:eastAsia="微软雅黑" w:cs="微软雅黑"/>
                <w:sz w:val="20"/>
                <w:szCs w:val="20"/>
              </w:rPr>
            </w:pPr>
            <w:r>
              <w:rPr>
                <w:rFonts w:ascii="微软雅黑" w:hAnsi="微软雅黑" w:eastAsia="微软雅黑" w:cs="微软雅黑"/>
                <w:color w:val="231F20"/>
                <w:spacing w:val="-15"/>
                <w:sz w:val="20"/>
                <w:szCs w:val="20"/>
              </w:rPr>
              <w:t>《</w:t>
            </w:r>
            <w:r>
              <w:rPr>
                <w:rFonts w:ascii="微软雅黑" w:hAnsi="微软雅黑" w:eastAsia="微软雅黑" w:cs="微软雅黑"/>
                <w:color w:val="231F20"/>
                <w:spacing w:val="-8"/>
                <w:sz w:val="20"/>
                <w:szCs w:val="20"/>
              </w:rPr>
              <w:t xml:space="preserve">  “十四五”全国清洁</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生产推行方</w:t>
            </w:r>
            <w:r>
              <w:rPr>
                <w:rFonts w:ascii="微软雅黑" w:hAnsi="微软雅黑" w:eastAsia="微软雅黑" w:cs="微软雅黑"/>
                <w:color w:val="231F20"/>
                <w:sz w:val="20"/>
                <w:szCs w:val="20"/>
              </w:rPr>
              <w:t>案》</w:t>
            </w:r>
          </w:p>
        </w:tc>
        <w:tc>
          <w:tcPr>
            <w:tcW w:w="3061" w:type="dxa"/>
            <w:tcBorders>
              <w:right w:val="nil"/>
            </w:tcBorders>
            <w:vAlign w:val="top"/>
          </w:tcPr>
          <w:p>
            <w:pPr>
              <w:spacing w:before="22" w:line="167" w:lineRule="auto"/>
              <w:ind w:left="32" w:right="27" w:hanging="1"/>
              <w:rPr>
                <w:rFonts w:ascii="微软雅黑" w:hAnsi="微软雅黑" w:eastAsia="微软雅黑" w:cs="微软雅黑"/>
                <w:sz w:val="20"/>
                <w:szCs w:val="20"/>
              </w:rPr>
            </w:pPr>
            <w:r>
              <w:rPr>
                <w:rFonts w:ascii="微软雅黑" w:hAnsi="微软雅黑" w:eastAsia="微软雅黑" w:cs="微软雅黑"/>
                <w:color w:val="231F20"/>
                <w:spacing w:val="17"/>
                <w:sz w:val="20"/>
                <w:szCs w:val="20"/>
              </w:rPr>
              <w:t>全</w:t>
            </w:r>
            <w:r>
              <w:rPr>
                <w:rFonts w:ascii="微软雅黑" w:hAnsi="微软雅黑" w:eastAsia="微软雅黑" w:cs="微软雅黑"/>
                <w:color w:val="231F20"/>
                <w:spacing w:val="14"/>
                <w:sz w:val="20"/>
                <w:szCs w:val="20"/>
              </w:rPr>
              <w:t>面开展清洁生产审核和评价认</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证，</w:t>
            </w:r>
            <w:r>
              <w:rPr>
                <w:rFonts w:ascii="微软雅黑" w:hAnsi="微软雅黑" w:eastAsia="微软雅黑" w:cs="微软雅黑"/>
                <w:color w:val="231F20"/>
                <w:sz w:val="20"/>
                <w:szCs w:val="20"/>
              </w:rPr>
              <w:t xml:space="preserve">推动石化化工、印染、造纸、 </w:t>
            </w:r>
            <w:r>
              <w:rPr>
                <w:rFonts w:ascii="微软雅黑" w:hAnsi="微软雅黑" w:eastAsia="微软雅黑" w:cs="微软雅黑"/>
                <w:color w:val="231F20"/>
                <w:spacing w:val="-37"/>
                <w:sz w:val="20"/>
                <w:szCs w:val="20"/>
              </w:rPr>
              <w:t>化</w:t>
            </w:r>
            <w:r>
              <w:rPr>
                <w:rFonts w:ascii="微软雅黑" w:hAnsi="微软雅黑" w:eastAsia="微软雅黑" w:cs="微软雅黑"/>
                <w:color w:val="231F20"/>
                <w:spacing w:val="-19"/>
                <w:sz w:val="20"/>
                <w:szCs w:val="20"/>
              </w:rPr>
              <w:t xml:space="preserve"> 学 原 料 药 等 重 点 行 业“ 一 行 一</w:t>
            </w:r>
            <w:r>
              <w:rPr>
                <w:rFonts w:ascii="微软雅黑" w:hAnsi="微软雅黑" w:eastAsia="微软雅黑" w:cs="微软雅黑"/>
                <w:color w:val="231F20"/>
                <w:sz w:val="20"/>
                <w:szCs w:val="20"/>
              </w:rPr>
              <w:t xml:space="preserve"> 策”绿色转型升级</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970" w:hRule="atLeast"/>
        </w:trPr>
        <w:tc>
          <w:tcPr>
            <w:tcW w:w="1449" w:type="dxa"/>
            <w:tcBorders>
              <w:left w:val="nil"/>
            </w:tcBorders>
            <w:vAlign w:val="top"/>
          </w:tcPr>
          <w:p>
            <w:pPr>
              <w:spacing w:line="318" w:lineRule="auto"/>
              <w:rPr>
                <w:rFonts w:ascii="Arial"/>
                <w:sz w:val="21"/>
              </w:rPr>
            </w:pPr>
          </w:p>
          <w:p>
            <w:pPr>
              <w:spacing w:before="65" w:line="223" w:lineRule="auto"/>
              <w:ind w:left="152"/>
              <w:rPr>
                <w:rFonts w:ascii="SimHei" w:hAnsi="SimHei" w:eastAsia="SimHei" w:cs="SimHei"/>
                <w:sz w:val="20"/>
                <w:szCs w:val="20"/>
              </w:rPr>
            </w:pPr>
            <w:r>
              <w:rPr>
                <w:rFonts w:ascii="SimHei" w:hAnsi="SimHei" w:eastAsia="SimHei" w:cs="SimHei"/>
                <w:color w:val="231F20"/>
                <w:spacing w:val="-17"/>
                <w:sz w:val="20"/>
                <w:szCs w:val="20"/>
              </w:rPr>
              <w:t>2</w:t>
            </w:r>
            <w:r>
              <w:rPr>
                <w:rFonts w:ascii="SimHei" w:hAnsi="SimHei" w:eastAsia="SimHei" w:cs="SimHei"/>
                <w:color w:val="231F20"/>
                <w:spacing w:val="-12"/>
                <w:sz w:val="20"/>
                <w:szCs w:val="20"/>
              </w:rPr>
              <w:t>021 年 10 月</w:t>
            </w:r>
          </w:p>
        </w:tc>
        <w:tc>
          <w:tcPr>
            <w:tcW w:w="1707" w:type="dxa"/>
            <w:vAlign w:val="top"/>
          </w:tcPr>
          <w:p>
            <w:pPr>
              <w:spacing w:line="291" w:lineRule="auto"/>
              <w:rPr>
                <w:rFonts w:ascii="Arial"/>
                <w:sz w:val="21"/>
              </w:rPr>
            </w:pPr>
          </w:p>
          <w:p>
            <w:pPr>
              <w:spacing w:before="86" w:line="203" w:lineRule="auto"/>
              <w:ind w:left="171"/>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国</w:t>
            </w:r>
            <w:r>
              <w:rPr>
                <w:rFonts w:ascii="微软雅黑" w:hAnsi="微软雅黑" w:eastAsia="微软雅黑" w:cs="微软雅黑"/>
                <w:color w:val="231F20"/>
                <w:spacing w:val="-3"/>
                <w:sz w:val="20"/>
                <w:szCs w:val="20"/>
              </w:rPr>
              <w:t>家</w:t>
            </w:r>
            <w:r>
              <w:rPr>
                <w:rFonts w:ascii="微软雅黑" w:hAnsi="微软雅黑" w:eastAsia="微软雅黑" w:cs="微软雅黑"/>
                <w:color w:val="231F20"/>
                <w:spacing w:val="-2"/>
                <w:sz w:val="20"/>
                <w:szCs w:val="20"/>
              </w:rPr>
              <w:t>发展改革委</w:t>
            </w:r>
          </w:p>
        </w:tc>
        <w:tc>
          <w:tcPr>
            <w:tcW w:w="2060" w:type="dxa"/>
            <w:vAlign w:val="top"/>
          </w:tcPr>
          <w:p>
            <w:pPr>
              <w:tabs>
                <w:tab w:val="left" w:pos="257"/>
              </w:tabs>
              <w:spacing w:before="20" w:line="166" w:lineRule="auto"/>
              <w:ind w:left="157" w:right="122" w:hanging="46"/>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w:t>
            </w:r>
            <w:r>
              <w:rPr>
                <w:rFonts w:ascii="微软雅黑" w:hAnsi="微软雅黑" w:eastAsia="微软雅黑" w:cs="微软雅黑"/>
                <w:color w:val="231F20"/>
                <w:spacing w:val="2"/>
                <w:sz w:val="20"/>
                <w:szCs w:val="20"/>
              </w:rPr>
              <w:t>石化化工重点行业</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0"/>
                <w:sz w:val="20"/>
                <w:szCs w:val="20"/>
              </w:rPr>
              <w:t>严</w:t>
            </w:r>
            <w:r>
              <w:rPr>
                <w:rFonts w:ascii="微软雅黑" w:hAnsi="微软雅黑" w:eastAsia="微软雅黑" w:cs="微软雅黑"/>
                <w:color w:val="231F20"/>
                <w:spacing w:val="9"/>
                <w:sz w:val="20"/>
                <w:szCs w:val="20"/>
              </w:rPr>
              <w:t>格能效约束推动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0"/>
                <w:sz w:val="20"/>
                <w:szCs w:val="20"/>
              </w:rPr>
              <w:t>节</w:t>
            </w:r>
            <w:r>
              <w:rPr>
                <w:rFonts w:ascii="微软雅黑" w:hAnsi="微软雅黑" w:eastAsia="微软雅黑" w:cs="微软雅黑"/>
                <w:color w:val="231F20"/>
                <w:spacing w:val="9"/>
                <w:sz w:val="20"/>
                <w:szCs w:val="20"/>
              </w:rPr>
              <w:t>能降碳行动方案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z w:val="20"/>
                <w:szCs w:val="20"/>
              </w:rPr>
              <w:tab/>
            </w:r>
            <w:r>
              <w:rPr>
                <w:rFonts w:ascii="微软雅黑" w:hAnsi="微软雅黑" w:eastAsia="微软雅黑" w:cs="微软雅黑"/>
                <w:color w:val="231F20"/>
                <w:spacing w:val="-1"/>
                <w:sz w:val="20"/>
                <w:szCs w:val="20"/>
              </w:rPr>
              <w:t xml:space="preserve">( </w:t>
            </w:r>
            <w:r>
              <w:rPr>
                <w:rFonts w:ascii="Times New Roman" w:hAnsi="Times New Roman" w:eastAsia="Times New Roman" w:cs="Times New Roman"/>
                <w:color w:val="231F20"/>
                <w:spacing w:val="-1"/>
                <w:sz w:val="20"/>
                <w:szCs w:val="20"/>
              </w:rPr>
              <w:t xml:space="preserve">2021-2025 </w:t>
            </w:r>
            <w:r>
              <w:rPr>
                <w:rFonts w:ascii="微软雅黑" w:hAnsi="微软雅黑" w:eastAsia="微软雅黑" w:cs="微软雅黑"/>
                <w:color w:val="231F20"/>
                <w:spacing w:val="-1"/>
                <w:sz w:val="20"/>
                <w:szCs w:val="20"/>
              </w:rPr>
              <w:t>年 )</w:t>
            </w:r>
            <w:r>
              <w:rPr>
                <w:rFonts w:ascii="微软雅黑" w:hAnsi="微软雅黑" w:eastAsia="微软雅黑" w:cs="微软雅黑"/>
                <w:color w:val="231F20"/>
                <w:sz w:val="20"/>
                <w:szCs w:val="20"/>
              </w:rPr>
              <w:t xml:space="preserve">  》</w:t>
            </w:r>
          </w:p>
        </w:tc>
        <w:tc>
          <w:tcPr>
            <w:tcW w:w="3061" w:type="dxa"/>
            <w:tcBorders>
              <w:right w:val="nil"/>
            </w:tcBorders>
            <w:vAlign w:val="top"/>
          </w:tcPr>
          <w:p>
            <w:pPr>
              <w:spacing w:before="19" w:line="175" w:lineRule="auto"/>
              <w:ind w:left="31" w:right="26" w:firstLine="1"/>
              <w:rPr>
                <w:rFonts w:ascii="Times New Roman" w:hAnsi="Times New Roman" w:eastAsia="Times New Roman" w:cs="Times New Roman"/>
                <w:sz w:val="19"/>
                <w:szCs w:val="19"/>
              </w:rPr>
            </w:pPr>
            <w:r>
              <w:rPr>
                <w:rFonts w:ascii="微软雅黑" w:hAnsi="微软雅黑" w:eastAsia="微软雅黑" w:cs="微软雅黑"/>
                <w:color w:val="231F20"/>
                <w:spacing w:val="8"/>
                <w:sz w:val="19"/>
                <w:szCs w:val="19"/>
              </w:rPr>
              <w:t>提</w:t>
            </w:r>
            <w:r>
              <w:rPr>
                <w:rFonts w:ascii="微软雅黑" w:hAnsi="微软雅黑" w:eastAsia="微软雅黑" w:cs="微软雅黑"/>
                <w:color w:val="231F20"/>
                <w:spacing w:val="6"/>
                <w:sz w:val="19"/>
                <w:szCs w:val="19"/>
              </w:rPr>
              <w:t xml:space="preserve">出到 </w:t>
            </w:r>
            <w:r>
              <w:rPr>
                <w:rFonts w:ascii="Times New Roman" w:hAnsi="Times New Roman" w:eastAsia="Times New Roman" w:cs="Times New Roman"/>
                <w:color w:val="231F20"/>
                <w:spacing w:val="6"/>
                <w:sz w:val="19"/>
                <w:szCs w:val="19"/>
              </w:rPr>
              <w:t xml:space="preserve">2025 </w:t>
            </w:r>
            <w:r>
              <w:rPr>
                <w:rFonts w:ascii="微软雅黑" w:hAnsi="微软雅黑" w:eastAsia="微软雅黑" w:cs="微软雅黑"/>
                <w:color w:val="231F20"/>
                <w:spacing w:val="6"/>
                <w:sz w:val="19"/>
                <w:szCs w:val="19"/>
              </w:rPr>
              <w:t>年，  通过实施节能降</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27"/>
                <w:sz w:val="19"/>
                <w:szCs w:val="19"/>
              </w:rPr>
              <w:t>碳</w:t>
            </w:r>
            <w:r>
              <w:rPr>
                <w:rFonts w:ascii="微软雅黑" w:hAnsi="微软雅黑" w:eastAsia="微软雅黑" w:cs="微软雅黑"/>
                <w:color w:val="231F20"/>
                <w:spacing w:val="-14"/>
                <w:sz w:val="19"/>
                <w:szCs w:val="19"/>
              </w:rPr>
              <w:t xml:space="preserve"> 行 动，  炼 油 、  乙 烯 、合 成 氮 、</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28"/>
                <w:sz w:val="19"/>
                <w:szCs w:val="19"/>
              </w:rPr>
              <w:t>电</w:t>
            </w:r>
            <w:r>
              <w:rPr>
                <w:rFonts w:ascii="微软雅黑" w:hAnsi="微软雅黑" w:eastAsia="微软雅黑" w:cs="微软雅黑"/>
                <w:color w:val="231F20"/>
                <w:spacing w:val="24"/>
                <w:sz w:val="19"/>
                <w:szCs w:val="19"/>
              </w:rPr>
              <w:t>石行业达到标杆水平的产能比</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7"/>
                <w:sz w:val="19"/>
                <w:szCs w:val="19"/>
              </w:rPr>
              <w:t>例</w:t>
            </w:r>
            <w:r>
              <w:rPr>
                <w:rFonts w:ascii="微软雅黑" w:hAnsi="微软雅黑" w:eastAsia="微软雅黑" w:cs="微软雅黑"/>
                <w:color w:val="231F20"/>
                <w:spacing w:val="6"/>
                <w:sz w:val="19"/>
                <w:szCs w:val="19"/>
              </w:rPr>
              <w:t xml:space="preserve">超过 </w:t>
            </w:r>
            <w:r>
              <w:rPr>
                <w:rFonts w:ascii="Times New Roman" w:hAnsi="Times New Roman" w:eastAsia="Times New Roman" w:cs="Times New Roman"/>
                <w:color w:val="231F20"/>
                <w:spacing w:val="6"/>
                <w:sz w:val="19"/>
                <w:szCs w:val="19"/>
              </w:rPr>
              <w:t>30%</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973" w:hRule="atLeast"/>
        </w:trPr>
        <w:tc>
          <w:tcPr>
            <w:tcW w:w="1449" w:type="dxa"/>
            <w:tcBorders>
              <w:left w:val="nil"/>
            </w:tcBorders>
            <w:vAlign w:val="top"/>
          </w:tcPr>
          <w:p>
            <w:pPr>
              <w:spacing w:line="320" w:lineRule="auto"/>
              <w:rPr>
                <w:rFonts w:ascii="Arial"/>
                <w:sz w:val="21"/>
              </w:rPr>
            </w:pPr>
          </w:p>
          <w:p>
            <w:pPr>
              <w:spacing w:before="65" w:line="223" w:lineRule="auto"/>
              <w:ind w:left="153"/>
              <w:rPr>
                <w:rFonts w:ascii="SimHei" w:hAnsi="SimHei" w:eastAsia="SimHei" w:cs="SimHei"/>
                <w:sz w:val="20"/>
                <w:szCs w:val="20"/>
              </w:rPr>
            </w:pPr>
            <w:r>
              <w:rPr>
                <w:rFonts w:ascii="SimHei" w:hAnsi="SimHei" w:eastAsia="SimHei" w:cs="SimHei"/>
                <w:color w:val="231F20"/>
                <w:spacing w:val="-17"/>
                <w:sz w:val="20"/>
                <w:szCs w:val="20"/>
              </w:rPr>
              <w:t>2</w:t>
            </w:r>
            <w:r>
              <w:rPr>
                <w:rFonts w:ascii="SimHei" w:hAnsi="SimHei" w:eastAsia="SimHei" w:cs="SimHei"/>
                <w:color w:val="231F20"/>
                <w:spacing w:val="-12"/>
                <w:sz w:val="20"/>
                <w:szCs w:val="20"/>
              </w:rPr>
              <w:t>021 年 11 月</w:t>
            </w:r>
          </w:p>
        </w:tc>
        <w:tc>
          <w:tcPr>
            <w:tcW w:w="1707" w:type="dxa"/>
            <w:vAlign w:val="top"/>
          </w:tcPr>
          <w:p>
            <w:pPr>
              <w:spacing w:before="261" w:line="190" w:lineRule="auto"/>
              <w:ind w:left="559" w:right="146" w:hanging="394"/>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工业和</w:t>
            </w:r>
            <w:r>
              <w:rPr>
                <w:rFonts w:ascii="微软雅黑" w:hAnsi="微软雅黑" w:eastAsia="微软雅黑" w:cs="微软雅黑"/>
                <w:color w:val="231F20"/>
                <w:spacing w:val="-1"/>
                <w:sz w:val="20"/>
                <w:szCs w:val="20"/>
              </w:rPr>
              <w:t>信息化部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等部门</w:t>
            </w:r>
          </w:p>
        </w:tc>
        <w:tc>
          <w:tcPr>
            <w:tcW w:w="2060" w:type="dxa"/>
            <w:vAlign w:val="top"/>
          </w:tcPr>
          <w:p>
            <w:pPr>
              <w:spacing w:before="140" w:line="168" w:lineRule="auto"/>
              <w:ind w:left="131" w:right="121" w:hanging="19"/>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w:t>
            </w:r>
            <w:r>
              <w:rPr>
                <w:rFonts w:ascii="微软雅黑" w:hAnsi="微软雅黑" w:eastAsia="微软雅黑" w:cs="微软雅黑"/>
                <w:color w:val="231F20"/>
                <w:spacing w:val="2"/>
                <w:sz w:val="20"/>
                <w:szCs w:val="20"/>
              </w:rPr>
              <w:t>关于加强产融合作</w:t>
            </w:r>
            <w:r>
              <w:rPr>
                <w:rFonts w:ascii="微软雅黑" w:hAnsi="微软雅黑" w:eastAsia="微软雅黑" w:cs="微软雅黑"/>
                <w:color w:val="231F20"/>
                <w:sz w:val="20"/>
                <w:szCs w:val="20"/>
              </w:rPr>
              <w:t xml:space="preserve"> 推动工业绿色发展的</w:t>
            </w:r>
          </w:p>
          <w:p>
            <w:pPr>
              <w:spacing w:before="1" w:line="202" w:lineRule="auto"/>
              <w:ind w:left="539"/>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指导意见</w:t>
            </w:r>
            <w:r>
              <w:rPr>
                <w:rFonts w:ascii="微软雅黑" w:hAnsi="微软雅黑" w:eastAsia="微软雅黑" w:cs="微软雅黑"/>
                <w:color w:val="231F20"/>
                <w:sz w:val="20"/>
                <w:szCs w:val="20"/>
              </w:rPr>
              <w:t>》</w:t>
            </w:r>
          </w:p>
        </w:tc>
        <w:tc>
          <w:tcPr>
            <w:tcW w:w="3061" w:type="dxa"/>
            <w:tcBorders>
              <w:right w:val="nil"/>
            </w:tcBorders>
            <w:vAlign w:val="top"/>
          </w:tcPr>
          <w:p>
            <w:pPr>
              <w:spacing w:before="17" w:line="167" w:lineRule="auto"/>
              <w:ind w:left="37" w:right="25"/>
              <w:rPr>
                <w:rFonts w:ascii="微软雅黑" w:hAnsi="微软雅黑" w:eastAsia="微软雅黑" w:cs="微软雅黑"/>
                <w:sz w:val="20"/>
                <w:szCs w:val="20"/>
              </w:rPr>
            </w:pPr>
            <w:r>
              <w:rPr>
                <w:rFonts w:ascii="微软雅黑" w:hAnsi="微软雅黑" w:eastAsia="微软雅黑" w:cs="微软雅黑"/>
                <w:color w:val="231F20"/>
                <w:spacing w:val="-20"/>
                <w:sz w:val="20"/>
                <w:szCs w:val="20"/>
              </w:rPr>
              <w:t xml:space="preserve">加 快 石 化 、化 工 等 行 业 绿 色 化 </w:t>
            </w:r>
            <w:r>
              <w:rPr>
                <w:rFonts w:ascii="微软雅黑" w:hAnsi="微软雅黑" w:eastAsia="微软雅黑" w:cs="微软雅黑"/>
                <w:color w:val="231F20"/>
                <w:spacing w:val="-16"/>
                <w:sz w:val="20"/>
                <w:szCs w:val="20"/>
              </w:rPr>
              <w:t>改</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8"/>
                <w:sz w:val="20"/>
                <w:szCs w:val="20"/>
              </w:rPr>
              <w:t>造</w:t>
            </w:r>
            <w:r>
              <w:rPr>
                <w:rFonts w:ascii="微软雅黑" w:hAnsi="微软雅黑" w:eastAsia="微软雅黑" w:cs="微软雅黑"/>
                <w:color w:val="231F20"/>
                <w:spacing w:val="-21"/>
                <w:sz w:val="20"/>
                <w:szCs w:val="20"/>
              </w:rPr>
              <w:t>，  鼓 励 金 融 机 构 开 发 针 对 钢 铁</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石化等重点行业绿色化改造的金</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融</w:t>
            </w:r>
            <w:r>
              <w:rPr>
                <w:rFonts w:ascii="微软雅黑" w:hAnsi="微软雅黑" w:eastAsia="微软雅黑" w:cs="微软雅黑"/>
                <w:color w:val="231F20"/>
                <w:spacing w:val="-2"/>
                <w:sz w:val="20"/>
                <w:szCs w:val="20"/>
              </w:rPr>
              <w:t>产品</w:t>
            </w:r>
          </w:p>
        </w:tc>
      </w:tr>
    </w:tbl>
    <w:p>
      <w:pPr>
        <w:spacing w:before="57" w:line="222" w:lineRule="auto"/>
        <w:ind w:left="2000"/>
        <w:rPr>
          <w:rFonts w:ascii="KaiTi" w:hAnsi="KaiTi" w:eastAsia="KaiTi" w:cs="KaiTi"/>
          <w:sz w:val="17"/>
          <w:szCs w:val="17"/>
        </w:rPr>
      </w:pPr>
      <w:r>
        <w:rPr>
          <w:rFonts w:ascii="KaiTi" w:hAnsi="KaiTi" w:eastAsia="KaiTi" w:cs="KaiTi"/>
          <w:color w:val="231F20"/>
          <w:spacing w:val="10"/>
          <w:sz w:val="17"/>
          <w:szCs w:val="17"/>
        </w:rPr>
        <w:t>资</w:t>
      </w:r>
      <w:r>
        <w:rPr>
          <w:rFonts w:ascii="KaiTi" w:hAnsi="KaiTi" w:eastAsia="KaiTi" w:cs="KaiTi"/>
          <w:color w:val="231F20"/>
          <w:spacing w:val="6"/>
          <w:sz w:val="17"/>
          <w:szCs w:val="17"/>
        </w:rPr>
        <w:t>料</w:t>
      </w:r>
      <w:r>
        <w:rPr>
          <w:rFonts w:ascii="KaiTi" w:hAnsi="KaiTi" w:eastAsia="KaiTi" w:cs="KaiTi"/>
          <w:color w:val="231F20"/>
          <w:spacing w:val="5"/>
          <w:sz w:val="17"/>
          <w:szCs w:val="17"/>
        </w:rPr>
        <w:t>来源：根据相关政策文件整理。</w:t>
      </w:r>
    </w:p>
    <w:p>
      <w:pPr>
        <w:spacing w:line="277" w:lineRule="auto"/>
        <w:rPr>
          <w:rFonts w:ascii="Arial"/>
          <w:sz w:val="21"/>
        </w:rPr>
      </w:pPr>
    </w:p>
    <w:p>
      <w:pPr>
        <w:spacing w:line="277" w:lineRule="auto"/>
        <w:rPr>
          <w:rFonts w:ascii="Arial"/>
          <w:sz w:val="21"/>
        </w:rPr>
      </w:pPr>
    </w:p>
    <w:p>
      <w:pPr>
        <w:spacing w:before="72" w:line="214"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持续优化外商投资产业目录，鼓励外资企业投向化工绿色低</w:t>
      </w:r>
      <w:r>
        <w:rPr>
          <w:rFonts w:ascii="KaiTi" w:hAnsi="KaiTi" w:eastAsia="KaiTi" w:cs="KaiTi"/>
          <w:color w:val="015DAC"/>
          <w:sz w:val="22"/>
          <w:szCs w:val="22"/>
        </w:rPr>
        <w:t>碳领域</w:t>
      </w:r>
    </w:p>
    <w:p>
      <w:pPr>
        <w:spacing w:before="287" w:line="257" w:lineRule="auto"/>
        <w:ind w:left="1989" w:right="1983" w:firstLine="464"/>
        <w:rPr>
          <w:rFonts w:ascii="微软雅黑" w:hAnsi="微软雅黑" w:eastAsia="微软雅黑" w:cs="微软雅黑"/>
          <w:sz w:val="22"/>
          <w:szCs w:val="22"/>
        </w:rPr>
      </w:pPr>
      <w:r>
        <w:rPr>
          <w:rFonts w:ascii="微软雅黑" w:hAnsi="微软雅黑" w:eastAsia="微软雅黑" w:cs="微软雅黑"/>
          <w:color w:val="231F20"/>
          <w:spacing w:val="-10"/>
          <w:sz w:val="22"/>
          <w:szCs w:val="22"/>
        </w:rPr>
        <w:t>近年来</w:t>
      </w:r>
      <w:r>
        <w:rPr>
          <w:rFonts w:ascii="微软雅黑" w:hAnsi="微软雅黑" w:eastAsia="微软雅黑" w:cs="微软雅黑"/>
          <w:color w:val="231F20"/>
          <w:spacing w:val="-8"/>
          <w:sz w:val="22"/>
          <w:szCs w:val="22"/>
        </w:rPr>
        <w:t xml:space="preserve"> </w:t>
      </w:r>
      <w:r>
        <w:rPr>
          <w:rFonts w:ascii="微软雅黑" w:hAnsi="微软雅黑" w:eastAsia="微软雅黑" w:cs="微软雅黑"/>
          <w:color w:val="231F20"/>
          <w:spacing w:val="-5"/>
          <w:sz w:val="22"/>
          <w:szCs w:val="22"/>
        </w:rPr>
        <w:t>，为鼓励外商投资化工产业，  中国持续修订《鼓励外商投资产业目录》  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涉及化工产业的目录 ，促进外资企业投向高附加值、高技术含量</w:t>
      </w:r>
      <w:r>
        <w:rPr>
          <w:rFonts w:ascii="微软雅黑" w:hAnsi="微软雅黑" w:eastAsia="微软雅黑" w:cs="微软雅黑"/>
          <w:color w:val="231F20"/>
          <w:spacing w:val="1"/>
          <w:sz w:val="22"/>
          <w:szCs w:val="22"/>
        </w:rPr>
        <w:t>的化工产品生产领域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和化工原材料开发领域。</w:t>
      </w:r>
      <w:r>
        <w:rPr>
          <w:rFonts w:ascii="Times New Roman" w:hAnsi="Times New Roman" w:eastAsia="Times New Roman" w:cs="Times New Roman"/>
          <w:color w:val="231F20"/>
          <w:spacing w:val="-2"/>
          <w:sz w:val="22"/>
          <w:szCs w:val="22"/>
        </w:rPr>
        <w:t>20</w:t>
      </w:r>
      <w:r>
        <w:rPr>
          <w:rFonts w:ascii="Times New Roman" w:hAnsi="Times New Roman" w:eastAsia="Times New Roman" w:cs="Times New Roman"/>
          <w:color w:val="231F20"/>
          <w:spacing w:val="-1"/>
          <w:sz w:val="22"/>
          <w:szCs w:val="22"/>
        </w:rPr>
        <w:t xml:space="preserve">19 </w:t>
      </w:r>
      <w:r>
        <w:rPr>
          <w:rFonts w:ascii="微软雅黑" w:hAnsi="微软雅黑" w:eastAsia="微软雅黑" w:cs="微软雅黑"/>
          <w:color w:val="231F20"/>
          <w:spacing w:val="-1"/>
          <w:sz w:val="22"/>
          <w:szCs w:val="22"/>
        </w:rPr>
        <w:t>年，  国家发展改革委、商务部发布的《鼓励外商投资产</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业目录 ( </w:t>
      </w:r>
      <w:r>
        <w:rPr>
          <w:rFonts w:ascii="Times New Roman" w:hAnsi="Times New Roman" w:eastAsia="Times New Roman" w:cs="Times New Roman"/>
          <w:color w:val="231F20"/>
          <w:spacing w:val="-1"/>
          <w:sz w:val="22"/>
          <w:szCs w:val="22"/>
        </w:rPr>
        <w:t xml:space="preserve">2019 </w:t>
      </w:r>
      <w:r>
        <w:rPr>
          <w:rFonts w:ascii="微软雅黑" w:hAnsi="微软雅黑" w:eastAsia="微软雅黑" w:cs="微软雅黑"/>
          <w:color w:val="231F20"/>
          <w:spacing w:val="-1"/>
          <w:sz w:val="22"/>
          <w:szCs w:val="22"/>
        </w:rPr>
        <w:t>年版 )  》中 ，</w:t>
      </w:r>
      <w:r>
        <w:rPr>
          <w:rFonts w:ascii="微软雅黑" w:hAnsi="微软雅黑" w:eastAsia="微软雅黑" w:cs="微软雅黑"/>
          <w:color w:val="231F20"/>
          <w:sz w:val="22"/>
          <w:szCs w:val="22"/>
        </w:rPr>
        <w:t xml:space="preserve">包括合成材料的配套原料、合成纤维原料、合成橡胶、工 </w:t>
      </w:r>
      <w:r>
        <w:rPr>
          <w:rFonts w:ascii="微软雅黑" w:hAnsi="微软雅黑" w:eastAsia="微软雅黑" w:cs="微软雅黑"/>
          <w:color w:val="231F20"/>
          <w:spacing w:val="-1"/>
          <w:sz w:val="22"/>
          <w:szCs w:val="22"/>
        </w:rPr>
        <w:t>程</w:t>
      </w:r>
      <w:r>
        <w:rPr>
          <w:rFonts w:ascii="微软雅黑" w:hAnsi="微软雅黑" w:eastAsia="微软雅黑" w:cs="微软雅黑"/>
          <w:color w:val="231F20"/>
          <w:sz w:val="22"/>
          <w:szCs w:val="22"/>
        </w:rPr>
        <w:t xml:space="preserve">塑料及塑料合金、  电子化、高性能涂料、高性能氟树脂、氟膜材料、氢燃料生产储 </w:t>
      </w:r>
      <w:r>
        <w:rPr>
          <w:rFonts w:ascii="微软雅黑" w:hAnsi="微软雅黑" w:eastAsia="微软雅黑" w:cs="微软雅黑"/>
          <w:color w:val="231F20"/>
          <w:spacing w:val="8"/>
          <w:sz w:val="22"/>
          <w:szCs w:val="22"/>
        </w:rPr>
        <w:t>存运</w:t>
      </w:r>
      <w:r>
        <w:rPr>
          <w:rFonts w:ascii="微软雅黑" w:hAnsi="微软雅黑" w:eastAsia="微软雅黑" w:cs="微软雅黑"/>
          <w:color w:val="231F20"/>
          <w:spacing w:val="4"/>
          <w:sz w:val="22"/>
          <w:szCs w:val="22"/>
        </w:rPr>
        <w:t xml:space="preserve">输液化、有机高分子材料生产等化工产业条目 </w:t>
      </w:r>
      <w:r>
        <w:rPr>
          <w:rFonts w:ascii="Times New Roman" w:hAnsi="Times New Roman" w:eastAsia="Times New Roman" w:cs="Times New Roman"/>
          <w:color w:val="231F20"/>
          <w:spacing w:val="4"/>
          <w:sz w:val="22"/>
          <w:szCs w:val="22"/>
        </w:rPr>
        <w:t xml:space="preserve">22 </w:t>
      </w:r>
      <w:r>
        <w:rPr>
          <w:rFonts w:ascii="微软雅黑" w:hAnsi="微软雅黑" w:eastAsia="微软雅黑" w:cs="微软雅黑"/>
          <w:color w:val="231F20"/>
          <w:spacing w:val="4"/>
          <w:sz w:val="22"/>
          <w:szCs w:val="22"/>
        </w:rPr>
        <w:t>条。</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年发布的《鼓励外商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投资产业目录 ( </w:t>
      </w:r>
      <w:r>
        <w:rPr>
          <w:rFonts w:ascii="Times New Roman" w:hAnsi="Times New Roman" w:eastAsia="Times New Roman" w:cs="Times New Roman"/>
          <w:color w:val="231F20"/>
          <w:spacing w:val="-1"/>
          <w:sz w:val="22"/>
          <w:szCs w:val="22"/>
        </w:rPr>
        <w:t xml:space="preserve">2020 </w:t>
      </w:r>
      <w:r>
        <w:rPr>
          <w:rFonts w:ascii="微软雅黑" w:hAnsi="微软雅黑" w:eastAsia="微软雅黑" w:cs="微软雅黑"/>
          <w:color w:val="231F20"/>
          <w:spacing w:val="-1"/>
          <w:sz w:val="22"/>
          <w:szCs w:val="22"/>
        </w:rPr>
        <w:t>年版 )  》</w:t>
      </w:r>
      <w:r>
        <w:rPr>
          <w:rFonts w:ascii="微软雅黑" w:hAnsi="微软雅黑" w:eastAsia="微软雅黑" w:cs="微软雅黑"/>
          <w:color w:val="231F20"/>
          <w:sz w:val="22"/>
          <w:szCs w:val="22"/>
        </w:rPr>
        <w:t xml:space="preserve">又将化工产业鼓励外商投资产业目录增加至 </w:t>
      </w:r>
      <w:r>
        <w:rPr>
          <w:rFonts w:ascii="Times New Roman" w:hAnsi="Times New Roman" w:eastAsia="Times New Roman" w:cs="Times New Roman"/>
          <w:color w:val="231F20"/>
          <w:sz w:val="22"/>
          <w:szCs w:val="22"/>
        </w:rPr>
        <w:t>34</w:t>
      </w:r>
      <w:r>
        <w:rPr>
          <w:rFonts w:ascii="微软雅黑" w:hAnsi="微软雅黑" w:eastAsia="微软雅黑" w:cs="微软雅黑"/>
          <w:color w:val="231F20"/>
          <w:sz w:val="22"/>
          <w:szCs w:val="22"/>
        </w:rPr>
        <w:t xml:space="preserve">条。《鼓 </w:t>
      </w:r>
      <w:r>
        <w:rPr>
          <w:rFonts w:ascii="微软雅黑" w:hAnsi="微软雅黑" w:eastAsia="微软雅黑" w:cs="微软雅黑"/>
          <w:color w:val="231F20"/>
          <w:spacing w:val="1"/>
          <w:sz w:val="22"/>
          <w:szCs w:val="22"/>
        </w:rPr>
        <w:t xml:space="preserve">励外商投资产业目录 </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2022 </w:t>
      </w:r>
      <w:r>
        <w:rPr>
          <w:rFonts w:ascii="微软雅黑" w:hAnsi="微软雅黑" w:eastAsia="微软雅黑" w:cs="微软雅黑"/>
          <w:color w:val="231F20"/>
          <w:sz w:val="22"/>
          <w:szCs w:val="22"/>
        </w:rPr>
        <w:t xml:space="preserve">年版 )   ( 征求意见稿 )  》对化学原料和化学制品制造业修 </w:t>
      </w:r>
      <w:r>
        <w:rPr>
          <w:rFonts w:ascii="微软雅黑" w:hAnsi="微软雅黑" w:eastAsia="微软雅黑" w:cs="微软雅黑"/>
          <w:color w:val="231F20"/>
          <w:spacing w:val="-2"/>
          <w:sz w:val="22"/>
          <w:szCs w:val="22"/>
        </w:rPr>
        <w:t xml:space="preserve">改的条目较多 ，共有 </w:t>
      </w:r>
      <w:r>
        <w:rPr>
          <w:rFonts w:ascii="Times New Roman" w:hAnsi="Times New Roman" w:eastAsia="Times New Roman" w:cs="Times New Roman"/>
          <w:color w:val="231F20"/>
          <w:spacing w:val="-2"/>
          <w:sz w:val="22"/>
          <w:szCs w:val="22"/>
        </w:rPr>
        <w:t>2</w:t>
      </w:r>
      <w:r>
        <w:rPr>
          <w:rFonts w:ascii="Times New Roman" w:hAnsi="Times New Roman" w:eastAsia="Times New Roman" w:cs="Times New Roman"/>
          <w:color w:val="231F20"/>
          <w:spacing w:val="-1"/>
          <w:sz w:val="22"/>
          <w:szCs w:val="22"/>
        </w:rPr>
        <w:t xml:space="preserve">6 </w:t>
      </w:r>
      <w:r>
        <w:rPr>
          <w:rFonts w:ascii="微软雅黑" w:hAnsi="微软雅黑" w:eastAsia="微软雅黑" w:cs="微软雅黑"/>
          <w:color w:val="231F20"/>
          <w:spacing w:val="-1"/>
          <w:sz w:val="22"/>
          <w:szCs w:val="22"/>
        </w:rPr>
        <w:t>条，增加林业生物质能源新技术、新产品开发、生产及应用，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以及石化化工原料低碳升级工艺 (</w:t>
      </w:r>
      <w:r>
        <w:rPr>
          <w:rFonts w:ascii="微软雅黑" w:hAnsi="微软雅黑" w:eastAsia="微软雅黑" w:cs="微软雅黑"/>
          <w:color w:val="231F20"/>
          <w:sz w:val="22"/>
          <w:szCs w:val="22"/>
        </w:rPr>
        <w:t xml:space="preserve"> 包括电驱动乙烯裂解；  逆向水煤气变换和部分氧化 </w:t>
      </w:r>
      <w:r>
        <w:rPr>
          <w:rFonts w:ascii="微软雅黑" w:hAnsi="微软雅黑" w:eastAsia="微软雅黑" w:cs="微软雅黑"/>
          <w:color w:val="231F20"/>
          <w:spacing w:val="1"/>
          <w:sz w:val="22"/>
          <w:szCs w:val="22"/>
        </w:rPr>
        <w:t>的工艺 ，将二氧化碳与轻烃作</w:t>
      </w:r>
      <w:r>
        <w:rPr>
          <w:rFonts w:ascii="微软雅黑" w:hAnsi="微软雅黑" w:eastAsia="微软雅黑" w:cs="微软雅黑"/>
          <w:color w:val="231F20"/>
          <w:sz w:val="22"/>
          <w:szCs w:val="22"/>
        </w:rPr>
        <w:t xml:space="preserve">为原料转化为一氧化碳 ) 等条目 ，进一步鼓励外商投资 </w:t>
      </w:r>
      <w:r>
        <w:rPr>
          <w:rFonts w:ascii="微软雅黑" w:hAnsi="微软雅黑" w:eastAsia="微软雅黑" w:cs="微软雅黑"/>
          <w:color w:val="231F20"/>
          <w:spacing w:val="1"/>
          <w:sz w:val="22"/>
          <w:szCs w:val="22"/>
        </w:rPr>
        <w:t>企业投资生物质能以及化工</w:t>
      </w:r>
      <w:r>
        <w:rPr>
          <w:rFonts w:ascii="微软雅黑" w:hAnsi="微软雅黑" w:eastAsia="微软雅黑" w:cs="微软雅黑"/>
          <w:color w:val="231F20"/>
          <w:sz w:val="22"/>
          <w:szCs w:val="22"/>
        </w:rPr>
        <w:t>原料低碳转型领域。</w:t>
      </w:r>
    </w:p>
    <w:p>
      <w:pPr>
        <w:spacing w:before="180" w:line="215" w:lineRule="auto"/>
        <w:ind w:left="2443"/>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鼓励化工行业创新发展，引导外资投向高端</w:t>
      </w:r>
      <w:r>
        <w:rPr>
          <w:rFonts w:ascii="KaiTi" w:hAnsi="KaiTi" w:eastAsia="KaiTi" w:cs="KaiTi"/>
          <w:color w:val="015DAC"/>
          <w:sz w:val="22"/>
          <w:szCs w:val="22"/>
        </w:rPr>
        <w:t>化工新材料等领域</w:t>
      </w:r>
    </w:p>
    <w:p>
      <w:pPr>
        <w:spacing w:line="267" w:lineRule="auto"/>
        <w:rPr>
          <w:rFonts w:ascii="Arial"/>
          <w:sz w:val="21"/>
        </w:rPr>
      </w:pPr>
    </w:p>
    <w:p>
      <w:pPr>
        <w:spacing w:before="95" w:line="263" w:lineRule="auto"/>
        <w:ind w:left="1994" w:right="1984" w:firstLine="470"/>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中国相关部门出台的政策文件在积极推动化工制造业绿色低碳发展的同</w:t>
      </w:r>
      <w:r>
        <w:rPr>
          <w:rFonts w:ascii="微软雅黑" w:hAnsi="微软雅黑" w:eastAsia="微软雅黑" w:cs="微软雅黑"/>
          <w:color w:val="231F20"/>
          <w:sz w:val="22"/>
          <w:szCs w:val="22"/>
        </w:rPr>
        <w:t xml:space="preserve">时 ，也着 </w:t>
      </w:r>
      <w:r>
        <w:rPr>
          <w:rFonts w:ascii="微软雅黑" w:hAnsi="微软雅黑" w:eastAsia="微软雅黑" w:cs="微软雅黑"/>
          <w:color w:val="231F20"/>
          <w:spacing w:val="-2"/>
          <w:sz w:val="22"/>
          <w:szCs w:val="22"/>
        </w:rPr>
        <w:t>力引导企业加强技术创新 ，优化产品结构，  向高端化工新材</w:t>
      </w:r>
      <w:r>
        <w:rPr>
          <w:rFonts w:ascii="微软雅黑" w:hAnsi="微软雅黑" w:eastAsia="微软雅黑" w:cs="微软雅黑"/>
          <w:color w:val="231F20"/>
          <w:spacing w:val="-1"/>
          <w:sz w:val="22"/>
          <w:szCs w:val="22"/>
        </w:rPr>
        <w:t>料等产业链高附加值环节</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延伸和拓展。如 </w:t>
      </w:r>
      <w:r>
        <w:rPr>
          <w:rFonts w:ascii="Times New Roman" w:hAnsi="Times New Roman" w:eastAsia="Times New Roman" w:cs="Times New Roman"/>
          <w:color w:val="231F20"/>
          <w:spacing w:val="2"/>
          <w:sz w:val="22"/>
          <w:szCs w:val="22"/>
        </w:rPr>
        <w:t xml:space="preserve">2022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4 </w:t>
      </w:r>
      <w:r>
        <w:rPr>
          <w:rFonts w:ascii="微软雅黑" w:hAnsi="微软雅黑" w:eastAsia="微软雅黑" w:cs="微软雅黑"/>
          <w:color w:val="231F20"/>
          <w:spacing w:val="2"/>
          <w:sz w:val="22"/>
          <w:szCs w:val="22"/>
        </w:rPr>
        <w:t>月，  工业和信息化部等六部门发布《关于“十四五”</w:t>
      </w:r>
      <w:r>
        <w:rPr>
          <w:rFonts w:ascii="微软雅黑" w:hAnsi="微软雅黑" w:eastAsia="微软雅黑" w:cs="微软雅黑"/>
          <w:color w:val="231F20"/>
          <w:sz w:val="22"/>
          <w:szCs w:val="22"/>
        </w:rPr>
        <w:t xml:space="preserve">推动 </w:t>
      </w:r>
      <w:r>
        <w:rPr>
          <w:rFonts w:ascii="微软雅黑" w:hAnsi="微软雅黑" w:eastAsia="微软雅黑" w:cs="微软雅黑"/>
          <w:color w:val="231F20"/>
          <w:spacing w:val="-1"/>
          <w:sz w:val="22"/>
          <w:szCs w:val="22"/>
        </w:rPr>
        <w:t>石化化工行业高</w:t>
      </w:r>
      <w:r>
        <w:rPr>
          <w:rFonts w:ascii="微软雅黑" w:hAnsi="微软雅黑" w:eastAsia="微软雅黑" w:cs="微软雅黑"/>
          <w:color w:val="231F20"/>
          <w:sz w:val="22"/>
          <w:szCs w:val="22"/>
        </w:rPr>
        <w:t>质量发展的指导意见》提出 ，支持企业加大研发投入 ，加快发展高端</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92243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0"/>
        <w:rPr>
          <w:rFonts w:ascii="SimHei" w:hAnsi="SimHei" w:eastAsia="SimHei" w:cs="SimHei"/>
          <w:sz w:val="21"/>
          <w:szCs w:val="21"/>
        </w:rPr>
      </w:pPr>
      <w:bookmarkStart w:id="44" w:name="_bookmark112"/>
      <w:bookmarkEnd w:id="44"/>
      <w:bookmarkStart w:id="45" w:name="_bookmark111"/>
      <w:bookmarkEnd w:id="45"/>
      <w:r>
        <w:rPr>
          <w:rFonts w:ascii="Arial" w:hAnsi="Arial" w:eastAsia="Arial" w:cs="Arial"/>
          <w:color w:val="231F20"/>
          <w:spacing w:val="22"/>
          <w:sz w:val="20"/>
          <w:szCs w:val="20"/>
        </w:rPr>
        <w:t xml:space="preserve">46  </w:t>
      </w:r>
      <w:r>
        <w:rPr>
          <w:position w:val="-5"/>
          <w:sz w:val="20"/>
          <w:szCs w:val="20"/>
        </w:rPr>
        <w:drawing>
          <wp:inline distT="0" distB="0" distL="0" distR="0">
            <wp:extent cx="3175" cy="147320"/>
            <wp:effectExtent l="0" t="0" r="0" b="0"/>
            <wp:docPr id="237" name="IM 237"/>
            <wp:cNvGraphicFramePr/>
            <a:graphic xmlns:a="http://schemas.openxmlformats.org/drawingml/2006/main">
              <a:graphicData uri="http://schemas.openxmlformats.org/drawingml/2006/picture">
                <pic:pic xmlns:pic="http://schemas.openxmlformats.org/drawingml/2006/picture">
                  <pic:nvPicPr>
                    <pic:cNvPr id="237" name="IM 237"/>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2"/>
          <w:sz w:val="20"/>
          <w:szCs w:val="20"/>
        </w:rPr>
        <w:t xml:space="preserve">   </w:t>
      </w:r>
      <w:r>
        <w:rPr>
          <w:rFonts w:ascii="宋体" w:hAnsi="宋体" w:eastAsia="宋体" w:cs="宋体"/>
          <w:color w:val="537DBF"/>
          <w:spacing w:val="22"/>
          <w:sz w:val="21"/>
          <w:szCs w:val="21"/>
        </w:rPr>
        <w:t xml:space="preserve">中国外商投资报告 2022 </w:t>
      </w:r>
      <w:r>
        <w:rPr>
          <w:position w:val="-5"/>
          <w:sz w:val="21"/>
          <w:szCs w:val="21"/>
        </w:rPr>
        <w:drawing>
          <wp:inline distT="0" distB="0" distL="0" distR="0">
            <wp:extent cx="3175" cy="14732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2"/>
          <w:sz w:val="21"/>
          <w:szCs w:val="21"/>
        </w:rPr>
        <w:t xml:space="preserve">  </w:t>
      </w:r>
      <w:r>
        <w:rPr>
          <w:rFonts w:ascii="SimHei" w:hAnsi="SimHei" w:eastAsia="SimHei" w:cs="SimHei"/>
          <w:color w:val="1A67B3"/>
          <w:spacing w:val="22"/>
          <w:sz w:val="21"/>
          <w:szCs w:val="21"/>
          <w14:textOutline w14:w="3175" w14:cap="flat" w14:cmpd="sng">
            <w14:solidFill>
              <w14:srgbClr w14:val="1A67B3"/>
            </w14:solidFill>
            <w14:prstDash w14:val="solid"/>
            <w14:miter w14:val="0"/>
          </w14:textOutline>
        </w:rPr>
        <w:t>产业</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篇</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4" w:line="266" w:lineRule="auto"/>
        <w:ind w:left="1994" w:right="1983" w:hanging="3"/>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化工新材料产品 ，促进化工产业高端化、多元化、低碳化发展</w:t>
      </w:r>
      <w:r>
        <w:rPr>
          <w:rFonts w:ascii="微软雅黑" w:hAnsi="微软雅黑" w:eastAsia="微软雅黑" w:cs="微软雅黑"/>
          <w:color w:val="231F20"/>
          <w:spacing w:val="1"/>
          <w:sz w:val="22"/>
          <w:szCs w:val="22"/>
        </w:rPr>
        <w:t>。这些政策引领外资企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业加快在华技术创新中心和研发中心建设 ，并对其在</w:t>
      </w:r>
      <w:r>
        <w:rPr>
          <w:rFonts w:ascii="微软雅黑" w:hAnsi="微软雅黑" w:eastAsia="微软雅黑" w:cs="微软雅黑"/>
          <w:color w:val="231F20"/>
          <w:spacing w:val="1"/>
          <w:sz w:val="22"/>
          <w:szCs w:val="22"/>
        </w:rPr>
        <w:t>中低端、高能耗等化工制造业务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进行调整</w:t>
      </w:r>
      <w:r>
        <w:rPr>
          <w:rFonts w:ascii="微软雅黑" w:hAnsi="微软雅黑" w:eastAsia="微软雅黑" w:cs="微软雅黑"/>
          <w:color w:val="231F20"/>
          <w:spacing w:val="-5"/>
          <w:sz w:val="22"/>
          <w:szCs w:val="22"/>
        </w:rPr>
        <w:t>，</w:t>
      </w:r>
      <w:r>
        <w:rPr>
          <w:rFonts w:ascii="微软雅黑" w:hAnsi="微软雅黑" w:eastAsia="微软雅黑" w:cs="微软雅黑"/>
          <w:color w:val="231F20"/>
          <w:spacing w:val="-4"/>
          <w:sz w:val="22"/>
          <w:szCs w:val="22"/>
        </w:rPr>
        <w:t xml:space="preserve">  以适应中国化工制造业转型升级的需要。</w:t>
      </w:r>
    </w:p>
    <w:p>
      <w:pPr>
        <w:spacing w:before="179" w:line="214"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4. </w:t>
      </w:r>
      <w:r>
        <w:rPr>
          <w:rFonts w:ascii="KaiTi" w:hAnsi="KaiTi" w:eastAsia="KaiTi" w:cs="KaiTi"/>
          <w:color w:val="015DAC"/>
          <w:spacing w:val="1"/>
          <w:sz w:val="22"/>
          <w:szCs w:val="22"/>
        </w:rPr>
        <w:t>加强化工行业安全和风险管理，促进外资企业安全生产</w:t>
      </w:r>
      <w:r>
        <w:rPr>
          <w:rFonts w:ascii="KaiTi" w:hAnsi="KaiTi" w:eastAsia="KaiTi" w:cs="KaiTi"/>
          <w:color w:val="015DAC"/>
          <w:sz w:val="22"/>
          <w:szCs w:val="22"/>
        </w:rPr>
        <w:t>经营</w:t>
      </w:r>
    </w:p>
    <w:p>
      <w:pPr>
        <w:spacing w:line="259" w:lineRule="auto"/>
        <w:rPr>
          <w:rFonts w:ascii="Arial"/>
          <w:sz w:val="21"/>
        </w:rPr>
      </w:pPr>
    </w:p>
    <w:p>
      <w:pPr>
        <w:spacing w:before="95" w:line="258" w:lineRule="auto"/>
        <w:ind w:left="1989" w:right="1982" w:firstLine="482"/>
        <w:rPr>
          <w:rFonts w:ascii="微软雅黑" w:hAnsi="微软雅黑" w:eastAsia="微软雅黑" w:cs="微软雅黑"/>
          <w:sz w:val="22"/>
          <w:szCs w:val="22"/>
        </w:rPr>
      </w:pPr>
      <w:r>
        <w:rPr>
          <w:rFonts w:ascii="微软雅黑" w:hAnsi="微软雅黑" w:eastAsia="微软雅黑" w:cs="微软雅黑"/>
          <w:color w:val="231F20"/>
          <w:spacing w:val="5"/>
          <w:sz w:val="22"/>
          <w:szCs w:val="22"/>
        </w:rPr>
        <w:t>由于化工行业危化品的生产和运输具有较高的安全风险，  中国危化品监管逐</w:t>
      </w:r>
      <w:r>
        <w:rPr>
          <w:rFonts w:ascii="微软雅黑" w:hAnsi="微软雅黑" w:eastAsia="微软雅黑" w:cs="微软雅黑"/>
          <w:color w:val="231F20"/>
          <w:spacing w:val="3"/>
          <w:sz w:val="22"/>
          <w:szCs w:val="22"/>
        </w:rPr>
        <w:t>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趋严</w:t>
      </w:r>
      <w:r>
        <w:rPr>
          <w:rFonts w:ascii="微软雅黑" w:hAnsi="微软雅黑" w:eastAsia="微软雅黑" w:cs="微软雅黑"/>
          <w:color w:val="231F20"/>
          <w:spacing w:val="3"/>
          <w:sz w:val="22"/>
          <w:szCs w:val="22"/>
        </w:rPr>
        <w:t>。</w:t>
      </w:r>
      <w:r>
        <w:rPr>
          <w:rFonts w:ascii="Times New Roman" w:hAnsi="Times New Roman" w:eastAsia="Times New Roman" w:cs="Times New Roman"/>
          <w:color w:val="231F20"/>
          <w:spacing w:val="2"/>
          <w:sz w:val="22"/>
          <w:szCs w:val="22"/>
        </w:rPr>
        <w:t xml:space="preserve">2020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2 </w:t>
      </w:r>
      <w:r>
        <w:rPr>
          <w:rFonts w:ascii="微软雅黑" w:hAnsi="微软雅黑" w:eastAsia="微软雅黑" w:cs="微软雅黑"/>
          <w:color w:val="231F20"/>
          <w:spacing w:val="2"/>
          <w:sz w:val="22"/>
          <w:szCs w:val="22"/>
        </w:rPr>
        <w:t>月，  中共中央办公厅 、国务院办公厅印发了《关于全面加强危险化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学品安全生产工作的意见》  ，  要求以防控系统性安全风险为重点，  完善和落实</w:t>
      </w:r>
      <w:r>
        <w:rPr>
          <w:rFonts w:ascii="微软雅黑" w:hAnsi="微软雅黑" w:eastAsia="微软雅黑" w:cs="微软雅黑"/>
          <w:color w:val="231F20"/>
          <w:sz w:val="22"/>
          <w:szCs w:val="22"/>
        </w:rPr>
        <w:t xml:space="preserve">安全 </w:t>
      </w:r>
      <w:r>
        <w:rPr>
          <w:rFonts w:ascii="微软雅黑" w:hAnsi="微软雅黑" w:eastAsia="微软雅黑" w:cs="微软雅黑"/>
          <w:color w:val="231F20"/>
          <w:spacing w:val="6"/>
          <w:sz w:val="22"/>
          <w:szCs w:val="22"/>
        </w:rPr>
        <w:t>生产责任和管理制度</w:t>
      </w:r>
      <w:r>
        <w:rPr>
          <w:rFonts w:ascii="微软雅黑" w:hAnsi="微软雅黑" w:eastAsia="微软雅黑" w:cs="微软雅黑"/>
          <w:color w:val="231F20"/>
          <w:spacing w:val="3"/>
          <w:sz w:val="22"/>
          <w:szCs w:val="22"/>
        </w:rPr>
        <w:t xml:space="preserve"> ，建立安全隐患排查和安全预防控制体系。</w:t>
      </w:r>
      <w:r>
        <w:rPr>
          <w:rFonts w:ascii="Times New Roman" w:hAnsi="Times New Roman" w:eastAsia="Times New Roman" w:cs="Times New Roman"/>
          <w:color w:val="231F20"/>
          <w:spacing w:val="3"/>
          <w:sz w:val="22"/>
          <w:szCs w:val="22"/>
        </w:rPr>
        <w:t xml:space="preserve">2020 </w:t>
      </w:r>
      <w:r>
        <w:rPr>
          <w:rFonts w:ascii="微软雅黑" w:hAnsi="微软雅黑" w:eastAsia="微软雅黑" w:cs="微软雅黑"/>
          <w:color w:val="231F20"/>
          <w:spacing w:val="3"/>
          <w:sz w:val="22"/>
          <w:szCs w:val="22"/>
        </w:rPr>
        <w:t xml:space="preserve">年 </w:t>
      </w:r>
      <w:r>
        <w:rPr>
          <w:rFonts w:ascii="Times New Roman" w:hAnsi="Times New Roman" w:eastAsia="Times New Roman" w:cs="Times New Roman"/>
          <w:color w:val="231F20"/>
          <w:spacing w:val="3"/>
          <w:sz w:val="22"/>
          <w:szCs w:val="22"/>
        </w:rPr>
        <w:t xml:space="preserve">9 </w:t>
      </w:r>
      <w:r>
        <w:rPr>
          <w:rFonts w:ascii="微软雅黑" w:hAnsi="微软雅黑" w:eastAsia="微软雅黑" w:cs="微软雅黑"/>
          <w:color w:val="231F20"/>
          <w:spacing w:val="3"/>
          <w:sz w:val="22"/>
          <w:szCs w:val="22"/>
        </w:rPr>
        <w:t>月 ，应急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管理部</w:t>
      </w:r>
      <w:r>
        <w:rPr>
          <w:rFonts w:ascii="微软雅黑" w:hAnsi="微软雅黑" w:eastAsia="微软雅黑" w:cs="微软雅黑"/>
          <w:color w:val="231F20"/>
          <w:spacing w:val="7"/>
          <w:sz w:val="22"/>
          <w:szCs w:val="22"/>
        </w:rPr>
        <w:t>发</w:t>
      </w:r>
      <w:r>
        <w:rPr>
          <w:rFonts w:ascii="微软雅黑" w:hAnsi="微软雅黑" w:eastAsia="微软雅黑" w:cs="微软雅黑"/>
          <w:color w:val="231F20"/>
          <w:spacing w:val="4"/>
          <w:sz w:val="22"/>
          <w:szCs w:val="22"/>
        </w:rPr>
        <w:t>布《淘汰落后危险化学品安全生产工艺技术设备目录 ( 第一批 )  》  ，公示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了一批淘汰落后的工艺技术和设备。进入 </w:t>
      </w:r>
      <w:r>
        <w:rPr>
          <w:rFonts w:ascii="Times New Roman" w:hAnsi="Times New Roman" w:eastAsia="Times New Roman" w:cs="Times New Roman"/>
          <w:color w:val="231F20"/>
          <w:spacing w:val="1"/>
          <w:sz w:val="22"/>
          <w:szCs w:val="22"/>
        </w:rPr>
        <w:t xml:space="preserve">2022 </w:t>
      </w:r>
      <w:r>
        <w:rPr>
          <w:rFonts w:ascii="微软雅黑" w:hAnsi="微软雅黑" w:eastAsia="微软雅黑" w:cs="微软雅黑"/>
          <w:color w:val="231F20"/>
          <w:spacing w:val="1"/>
          <w:sz w:val="22"/>
          <w:szCs w:val="22"/>
        </w:rPr>
        <w:t xml:space="preserve">年以来，  国务院 </w:t>
      </w:r>
      <w:r>
        <w:rPr>
          <w:rFonts w:ascii="微软雅黑" w:hAnsi="微软雅黑" w:eastAsia="微软雅黑" w:cs="微软雅黑"/>
          <w:color w:val="231F20"/>
          <w:sz w:val="22"/>
          <w:szCs w:val="22"/>
        </w:rPr>
        <w:t xml:space="preserve">、应急管理部相继发 </w:t>
      </w:r>
      <w:r>
        <w:rPr>
          <w:rFonts w:ascii="微软雅黑" w:hAnsi="微软雅黑" w:eastAsia="微软雅黑" w:cs="微软雅黑"/>
          <w:color w:val="231F20"/>
          <w:spacing w:val="-6"/>
          <w:sz w:val="22"/>
          <w:szCs w:val="22"/>
        </w:rPr>
        <w:t>布</w:t>
      </w:r>
      <w:r>
        <w:rPr>
          <w:rFonts w:ascii="微软雅黑" w:hAnsi="微软雅黑" w:eastAsia="微软雅黑" w:cs="微软雅黑"/>
          <w:color w:val="231F20"/>
          <w:spacing w:val="-4"/>
          <w:sz w:val="22"/>
          <w:szCs w:val="22"/>
        </w:rPr>
        <w:t>《</w:t>
      </w:r>
      <w:r>
        <w:rPr>
          <w:rFonts w:ascii="微软雅黑" w:hAnsi="微软雅黑" w:eastAsia="微软雅黑" w:cs="微软雅黑"/>
          <w:color w:val="231F20"/>
          <w:spacing w:val="-3"/>
          <w:sz w:val="22"/>
          <w:szCs w:val="22"/>
        </w:rPr>
        <w:t xml:space="preserve">  “十四五”国家安全生产规划》《  “十四五”危险化学品安全生产规划方案》，</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强化废弃危险化学品等危险废物全过程监管，  部署建设危险化学品安全治理体系</w:t>
      </w:r>
      <w:r>
        <w:rPr>
          <w:rFonts w:ascii="微软雅黑" w:hAnsi="微软雅黑" w:eastAsia="微软雅黑" w:cs="微软雅黑"/>
          <w:color w:val="231F20"/>
          <w:spacing w:val="1"/>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分类施策精准管控重点领域安全风险。越来越严格的危化品监管，  虽然在一定程</w:t>
      </w:r>
      <w:r>
        <w:rPr>
          <w:rFonts w:ascii="微软雅黑" w:hAnsi="微软雅黑" w:eastAsia="微软雅黑" w:cs="微软雅黑"/>
          <w:color w:val="231F20"/>
          <w:sz w:val="22"/>
          <w:szCs w:val="22"/>
        </w:rPr>
        <w:t xml:space="preserve">度 </w:t>
      </w:r>
      <w:r>
        <w:rPr>
          <w:rFonts w:ascii="微软雅黑" w:hAnsi="微软雅黑" w:eastAsia="微软雅黑" w:cs="微软雅黑"/>
          <w:color w:val="231F20"/>
          <w:spacing w:val="6"/>
          <w:sz w:val="22"/>
          <w:szCs w:val="22"/>
        </w:rPr>
        <w:t>上增加了外资化</w:t>
      </w:r>
      <w:r>
        <w:rPr>
          <w:rFonts w:ascii="微软雅黑" w:hAnsi="微软雅黑" w:eastAsia="微软雅黑" w:cs="微软雅黑"/>
          <w:color w:val="231F20"/>
          <w:spacing w:val="4"/>
          <w:sz w:val="22"/>
          <w:szCs w:val="22"/>
        </w:rPr>
        <w:t>工</w:t>
      </w:r>
      <w:r>
        <w:rPr>
          <w:rFonts w:ascii="微软雅黑" w:hAnsi="微软雅黑" w:eastAsia="微软雅黑" w:cs="微软雅黑"/>
          <w:color w:val="231F20"/>
          <w:spacing w:val="3"/>
          <w:sz w:val="22"/>
          <w:szCs w:val="22"/>
        </w:rPr>
        <w:t>企业的成本，但有利于规范外资企业危化品生产经营和仓储运输，</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促进企业更好发展</w:t>
      </w:r>
      <w:r>
        <w:rPr>
          <w:rFonts w:ascii="微软雅黑" w:hAnsi="微软雅黑" w:eastAsia="微软雅黑" w:cs="微软雅黑"/>
          <w:color w:val="231F20"/>
          <w:spacing w:val="1"/>
          <w:sz w:val="22"/>
          <w:szCs w:val="22"/>
        </w:rPr>
        <w:t>。</w:t>
      </w:r>
    </w:p>
    <w:p>
      <w:pPr>
        <w:spacing w:before="177"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0"/>
          <w:sz w:val="24"/>
          <w:szCs w:val="24"/>
        </w:rPr>
        <w:t>二) 利用外资情况</w:t>
      </w:r>
    </w:p>
    <w:p>
      <w:pPr>
        <w:spacing w:before="332" w:line="202" w:lineRule="auto"/>
        <w:ind w:left="2442"/>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年以来 ，在全球化工产业链供应链调整过程中 ，受</w:t>
      </w:r>
      <w:r>
        <w:rPr>
          <w:rFonts w:ascii="微软雅黑" w:hAnsi="微软雅黑" w:eastAsia="微软雅黑" w:cs="微软雅黑"/>
          <w:color w:val="231F20"/>
          <w:spacing w:val="-1"/>
          <w:sz w:val="22"/>
          <w:szCs w:val="22"/>
        </w:rPr>
        <w:t>中国超大规模市场和营商</w:t>
      </w:r>
    </w:p>
    <w:p>
      <w:pPr>
        <w:spacing w:before="81" w:line="272" w:lineRule="auto"/>
        <w:ind w:left="1987" w:right="1986" w:firstLine="6"/>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环境持续优化</w:t>
      </w:r>
      <w:r>
        <w:rPr>
          <w:rFonts w:ascii="微软雅黑" w:hAnsi="微软雅黑" w:eastAsia="微软雅黑" w:cs="微软雅黑"/>
          <w:color w:val="231F20"/>
          <w:sz w:val="22"/>
          <w:szCs w:val="22"/>
        </w:rPr>
        <w:t xml:space="preserve">驱动 ，在华外资化工制造企业持续加大化工项目投资 ，并积极加强技术 </w:t>
      </w:r>
      <w:r>
        <w:rPr>
          <w:rFonts w:ascii="微软雅黑" w:hAnsi="微软雅黑" w:eastAsia="微软雅黑" w:cs="微软雅黑"/>
          <w:color w:val="231F20"/>
          <w:spacing w:val="1"/>
          <w:sz w:val="22"/>
          <w:szCs w:val="22"/>
        </w:rPr>
        <w:t>研发</w:t>
      </w:r>
      <w:r>
        <w:rPr>
          <w:rFonts w:ascii="微软雅黑" w:hAnsi="微软雅黑" w:eastAsia="微软雅黑" w:cs="微软雅黑"/>
          <w:color w:val="231F20"/>
          <w:sz w:val="22"/>
          <w:szCs w:val="22"/>
        </w:rPr>
        <w:t>和绿色低碳转型。</w:t>
      </w:r>
    </w:p>
    <w:p>
      <w:pPr>
        <w:spacing w:before="179" w:line="217" w:lineRule="auto"/>
        <w:ind w:left="2461"/>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1. </w:t>
      </w:r>
      <w:r>
        <w:rPr>
          <w:rFonts w:ascii="KaiTi" w:hAnsi="KaiTi" w:eastAsia="KaiTi" w:cs="KaiTi"/>
          <w:color w:val="015DAC"/>
          <w:spacing w:val="-1"/>
          <w:sz w:val="22"/>
          <w:szCs w:val="22"/>
        </w:rPr>
        <w:t>外资化</w:t>
      </w:r>
      <w:r>
        <w:rPr>
          <w:rFonts w:ascii="KaiTi" w:hAnsi="KaiTi" w:eastAsia="KaiTi" w:cs="KaiTi"/>
          <w:color w:val="015DAC"/>
          <w:sz w:val="22"/>
          <w:szCs w:val="22"/>
        </w:rPr>
        <w:t>工制造企业创新能力持续增强</w:t>
      </w:r>
    </w:p>
    <w:p>
      <w:pPr>
        <w:spacing w:line="268" w:lineRule="auto"/>
        <w:rPr>
          <w:rFonts w:ascii="Arial"/>
          <w:sz w:val="21"/>
        </w:rPr>
      </w:pPr>
    </w:p>
    <w:p>
      <w:pPr>
        <w:spacing w:before="95" w:line="257" w:lineRule="auto"/>
        <w:ind w:left="1995" w:right="1982" w:firstLine="449"/>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在化工制造业结构升级等政策的推动</w:t>
      </w:r>
      <w:r>
        <w:rPr>
          <w:rFonts w:ascii="微软雅黑" w:hAnsi="微软雅黑" w:eastAsia="微软雅黑" w:cs="微软雅黑"/>
          <w:color w:val="231F20"/>
          <w:sz w:val="22"/>
          <w:szCs w:val="22"/>
        </w:rPr>
        <w:t xml:space="preserve">下，  中国规模以上化学原料与化学制品制造 </w:t>
      </w:r>
      <w:r>
        <w:rPr>
          <w:rFonts w:ascii="微软雅黑" w:hAnsi="微软雅黑" w:eastAsia="微软雅黑" w:cs="微软雅黑"/>
          <w:color w:val="231F20"/>
          <w:spacing w:val="1"/>
          <w:sz w:val="22"/>
          <w:szCs w:val="22"/>
        </w:rPr>
        <w:t xml:space="preserve">业 </w:t>
      </w:r>
      <w:r>
        <w:rPr>
          <w:rFonts w:ascii="Times New Roman" w:hAnsi="Times New Roman" w:eastAsia="Times New Roman" w:cs="Times New Roman"/>
          <w:color w:val="231F20"/>
          <w:sz w:val="22"/>
          <w:szCs w:val="22"/>
        </w:rPr>
        <w:t>R</w:t>
      </w:r>
      <w:r>
        <w:rPr>
          <w:rFonts w:ascii="Times New Roman" w:hAnsi="Times New Roman" w:eastAsia="Times New Roman" w:cs="Times New Roman"/>
          <w:color w:val="231F20"/>
          <w:spacing w:val="1"/>
          <w:sz w:val="22"/>
          <w:szCs w:val="22"/>
        </w:rPr>
        <w:t>&amp;</w:t>
      </w:r>
      <w:r>
        <w:rPr>
          <w:rFonts w:ascii="Times New Roman" w:hAnsi="Times New Roman" w:eastAsia="Times New Roman" w:cs="Times New Roman"/>
          <w:color w:val="231F20"/>
          <w:sz w:val="22"/>
          <w:szCs w:val="22"/>
        </w:rPr>
        <w:t>D</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 xml:space="preserve">人员全时当量和 </w:t>
      </w:r>
      <w:r>
        <w:rPr>
          <w:rFonts w:ascii="Times New Roman" w:hAnsi="Times New Roman" w:eastAsia="Times New Roman" w:cs="Times New Roman"/>
          <w:color w:val="231F20"/>
          <w:sz w:val="22"/>
          <w:szCs w:val="22"/>
        </w:rPr>
        <w:t>R</w:t>
      </w:r>
      <w:r>
        <w:rPr>
          <w:rFonts w:ascii="Times New Roman" w:hAnsi="Times New Roman" w:eastAsia="Times New Roman" w:cs="Times New Roman"/>
          <w:color w:val="231F20"/>
          <w:spacing w:val="1"/>
          <w:sz w:val="22"/>
          <w:szCs w:val="22"/>
        </w:rPr>
        <w:t>&amp;</w:t>
      </w:r>
      <w:r>
        <w:rPr>
          <w:rFonts w:ascii="Times New Roman" w:hAnsi="Times New Roman" w:eastAsia="Times New Roman" w:cs="Times New Roman"/>
          <w:color w:val="231F20"/>
          <w:sz w:val="22"/>
          <w:szCs w:val="22"/>
        </w:rPr>
        <w:t>D</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项目数呈现持续增长态势，</w:t>
      </w:r>
      <w:r>
        <w:rPr>
          <w:rFonts w:ascii="Times New Roman" w:hAnsi="Times New Roman" w:eastAsia="Times New Roman" w:cs="Times New Roman"/>
          <w:color w:val="231F20"/>
          <w:spacing w:val="1"/>
          <w:sz w:val="22"/>
          <w:szCs w:val="22"/>
        </w:rPr>
        <w:t xml:space="preserve">2016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z w:val="22"/>
          <w:szCs w:val="22"/>
        </w:rPr>
        <w:t>R</w:t>
      </w:r>
      <w:r>
        <w:rPr>
          <w:rFonts w:ascii="Times New Roman" w:hAnsi="Times New Roman" w:eastAsia="Times New Roman" w:cs="Times New Roman"/>
          <w:color w:val="231F20"/>
          <w:spacing w:val="1"/>
          <w:sz w:val="22"/>
          <w:szCs w:val="22"/>
        </w:rPr>
        <w:t>&amp;</w:t>
      </w:r>
      <w:r>
        <w:rPr>
          <w:rFonts w:ascii="Times New Roman" w:hAnsi="Times New Roman" w:eastAsia="Times New Roman" w:cs="Times New Roman"/>
          <w:color w:val="231F20"/>
          <w:sz w:val="22"/>
          <w:szCs w:val="22"/>
        </w:rPr>
        <w:t>D</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人员全时</w:t>
      </w:r>
      <w:r>
        <w:rPr>
          <w:rFonts w:ascii="微软雅黑" w:hAnsi="微软雅黑" w:eastAsia="微软雅黑" w:cs="微软雅黑"/>
          <w:color w:val="231F20"/>
          <w:sz w:val="22"/>
          <w:szCs w:val="22"/>
        </w:rPr>
        <w:t xml:space="preserve">当量 </w:t>
      </w:r>
      <w:r>
        <w:rPr>
          <w:rFonts w:ascii="微软雅黑" w:hAnsi="微软雅黑" w:eastAsia="微软雅黑" w:cs="微软雅黑"/>
          <w:color w:val="231F20"/>
          <w:spacing w:val="-2"/>
          <w:sz w:val="22"/>
          <w:szCs w:val="22"/>
        </w:rPr>
        <w:t xml:space="preserve">为 </w:t>
      </w:r>
      <w:r>
        <w:rPr>
          <w:rFonts w:ascii="Times New Roman" w:hAnsi="Times New Roman" w:eastAsia="Times New Roman" w:cs="Times New Roman"/>
          <w:color w:val="231F20"/>
          <w:spacing w:val="-2"/>
          <w:sz w:val="22"/>
          <w:szCs w:val="22"/>
        </w:rPr>
        <w:t xml:space="preserve">17.9 </w:t>
      </w:r>
      <w:r>
        <w:rPr>
          <w:rFonts w:ascii="微软雅黑" w:hAnsi="微软雅黑" w:eastAsia="微软雅黑" w:cs="微软雅黑"/>
          <w:color w:val="231F20"/>
          <w:spacing w:val="-2"/>
          <w:sz w:val="22"/>
          <w:szCs w:val="22"/>
        </w:rPr>
        <w:t xml:space="preserve">万人年，  到 </w:t>
      </w:r>
      <w:r>
        <w:rPr>
          <w:rFonts w:ascii="Times New Roman" w:hAnsi="Times New Roman" w:eastAsia="Times New Roman" w:cs="Times New Roman"/>
          <w:color w:val="231F20"/>
          <w:spacing w:val="-2"/>
          <w:sz w:val="22"/>
          <w:szCs w:val="22"/>
        </w:rPr>
        <w:t xml:space="preserve">2020 </w:t>
      </w:r>
      <w:r>
        <w:rPr>
          <w:rFonts w:ascii="微软雅黑" w:hAnsi="微软雅黑" w:eastAsia="微软雅黑" w:cs="微软雅黑"/>
          <w:color w:val="231F20"/>
          <w:spacing w:val="-2"/>
          <w:sz w:val="22"/>
          <w:szCs w:val="22"/>
        </w:rPr>
        <w:t xml:space="preserve">年增长至 </w:t>
      </w:r>
      <w:r>
        <w:rPr>
          <w:rFonts w:ascii="Times New Roman" w:hAnsi="Times New Roman" w:eastAsia="Times New Roman" w:cs="Times New Roman"/>
          <w:color w:val="231F20"/>
          <w:spacing w:val="-2"/>
          <w:sz w:val="22"/>
          <w:szCs w:val="22"/>
        </w:rPr>
        <w:t xml:space="preserve">18. 1 </w:t>
      </w:r>
      <w:r>
        <w:rPr>
          <w:rFonts w:ascii="微软雅黑" w:hAnsi="微软雅黑" w:eastAsia="微软雅黑" w:cs="微软雅黑"/>
          <w:color w:val="231F20"/>
          <w:spacing w:val="-1"/>
          <w:sz w:val="22"/>
          <w:szCs w:val="22"/>
        </w:rPr>
        <w:t>万人年，</w:t>
      </w:r>
      <w:r>
        <w:rPr>
          <w:rFonts w:ascii="Times New Roman" w:hAnsi="Times New Roman" w:eastAsia="Times New Roman" w:cs="Times New Roman"/>
          <w:color w:val="231F20"/>
          <w:spacing w:val="-1"/>
          <w:sz w:val="22"/>
          <w:szCs w:val="22"/>
        </w:rPr>
        <w:t xml:space="preserve">R&amp;D </w:t>
      </w:r>
      <w:r>
        <w:rPr>
          <w:rFonts w:ascii="微软雅黑" w:hAnsi="微软雅黑" w:eastAsia="微软雅黑" w:cs="微软雅黑"/>
          <w:color w:val="231F20"/>
          <w:spacing w:val="-1"/>
          <w:sz w:val="22"/>
          <w:szCs w:val="22"/>
        </w:rPr>
        <w:t xml:space="preserve">项目数也从 </w:t>
      </w:r>
      <w:r>
        <w:rPr>
          <w:rFonts w:ascii="Times New Roman" w:hAnsi="Times New Roman" w:eastAsia="Times New Roman" w:cs="Times New Roman"/>
          <w:color w:val="231F20"/>
          <w:spacing w:val="-1"/>
          <w:sz w:val="22"/>
          <w:szCs w:val="22"/>
        </w:rPr>
        <w:t xml:space="preserve">2016 </w:t>
      </w:r>
      <w:r>
        <w:rPr>
          <w:rFonts w:ascii="微软雅黑" w:hAnsi="微软雅黑" w:eastAsia="微软雅黑" w:cs="微软雅黑"/>
          <w:color w:val="231F20"/>
          <w:spacing w:val="-1"/>
          <w:sz w:val="22"/>
          <w:szCs w:val="22"/>
        </w:rPr>
        <w:t xml:space="preserve">年的 </w:t>
      </w:r>
      <w:r>
        <w:rPr>
          <w:rFonts w:ascii="Times New Roman" w:hAnsi="Times New Roman" w:eastAsia="Times New Roman" w:cs="Times New Roman"/>
          <w:color w:val="231F20"/>
          <w:spacing w:val="-1"/>
          <w:sz w:val="22"/>
          <w:szCs w:val="22"/>
        </w:rPr>
        <w:t xml:space="preserve">29675 </w:t>
      </w:r>
      <w:r>
        <w:rPr>
          <w:rFonts w:ascii="微软雅黑" w:hAnsi="微软雅黑" w:eastAsia="微软雅黑" w:cs="微软雅黑"/>
          <w:color w:val="231F20"/>
          <w:spacing w:val="-1"/>
          <w:sz w:val="22"/>
          <w:szCs w:val="22"/>
        </w:rPr>
        <w:t>个</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项目大幅增长至 </w:t>
      </w:r>
      <w:r>
        <w:rPr>
          <w:rFonts w:ascii="Times New Roman" w:hAnsi="Times New Roman" w:eastAsia="Times New Roman" w:cs="Times New Roman"/>
          <w:color w:val="231F20"/>
          <w:spacing w:val="-1"/>
          <w:sz w:val="22"/>
          <w:szCs w:val="22"/>
        </w:rPr>
        <w:t xml:space="preserve">2020 </w:t>
      </w:r>
      <w:r>
        <w:rPr>
          <w:rFonts w:ascii="微软雅黑" w:hAnsi="微软雅黑" w:eastAsia="微软雅黑" w:cs="微软雅黑"/>
          <w:color w:val="231F20"/>
          <w:spacing w:val="-1"/>
          <w:sz w:val="22"/>
          <w:szCs w:val="22"/>
        </w:rPr>
        <w:t xml:space="preserve">年的 </w:t>
      </w:r>
      <w:r>
        <w:rPr>
          <w:rFonts w:ascii="Times New Roman" w:hAnsi="Times New Roman" w:eastAsia="Times New Roman" w:cs="Times New Roman"/>
          <w:color w:val="231F20"/>
          <w:spacing w:val="-1"/>
          <w:sz w:val="22"/>
          <w:szCs w:val="22"/>
        </w:rPr>
        <w:t xml:space="preserve">49404 </w:t>
      </w:r>
      <w:r>
        <w:rPr>
          <w:rFonts w:ascii="微软雅黑" w:hAnsi="微软雅黑" w:eastAsia="微软雅黑" w:cs="微软雅黑"/>
          <w:color w:val="231F20"/>
          <w:spacing w:val="-1"/>
          <w:sz w:val="22"/>
          <w:szCs w:val="22"/>
        </w:rPr>
        <w:t xml:space="preserve">个项目 ，年均增幅达 </w:t>
      </w:r>
      <w:r>
        <w:rPr>
          <w:rFonts w:ascii="Times New Roman" w:hAnsi="Times New Roman" w:eastAsia="Times New Roman" w:cs="Times New Roman"/>
          <w:color w:val="231F20"/>
          <w:spacing w:val="-1"/>
          <w:sz w:val="22"/>
          <w:szCs w:val="22"/>
        </w:rPr>
        <w:t>10.7%</w:t>
      </w:r>
      <w:r>
        <w:rPr>
          <w:rFonts w:ascii="微软雅黑" w:hAnsi="微软雅黑" w:eastAsia="微软雅黑" w:cs="微软雅黑"/>
          <w:color w:val="231F20"/>
          <w:spacing w:val="-1"/>
          <w:sz w:val="22"/>
          <w:szCs w:val="22"/>
        </w:rPr>
        <w:t>。其中，规</w:t>
      </w:r>
      <w:r>
        <w:rPr>
          <w:rFonts w:ascii="微软雅黑" w:hAnsi="微软雅黑" w:eastAsia="微软雅黑" w:cs="微软雅黑"/>
          <w:color w:val="231F20"/>
          <w:sz w:val="22"/>
          <w:szCs w:val="22"/>
        </w:rPr>
        <w:t xml:space="preserve">模以上外资化 </w:t>
      </w:r>
      <w:r>
        <w:rPr>
          <w:rFonts w:ascii="微软雅黑" w:hAnsi="微软雅黑" w:eastAsia="微软雅黑" w:cs="微软雅黑"/>
          <w:color w:val="231F20"/>
          <w:spacing w:val="2"/>
          <w:sz w:val="22"/>
          <w:szCs w:val="22"/>
        </w:rPr>
        <w:t>学原料和化学制品制造业企业研发力量在持续强化和</w:t>
      </w:r>
      <w:r>
        <w:rPr>
          <w:rFonts w:ascii="微软雅黑" w:hAnsi="微软雅黑" w:eastAsia="微软雅黑" w:cs="微软雅黑"/>
          <w:color w:val="231F20"/>
          <w:spacing w:val="1"/>
          <w:sz w:val="22"/>
          <w:szCs w:val="22"/>
        </w:rPr>
        <w:t>提升 ，一批跨国化工企业持续在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中国设立、启动或升级研发与创新中心，积极</w:t>
      </w:r>
      <w:r>
        <w:rPr>
          <w:rFonts w:ascii="微软雅黑" w:hAnsi="微软雅黑" w:eastAsia="微软雅黑" w:cs="微软雅黑"/>
          <w:color w:val="231F20"/>
          <w:spacing w:val="1"/>
          <w:sz w:val="22"/>
          <w:szCs w:val="22"/>
        </w:rPr>
        <w:t>推动研发本土化 ，对化工研发创新起到</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了积极的带动</w:t>
      </w:r>
      <w:r>
        <w:rPr>
          <w:rFonts w:ascii="微软雅黑" w:hAnsi="微软雅黑" w:eastAsia="微软雅黑" w:cs="微软雅黑"/>
          <w:color w:val="231F20"/>
          <w:sz w:val="22"/>
          <w:szCs w:val="22"/>
        </w:rPr>
        <w:t>作用。</w:t>
      </w:r>
    </w:p>
    <w:p>
      <w:pPr>
        <w:sectPr>
          <w:pgSz w:w="12246" w:h="16498"/>
          <w:pgMar w:top="400" w:right="0" w:bottom="400" w:left="0" w:header="0" w:footer="0" w:gutter="0"/>
          <w:cols w:space="720" w:num="1"/>
        </w:sectPr>
      </w:pPr>
    </w:p>
    <w:p>
      <w:pPr>
        <w:spacing w:line="241" w:lineRule="auto"/>
        <w:rPr>
          <w:rFonts w:ascii="Arial"/>
          <w:sz w:val="21"/>
        </w:rPr>
      </w:pPr>
      <w:r>
        <w:pict>
          <v:rect id="_x0000_s1258" o:spid="_x0000_s1258" o:spt="1" style="position:absolute;left:0pt;margin-left:148.1pt;margin-top:510.8pt;height:128.45pt;width:0.3pt;mso-position-horizontal-relative:page;mso-position-vertical-relative:page;z-index:251928576;mso-width-relative:page;mso-height-relative:page;" fillcolor="#231F20" filled="t" stroked="f" coordsize="21600,21600" o:allowincell="f">
            <v:path/>
            <v:fill on="t" focussize="0,0"/>
            <v:stroke on="f"/>
            <v:imagedata o:title=""/>
            <o:lock v:ext="edit"/>
          </v:rect>
        </w:pict>
      </w:r>
      <w:r>
        <w:pict>
          <v:rect id="_x0000_s1259" o:spid="_x0000_s1259" o:spt="1" style="position:absolute;left:0pt;margin-left:149.1pt;margin-top:632.4pt;height:7.95pt;width:335.65pt;mso-position-horizontal-relative:page;mso-position-vertical-relative:page;z-index:251933696;mso-width-relative:page;mso-height-relative:page;" fillcolor="#FFFFFF" filled="t" stroked="f" coordsize="21600,21600" o:allowincell="f">
            <v:path/>
            <v:fill on="t" focussize="0,0"/>
            <v:stroke on="f"/>
            <v:imagedata o:title=""/>
            <o:lock v:ext="edit"/>
          </v:rect>
        </w:pict>
      </w:r>
      <w:r>
        <w:pict>
          <v:shape id="_x0000_s1260" o:spid="_x0000_s1260" style="position:absolute;left:0pt;margin-left:150.35pt;margin-top:513.45pt;height:0.75pt;width:321.9pt;mso-position-horizontal-relative:page;mso-position-vertical-relative:page;z-index:251939840;mso-width-relative:page;mso-height-relative:page;" filled="f" stroked="t" coordsize="6437,15" o:allowincell="f" path="m0,7l6437,7e">
            <v:fill on="f" focussize="0,0"/>
            <v:stroke color="#CEE6ED" miterlimit="10" dashstyle="dash"/>
            <v:imagedata o:title=""/>
            <o:lock v:ext="edit"/>
          </v:shape>
        </w:pict>
      </w:r>
      <w:r>
        <w:pict>
          <v:shape id="_x0000_s1261" o:spid="_x0000_s1261" style="position:absolute;left:0pt;margin-left:150.35pt;margin-top:525.65pt;height:0.75pt;width:321.9pt;mso-position-horizontal-relative:page;mso-position-vertical-relative:page;z-index:251934720;mso-width-relative:page;mso-height-relative:page;" filled="f" stroked="t" coordsize="6437,15" o:allowincell="f" path="m0,7l6437,7e">
            <v:fill on="f" focussize="0,0"/>
            <v:stroke color="#CEE6ED" miterlimit="10" dashstyle="dash"/>
            <v:imagedata o:title=""/>
            <o:lock v:ext="edit"/>
          </v:shape>
        </w:pict>
      </w:r>
      <w:r>
        <w:drawing>
          <wp:anchor distT="0" distB="0" distL="0" distR="0" simplePos="0" relativeHeight="25192345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39" name="IM 239"/>
            <wp:cNvGraphicFramePr/>
            <a:graphic xmlns:a="http://schemas.openxmlformats.org/drawingml/2006/main">
              <a:graphicData uri="http://schemas.openxmlformats.org/drawingml/2006/picture">
                <pic:pic xmlns:pic="http://schemas.openxmlformats.org/drawingml/2006/picture">
                  <pic:nvPicPr>
                    <pic:cNvPr id="239" name="IM 239"/>
                    <pic:cNvPicPr/>
                  </pic:nvPicPr>
                  <pic:blipFill>
                    <a:blip r:embed="rId43"/>
                    <a:stretch>
                      <a:fillRect/>
                    </a:stretch>
                  </pic:blipFill>
                  <pic:spPr>
                    <a:xfrm>
                      <a:off x="0" y="0"/>
                      <a:ext cx="7775994" cy="422998"/>
                    </a:xfrm>
                    <a:prstGeom prst="rect">
                      <a:avLst/>
                    </a:prstGeom>
                  </pic:spPr>
                </pic:pic>
              </a:graphicData>
            </a:graphic>
          </wp:anchor>
        </w:drawing>
      </w:r>
      <w:r>
        <w:pict>
          <v:group id="_x0000_s1262" o:spid="_x0000_s1262" o:spt="203" style="position:absolute;left:0pt;margin-left:179.65pt;margin-top:525.95pt;height:22.55pt;width:68.4pt;mso-position-horizontal-relative:page;mso-position-vertical-relative:page;z-index:251935744;mso-width-relative:page;mso-height-relative:page;" coordsize="1368,450" o:allowincell="f">
            <o:lock v:ext="edit"/>
            <v:shape id="_x0000_s1263" o:spid="_x0000_s1263" style="position:absolute;left:35;top:0;height:415;width:1333;" filled="f" stroked="t" coordsize="1333,415" path="m22,392l1309,22e">
              <v:fill on="f" focussize="0,0"/>
              <v:stroke weight="2.25pt" color="#92B165" miterlimit="10" endcap="round"/>
              <v:imagedata o:title=""/>
              <o:lock v:ext="edit"/>
            </v:shape>
            <v:shape id="_x0000_s1264" o:spid="_x0000_s1264" o:spt="202" type="#_x0000_t202" style="position:absolute;left:-20;top:101;height:369;width:392;" filled="f" stroked="f" coordsize="21600,21600">
              <v:path/>
              <v:fill on="f" focussize="0,0"/>
              <v:stroke on="f"/>
              <v:imagedata o:title=""/>
              <o:lock v:ext="edit" aspectratio="f"/>
              <v:textbox inset="0mm,0mm,0mm,0mm">
                <w:txbxContent>
                  <w:p>
                    <w:pPr>
                      <w:spacing w:before="20" w:line="181" w:lineRule="auto"/>
                      <w:ind w:left="221"/>
                      <w:rPr>
                        <w:rFonts w:ascii="微软雅黑" w:hAnsi="微软雅黑" w:eastAsia="微软雅黑" w:cs="微软雅黑"/>
                        <w:sz w:val="17"/>
                        <w:szCs w:val="17"/>
                      </w:rPr>
                    </w:pPr>
                    <w:r>
                      <w:rPr>
                        <w:rFonts w:ascii="微软雅黑" w:hAnsi="微软雅黑" w:eastAsia="微软雅黑" w:cs="微软雅黑"/>
                        <w:color w:val="231F20"/>
                        <w:sz w:val="17"/>
                        <w:szCs w:val="17"/>
                      </w:rPr>
                      <w:t>%</w:t>
                    </w:r>
                  </w:p>
                  <w:p>
                    <w:pPr>
                      <w:spacing w:line="108" w:lineRule="exact"/>
                      <w:ind w:firstLine="20"/>
                      <w:textAlignment w:val="center"/>
                    </w:pPr>
                    <w:r>
                      <w:drawing>
                        <wp:inline distT="0" distB="0" distL="0" distR="0">
                          <wp:extent cx="73025" cy="6858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10"/>
                                  <a:stretch>
                                    <a:fillRect/>
                                  </a:stretch>
                                </pic:blipFill>
                                <pic:spPr>
                                  <a:xfrm>
                                    <a:off x="0" y="0"/>
                                    <a:ext cx="73257" cy="68757"/>
                                  </a:xfrm>
                                  <a:prstGeom prst="rect">
                                    <a:avLst/>
                                  </a:prstGeom>
                                </pic:spPr>
                              </pic:pic>
                            </a:graphicData>
                          </a:graphic>
                        </wp:inline>
                      </w:drawing>
                    </w:r>
                  </w:p>
                </w:txbxContent>
              </v:textbox>
            </v:shape>
          </v:group>
        </w:pict>
      </w:r>
      <w:r>
        <w:pict>
          <v:group id="_x0000_s1265" o:spid="_x0000_s1265" o:spt="203" style="position:absolute;left:0pt;margin-left:179.65pt;margin-top:560.7pt;height:5.8pt;width:5.8pt;mso-position-horizontal-relative:page;mso-position-vertical-relative:page;z-index:251954176;mso-width-relative:page;mso-height-relative:page;" coordsize="116,116" o:allowincell="f">
            <o:lock v:ext="edit"/>
            <v:shape id="_x0000_s1266" o:spid="_x0000_s1266" style="position:absolute;left:7;top:7;height:101;width:101;" fillcolor="#4E7DB1" filled="t" stroked="f" coordsize="101,101" path="m0,50c0,22,22,0,50,0c77,0,100,22,100,50c100,77,77,100,50,100c22,100,0,77,0,50e">
              <v:path/>
              <v:fill on="t" focussize="0,0"/>
              <v:stroke on="f"/>
              <v:imagedata o:title=""/>
              <o:lock v:ext="edit"/>
            </v:shape>
            <v:shape id="_x0000_s1267" o:spid="_x0000_s1267" style="position:absolute;left:0;top:0;height:116;width:116;" filled="f" stroked="t" coordsize="116,116" path="m7,57c7,29,29,7,57,7c85,7,107,29,107,57c107,85,85,107,57,107c29,107,7,85,7,57e">
              <v:fill on="f" focussize="0,0"/>
              <v:stroke color="#4E7DB1" miterlimit="10"/>
              <v:imagedata o:title=""/>
              <o:lock v:ext="edit"/>
            </v:shape>
          </v:group>
        </w:pict>
      </w:r>
      <w:r>
        <w:pict>
          <v:group id="_x0000_s1268" o:spid="_x0000_s1268" o:spt="203" style="position:absolute;left:0pt;margin-left:437.15pt;margin-top:514.65pt;height:5.8pt;width:5.8pt;mso-position-horizontal-relative:page;mso-position-vertical-relative:page;z-index:251950080;mso-width-relative:page;mso-height-relative:page;" coordsize="116,116" o:allowincell="f">
            <o:lock v:ext="edit"/>
            <v:shape id="_x0000_s1269" o:spid="_x0000_s1269" style="position:absolute;left:7;top:7;height:101;width:101;" fillcolor="#92B165" filled="t" stroked="f" coordsize="101,101" path="m0,50c0,22,22,0,50,0c77,0,100,22,100,50c100,77,77,100,50,100c22,100,0,77,0,50e">
              <v:path/>
              <v:fill on="t" focussize="0,0"/>
              <v:stroke on="f"/>
              <v:imagedata o:title=""/>
              <o:lock v:ext="edit"/>
            </v:shape>
            <v:shape id="_x0000_s1270" o:spid="_x0000_s1270" style="position:absolute;left:0;top:0;height:116;width:116;" filled="f" stroked="t" coordsize="116,116" path="m7,57c7,29,29,7,57,7c85,7,107,29,107,57c107,85,85,107,57,107c29,107,7,85,7,57e">
              <v:fill on="f" focussize="0,0"/>
              <v:stroke color="#92B165" miterlimit="10"/>
              <v:imagedata o:title=""/>
              <o:lock v:ext="edit"/>
            </v:shape>
          </v:group>
        </w:pict>
      </w:r>
      <w:r>
        <w:pict>
          <v:shape id="_x0000_s1271" o:spid="_x0000_s1271" style="position:absolute;left:0pt;margin-left:245.8pt;margin-top:525.95pt;height:4.8pt;width:66.65pt;mso-position-horizontal-relative:page;mso-position-vertical-relative:page;z-index:251936768;mso-width-relative:page;mso-height-relative:page;" filled="f" stroked="t" coordsize="1333,96" o:allowincell="f" path="m22,22l1309,73e">
            <v:fill on="f" focussize="0,0"/>
            <v:stroke weight="2.25pt" color="#92B165" miterlimit="10" endcap="round"/>
            <v:imagedata o:title=""/>
            <o:lock v:ext="edit"/>
          </v:shape>
        </w:pict>
      </w:r>
      <w:r>
        <w:pict>
          <v:shape id="_x0000_s1272" o:spid="_x0000_s1272" style="position:absolute;left:0pt;margin-left:244.4pt;margin-top:524.55pt;height:5.05pt;width:5.05pt;mso-position-horizontal-relative:page;mso-position-vertical-relative:page;z-index:251952128;mso-width-relative:page;mso-height-relative:page;" fillcolor="#92B165" filled="t" stroked="f" coordsize="101,101" o:allowincell="f" path="m0,50c0,22,22,0,50,0c77,0,100,22,100,50c100,77,77,100,50,100c22,100,0,77,0,50e">
            <v:path/>
            <v:fill on="t" focussize="0,0"/>
            <v:stroke on="f"/>
            <v:imagedata o:title=""/>
            <o:lock v:ext="edit"/>
          </v:shape>
        </w:pict>
      </w:r>
      <w:r>
        <w:pict>
          <v:shape id="_x0000_s1273" o:spid="_x0000_s1273" style="position:absolute;left:0pt;margin-left:374.55pt;margin-top:516.45pt;height:25.25pt;width:66.65pt;mso-position-horizontal-relative:page;mso-position-vertical-relative:page;z-index:251938816;mso-width-relative:page;mso-height-relative:page;" filled="f" stroked="t" coordsize="1333,505" o:allowincell="f" path="m22,482l1309,22e">
            <v:fill on="f" focussize="0,0"/>
            <v:stroke weight="2.25pt" color="#92B165" miterlimit="10" endcap="round"/>
            <v:imagedata o:title=""/>
            <o:lock v:ext="edit"/>
          </v:shape>
        </w:pict>
      </w:r>
      <w:r>
        <w:pict>
          <v:shape id="_x0000_s1274" o:spid="_x0000_s1274" style="position:absolute;left:0pt;margin-left:244.05pt;margin-top:524.15pt;height:5.8pt;width:5.8pt;mso-position-horizontal-relative:page;mso-position-vertical-relative:page;z-index:251953152;mso-width-relative:page;mso-height-relative:page;" filled="f" stroked="t" coordsize="116,116" o:allowincell="f" path="m7,57c7,29,29,7,57,7c85,7,107,29,107,57c107,85,85,107,57,107c29,107,7,85,7,57e">
            <v:fill on="f" focussize="0,0"/>
            <v:stroke color="#92B165" miterlimit="10"/>
            <v:imagedata o:title=""/>
            <o:lock v:ext="edit"/>
          </v:shape>
        </w:pict>
      </w:r>
      <w:r>
        <w:pict>
          <v:shape id="_x0000_s1275" o:spid="_x0000_s1275" style="position:absolute;left:0pt;margin-left:308.4pt;margin-top:526.7pt;height:5.8pt;width:5.8pt;mso-position-horizontal-relative:page;mso-position-vertical-relative:page;z-index:251951104;mso-width-relative:page;mso-height-relative:page;" fillcolor="#92B165" filled="t" stroked="t" coordsize="116,116" o:allowincell="f" path="m7,57c7,29,29,7,57,7c85,7,107,29,107,57c107,85,85,107,57,107c29,107,7,85,7,57e">
            <v:fill on="t" focussize="0,0"/>
            <v:stroke color="#92B165" miterlimit="10"/>
            <v:imagedata o:title=""/>
            <o:lock v:ext="edit"/>
          </v:shape>
        </w:pict>
      </w:r>
      <w:r>
        <w:pict>
          <v:group id="_x0000_s1276" o:spid="_x0000_s1276" o:spt="203" style="position:absolute;left:0pt;margin-left:150.35pt;margin-top:537.9pt;height:15.7pt;width:321.9pt;mso-position-horizontal-relative:page;mso-position-vertical-relative:page;z-index:251929600;mso-width-relative:page;mso-height-relative:page;" coordsize="6437,313" o:allowincell="f">
            <o:lock v:ext="edit"/>
            <v:shape id="_x0000_s1277" o:spid="_x0000_s1277" style="position:absolute;left:0;top:0;height:260;width:6437;" filled="f" stroked="t" coordsize="6437,260" path="m0,252l6437,252m0,7l6437,7e">
              <v:fill on="f" focussize="0,0"/>
              <v:stroke color="#CEE6ED" miterlimit="10" dashstyle="dash"/>
              <v:imagedata o:title=""/>
              <o:lock v:ext="edit"/>
            </v:shape>
            <v:shape id="_x0000_s1278" o:spid="_x0000_s1278" style="position:absolute;left:1908;top:197;height:45;width:1333;" filled="f" stroked="t" coordsize="1333,45" path="m22,22l1309,22e">
              <v:fill on="f" focussize="0,0"/>
              <v:stroke weight="2.25pt" color="#4E7DB1" miterlimit="10" endcap="round"/>
              <v:imagedata o:title=""/>
              <o:lock v:ext="edit"/>
            </v:shape>
            <v:shape id="_x0000_s1279" o:spid="_x0000_s1279" style="position:absolute;left:1881;top:169;height:101;width:101;" fillcolor="#4E7DB1" filled="t" stroked="f" coordsize="101,101" path="m0,50c0,22,22,0,50,0c77,0,100,22,100,50c100,77,77,100,50,100c22,100,0,77,0,50e">
              <v:path/>
              <v:fill on="t" focussize="0,0"/>
              <v:stroke on="f"/>
              <v:imagedata o:title=""/>
              <o:lock v:ext="edit"/>
            </v:shape>
            <v:shape id="_x0000_s1280" o:spid="_x0000_s1280" style="position:absolute;left:1873;top:162;height:116;width:116;" filled="f" stroked="t" coordsize="116,116" path="m7,57c7,29,29,7,57,7c85,7,107,29,107,57c107,85,85,107,57,107c29,107,7,85,7,57e">
              <v:fill on="f" focussize="0,0"/>
              <v:stroke color="#4E7DB1" miterlimit="10"/>
              <v:imagedata o:title=""/>
              <o:lock v:ext="edit"/>
            </v:shape>
            <v:shape id="_x0000_s1281" o:spid="_x0000_s1281" style="position:absolute;left:3161;top:160;height:116;width:116;" fillcolor="#4E7DB1" filled="t" stroked="t" coordsize="116,116" path="m7,57c7,29,29,7,57,7c85,7,107,29,107,57c107,85,85,107,57,107c29,107,7,85,7,57e">
              <v:fill on="t" focussize="0,0"/>
              <v:stroke color="#4E7DB1" miterlimit="10"/>
              <v:imagedata o:title=""/>
              <o:lock v:ext="edit"/>
            </v:shape>
            <v:shape id="_x0000_s1282" o:spid="_x0000_s1282" style="position:absolute;left:5743;top:212;height:101;width:101;" fillcolor="#4E7DB1" filled="t" stroked="f" coordsize="101,101" path="m0,50c0,22,22,0,50,0c77,0,100,22,100,50c100,77,77,100,50,100c22,100,0,77,0,50e">
              <v:path/>
              <v:fill on="t" focussize="0,0"/>
              <v:stroke on="f"/>
              <v:imagedata o:title=""/>
              <o:lock v:ext="edit"/>
            </v:shape>
            <v:shape id="_x0000_s1283" o:spid="_x0000_s1283" style="position:absolute;left:593;top:2;height:201;width:3962;" fillcolor="#92B165" filled="t" stroked="f" coordsize="3962,201" path="m0,150c0,122,22,100,50,100c77,100,100,122,100,150c100,178,77,200,50,200c22,200,0,178,0,150em3862,50c3862,22,3884,0,3912,0c3940,0,3962,22,3962,50c3962,77,3940,100,3912,100c3884,100,3862,77,3862,50e">
              <v:path/>
              <v:fill on="t" focussize="0,0"/>
              <v:stroke on="f"/>
              <v:imagedata o:title=""/>
              <o:lock v:ext="edit"/>
            </v:shape>
          </v:group>
        </w:pict>
      </w:r>
      <w:r>
        <w:pict>
          <v:shape id="_x0000_s1284" o:spid="_x0000_s1284" style="position:absolute;left:0pt;margin-left:437.15pt;margin-top:548.2pt;height:5.8pt;width:5.8pt;mso-position-horizontal-relative:page;mso-position-vertical-relative:page;z-index:251949056;mso-width-relative:page;mso-height-relative:page;" filled="f" stroked="t" coordsize="116,116" o:allowincell="f" path="m7,57c7,29,29,7,57,7c85,7,107,29,107,57c107,85,85,107,57,107c29,107,7,85,7,57e">
            <v:fill on="f" focussize="0,0"/>
            <v:stroke color="#4E7DB1" miterlimit="10"/>
            <v:imagedata o:title=""/>
            <o:lock v:ext="edit"/>
          </v:shape>
        </w:pict>
      </w:r>
      <w:r>
        <w:pict>
          <v:group id="_x0000_s1285" o:spid="_x0000_s1285" o:spt="203" style="position:absolute;left:0pt;margin-left:310.2pt;margin-top:528.5pt;height:15pt;width:68.4pt;mso-position-horizontal-relative:page;mso-position-vertical-relative:page;z-index:251937792;mso-width-relative:page;mso-height-relative:page;" coordsize="1368,300" o:allowincell="f">
            <o:lock v:ext="edit"/>
            <v:shape id="_x0000_s1286" o:spid="_x0000_s1286" style="position:absolute;left:0;top:0;height:265;width:1333;" filled="f" stroked="t" coordsize="1333,265" path="m22,22l1309,241e">
              <v:fill on="f" focussize="0,0"/>
              <v:stroke weight="2.25pt" color="#92B165" miterlimit="10" endcap="round"/>
              <v:imagedata o:title=""/>
              <o:lock v:ext="edit"/>
            </v:shape>
            <v:shape id="_x0000_s1287" o:spid="_x0000_s1287" style="position:absolute;left:1252;top:183;height:116;width:116;" filled="f" stroked="t" coordsize="116,116" path="m7,57c7,29,29,7,57,7c85,7,107,29,107,57c107,85,85,107,57,107c29,107,7,85,7,57e">
              <v:fill on="f" focussize="0,0"/>
              <v:stroke color="#92B165" miterlimit="10"/>
              <v:imagedata o:title=""/>
              <o:lock v:ext="edit"/>
            </v:shape>
          </v:group>
        </w:pict>
      </w:r>
      <w:r>
        <w:pict>
          <v:shape id="_x0000_s1288" o:spid="_x0000_s1288" style="position:absolute;left:0pt;margin-left:310.2pt;margin-top:547.7pt;height:19.5pt;width:131pt;mso-position-horizontal-relative:page;mso-position-vertical-relative:page;z-index:251930624;mso-width-relative:page;mso-height-relative:page;" filled="f" stroked="t" coordsize="2620,390" o:allowincell="f" path="m22,22l1309,367m1309,367l2597,67e">
            <v:fill on="f" focussize="0,0"/>
            <v:stroke weight="2.25pt" color="#4E7DB1" miterlimit="10" endcap="round"/>
            <v:imagedata o:title=""/>
            <o:lock v:ext="edit"/>
          </v:shape>
        </w:pict>
      </w:r>
      <w:r>
        <w:pict>
          <v:group id="_x0000_s1289" o:spid="_x0000_s1289" o:spt="203" style="position:absolute;left:0pt;margin-left:197.4pt;margin-top:668.05pt;height:5.05pt;width:22.25pt;mso-position-horizontal-relative:page;mso-position-vertical-relative:page;z-index:251944960;mso-width-relative:page;mso-height-relative:page;" coordsize="445,101" o:allowincell="f">
            <o:lock v:ext="edit"/>
            <v:shape id="_x0000_s1290" o:spid="_x0000_s1290" style="position:absolute;left:0;top:27;height:45;width:445;" filled="f" stroked="t" coordsize="445,45" path="m22,22l422,22e">
              <v:fill on="f" focussize="0,0"/>
              <v:stroke weight="2.25pt" color="#4E7DB1" miterlimit="10" endcap="round"/>
              <v:imagedata o:title=""/>
              <o:lock v:ext="edit"/>
            </v:shape>
            <v:shape id="_x0000_s1291" o:spid="_x0000_s1291" style="position:absolute;left:172;top:0;height:101;width:101;" fillcolor="#4E7DB1" filled="t" stroked="f" coordsize="101,101" path="m0,50c0,22,22,0,50,0c77,0,100,22,100,50c100,77,77,100,50,100c22,100,0,77,0,50e">
              <v:path/>
              <v:fill on="t" focussize="0,0"/>
              <v:stroke on="f"/>
              <v:imagedata o:title=""/>
              <o:lock v:ext="edit"/>
            </v:shape>
          </v:group>
        </w:pict>
      </w:r>
      <w:r>
        <w:pict>
          <v:shape id="_x0000_s1292" o:spid="_x0000_s1292" style="position:absolute;left:0pt;margin-left:205.6pt;margin-top:667.7pt;height:5.8pt;width:5.8pt;mso-position-horizontal-relative:page;mso-position-vertical-relative:page;z-index:251955200;mso-width-relative:page;mso-height-relative:page;" filled="f" stroked="t" coordsize="116,116" o:allowincell="f" path="m7,57c7,29,29,7,57,7c85,7,107,29,107,57c107,85,85,107,57,107c29,107,7,85,7,57e">
            <v:fill on="f" focussize="0,0"/>
            <v:stroke color="#4E7DB1" miterlimit="10"/>
            <v:imagedata o:title=""/>
            <o:lock v:ext="edit"/>
          </v:shape>
        </w:pict>
      </w:r>
      <w:r>
        <w:pict>
          <v:group id="_x0000_s1293" o:spid="_x0000_s1293" o:spt="203" style="position:absolute;left:0pt;margin-left:197.4pt;margin-top:681.8pt;height:5.05pt;width:22.25pt;mso-position-horizontal-relative:page;mso-position-vertical-relative:page;z-index:251943936;mso-width-relative:page;mso-height-relative:page;" coordsize="445,101" o:allowincell="f">
            <o:lock v:ext="edit"/>
            <v:shape id="_x0000_s1294" o:spid="_x0000_s1294" style="position:absolute;left:0;top:27;height:45;width:445;" filled="f" stroked="t" coordsize="445,45" path="m22,22l422,22e">
              <v:fill on="f" focussize="0,0"/>
              <v:stroke weight="2.25pt" color="#92B165" miterlimit="10" endcap="round"/>
              <v:imagedata o:title=""/>
              <o:lock v:ext="edit"/>
            </v:shape>
            <v:shape id="_x0000_s1295" o:spid="_x0000_s1295" style="position:absolute;left:172;top:0;height:101;width:101;" fillcolor="#92B165" filled="t" stroked="f" coordsize="101,101" path="m0,50c0,22,22,0,50,0c77,0,100,22,100,50c100,77,77,100,50,100c22,100,0,77,0,50e">
              <v:path/>
              <v:fill on="t" focussize="0,0"/>
              <v:stroke on="f"/>
              <v:imagedata o:title=""/>
              <o:lock v:ext="edit"/>
            </v:shape>
          </v:group>
        </w:pict>
      </w:r>
      <w:r>
        <w:pict>
          <v:shape id="_x0000_s1296" o:spid="_x0000_s1296" style="position:absolute;left:0pt;margin-left:205.6pt;margin-top:681.4pt;height:5.8pt;width:5.8pt;mso-position-horizontal-relative:page;mso-position-vertical-relative:page;z-index:251956224;mso-width-relative:page;mso-height-relative:page;" filled="f" stroked="t" coordsize="116,116" o:allowincell="f" path="m7,57c7,29,29,7,57,7c85,7,107,29,107,57c107,85,85,107,57,107c29,107,7,85,7,57e">
            <v:fill on="f" focussize="0,0"/>
            <v:stroke color="#92B165" miterlimit="10"/>
            <v:imagedata o:title=""/>
            <o:lock v:ext="edit"/>
          </v:shape>
        </w:pict>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bookmarkStart w:id="46" w:name="_bookmark114"/>
      <w:bookmarkEnd w:id="46"/>
      <w:bookmarkStart w:id="47" w:name="_bookmark113"/>
      <w:bookmarkEnd w:id="47"/>
      <w:r>
        <w:rPr>
          <w:rFonts w:ascii="SimHei" w:hAnsi="SimHei" w:eastAsia="SimHei" w:cs="SimHei"/>
          <w:color w:val="1A67B3"/>
          <w:spacing w:val="36"/>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241" name="IM 241"/>
            <wp:cNvGraphicFramePr/>
            <a:graphic xmlns:a="http://schemas.openxmlformats.org/drawingml/2006/main">
              <a:graphicData uri="http://schemas.openxmlformats.org/drawingml/2006/picture">
                <pic:pic xmlns:pic="http://schemas.openxmlformats.org/drawingml/2006/picture">
                  <pic:nvPicPr>
                    <pic:cNvPr id="241" name="IM 241"/>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47</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277" w:lineRule="exact"/>
        <w:ind w:left="2913"/>
        <w:rPr>
          <w:rFonts w:ascii="SimHei" w:hAnsi="SimHei" w:eastAsia="SimHei" w:cs="SimHei"/>
          <w:sz w:val="20"/>
          <w:szCs w:val="20"/>
        </w:rPr>
      </w:pPr>
      <w:r>
        <w:rPr>
          <w:rFonts w:ascii="SimHei" w:hAnsi="SimHei" w:eastAsia="SimHei" w:cs="SimHei"/>
          <w:color w:val="231F20"/>
          <w:spacing w:val="3"/>
          <w:position w:val="1"/>
          <w:sz w:val="20"/>
          <w:szCs w:val="20"/>
        </w:rPr>
        <w:t xml:space="preserve">表 </w:t>
      </w:r>
      <w:r>
        <w:rPr>
          <w:rFonts w:ascii="Times New Roman" w:hAnsi="Times New Roman" w:eastAsia="Times New Roman" w:cs="Times New Roman"/>
          <w:color w:val="231F20"/>
          <w:spacing w:val="3"/>
          <w:position w:val="1"/>
          <w:sz w:val="20"/>
          <w:szCs w:val="20"/>
        </w:rPr>
        <w:t xml:space="preserve">2-4 2016-2020 </w:t>
      </w:r>
      <w:r>
        <w:rPr>
          <w:rFonts w:ascii="SimHei" w:hAnsi="SimHei" w:eastAsia="SimHei" w:cs="SimHei"/>
          <w:color w:val="231F20"/>
          <w:spacing w:val="3"/>
          <w:position w:val="1"/>
          <w:sz w:val="20"/>
          <w:szCs w:val="20"/>
        </w:rPr>
        <w:t xml:space="preserve">年规模以上化学原料和化学制品制造业企业 </w:t>
      </w:r>
      <w:r>
        <w:rPr>
          <w:rFonts w:ascii="Times New Roman" w:hAnsi="Times New Roman" w:eastAsia="Times New Roman" w:cs="Times New Roman"/>
          <w:color w:val="231F20"/>
          <w:position w:val="1"/>
          <w:sz w:val="20"/>
          <w:szCs w:val="20"/>
        </w:rPr>
        <w:t>R</w:t>
      </w:r>
      <w:r>
        <w:rPr>
          <w:rFonts w:ascii="Times New Roman" w:hAnsi="Times New Roman" w:eastAsia="Times New Roman" w:cs="Times New Roman"/>
          <w:color w:val="231F20"/>
          <w:spacing w:val="3"/>
          <w:position w:val="1"/>
          <w:sz w:val="20"/>
          <w:szCs w:val="20"/>
        </w:rPr>
        <w:t>&amp;</w:t>
      </w:r>
      <w:r>
        <w:rPr>
          <w:rFonts w:ascii="Times New Roman" w:hAnsi="Times New Roman" w:eastAsia="Times New Roman" w:cs="Times New Roman"/>
          <w:color w:val="231F20"/>
          <w:position w:val="1"/>
          <w:sz w:val="20"/>
          <w:szCs w:val="20"/>
        </w:rPr>
        <w:t>D</w:t>
      </w:r>
      <w:r>
        <w:rPr>
          <w:rFonts w:ascii="Times New Roman" w:hAnsi="Times New Roman" w:eastAsia="Times New Roman" w:cs="Times New Roman"/>
          <w:color w:val="231F20"/>
          <w:spacing w:val="2"/>
          <w:position w:val="1"/>
          <w:sz w:val="20"/>
          <w:szCs w:val="20"/>
        </w:rPr>
        <w:t xml:space="preserve"> </w:t>
      </w:r>
      <w:r>
        <w:rPr>
          <w:rFonts w:ascii="SimHei" w:hAnsi="SimHei" w:eastAsia="SimHei" w:cs="SimHei"/>
          <w:color w:val="231F20"/>
          <w:position w:val="1"/>
          <w:sz w:val="20"/>
          <w:szCs w:val="20"/>
        </w:rPr>
        <w:t>情况</w:t>
      </w:r>
    </w:p>
    <w:p>
      <w:pPr>
        <w:spacing w:line="164" w:lineRule="exact"/>
      </w:pPr>
    </w:p>
    <w:tbl>
      <w:tblPr>
        <w:tblStyle w:val="4"/>
        <w:tblW w:w="8255" w:type="dxa"/>
        <w:tblInd w:w="1994" w:type="dxa"/>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Layout w:type="fixed"/>
        <w:tblCellMar>
          <w:top w:w="0" w:type="dxa"/>
          <w:left w:w="0" w:type="dxa"/>
          <w:bottom w:w="0" w:type="dxa"/>
          <w:right w:w="0" w:type="dxa"/>
        </w:tblCellMar>
      </w:tblPr>
      <w:tblGrid>
        <w:gridCol w:w="2440"/>
        <w:gridCol w:w="1163"/>
        <w:gridCol w:w="1163"/>
        <w:gridCol w:w="1163"/>
        <w:gridCol w:w="1163"/>
        <w:gridCol w:w="1163"/>
      </w:tblGrid>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61" w:hRule="atLeast"/>
        </w:trPr>
        <w:tc>
          <w:tcPr>
            <w:tcW w:w="2440" w:type="dxa"/>
            <w:tcBorders>
              <w:left w:val="nil"/>
            </w:tcBorders>
            <w:vAlign w:val="top"/>
          </w:tcPr>
          <w:p>
            <w:pPr>
              <w:rPr>
                <w:rFonts w:ascii="Arial"/>
                <w:sz w:val="21"/>
              </w:rPr>
            </w:pPr>
          </w:p>
        </w:tc>
        <w:tc>
          <w:tcPr>
            <w:tcW w:w="1163" w:type="dxa"/>
            <w:vAlign w:val="top"/>
          </w:tcPr>
          <w:p>
            <w:pPr>
              <w:spacing w:before="165" w:line="183" w:lineRule="auto"/>
              <w:ind w:left="383"/>
              <w:rPr>
                <w:rFonts w:ascii="SimHei" w:hAnsi="SimHei" w:eastAsia="SimHei" w:cs="SimHei"/>
                <w:sz w:val="20"/>
                <w:szCs w:val="20"/>
              </w:rPr>
            </w:pPr>
            <w:r>
              <w:drawing>
                <wp:anchor distT="0" distB="0" distL="0" distR="0" simplePos="0" relativeHeight="251924480" behindDoc="1" locked="0" layoutInCell="1" allowOverlap="1">
                  <wp:simplePos x="0" y="0"/>
                  <wp:positionH relativeFrom="column">
                    <wp:posOffset>-1550670</wp:posOffset>
                  </wp:positionH>
                  <wp:positionV relativeFrom="paragraph">
                    <wp:posOffset>3175</wp:posOffset>
                  </wp:positionV>
                  <wp:extent cx="5242560" cy="871855"/>
                  <wp:effectExtent l="0" t="0" r="0" b="0"/>
                  <wp:wrapNone/>
                  <wp:docPr id="243" name="IM 243"/>
                  <wp:cNvGraphicFramePr/>
                  <a:graphic xmlns:a="http://schemas.openxmlformats.org/drawingml/2006/main">
                    <a:graphicData uri="http://schemas.openxmlformats.org/drawingml/2006/picture">
                      <pic:pic xmlns:pic="http://schemas.openxmlformats.org/drawingml/2006/picture">
                        <pic:nvPicPr>
                          <pic:cNvPr id="243" name="IM 243"/>
                          <pic:cNvPicPr/>
                        </pic:nvPicPr>
                        <pic:blipFill>
                          <a:blip r:embed="rId111"/>
                          <a:stretch>
                            <a:fillRect/>
                          </a:stretch>
                        </pic:blipFill>
                        <pic:spPr>
                          <a:xfrm>
                            <a:off x="0" y="0"/>
                            <a:ext cx="5242534" cy="871867"/>
                          </a:xfrm>
                          <a:prstGeom prst="rect">
                            <a:avLst/>
                          </a:prstGeom>
                        </pic:spPr>
                      </pic:pic>
                    </a:graphicData>
                  </a:graphic>
                </wp:anchor>
              </w:drawing>
            </w:r>
            <w:r>
              <w:rPr>
                <w:rFonts w:ascii="SimHei" w:hAnsi="SimHei" w:eastAsia="SimHei" w:cs="SimHei"/>
                <w:color w:val="231F20"/>
                <w:spacing w:val="-1"/>
                <w:sz w:val="20"/>
                <w:szCs w:val="20"/>
              </w:rPr>
              <w:t>201</w:t>
            </w:r>
            <w:r>
              <w:rPr>
                <w:rFonts w:ascii="SimHei" w:hAnsi="SimHei" w:eastAsia="SimHei" w:cs="SimHei"/>
                <w:color w:val="231F20"/>
                <w:sz w:val="20"/>
                <w:szCs w:val="20"/>
              </w:rPr>
              <w:t>6</w:t>
            </w:r>
          </w:p>
        </w:tc>
        <w:tc>
          <w:tcPr>
            <w:tcW w:w="1163" w:type="dxa"/>
            <w:vAlign w:val="top"/>
          </w:tcPr>
          <w:p>
            <w:pPr>
              <w:spacing w:before="165" w:line="183" w:lineRule="auto"/>
              <w:ind w:left="383"/>
              <w:rPr>
                <w:rFonts w:ascii="SimHei" w:hAnsi="SimHei" w:eastAsia="SimHei" w:cs="SimHei"/>
                <w:sz w:val="20"/>
                <w:szCs w:val="20"/>
              </w:rPr>
            </w:pPr>
            <w:r>
              <w:rPr>
                <w:rFonts w:ascii="SimHei" w:hAnsi="SimHei" w:eastAsia="SimHei" w:cs="SimHei"/>
                <w:color w:val="231F20"/>
                <w:spacing w:val="-1"/>
                <w:sz w:val="20"/>
                <w:szCs w:val="20"/>
              </w:rPr>
              <w:t>201</w:t>
            </w:r>
            <w:r>
              <w:rPr>
                <w:rFonts w:ascii="SimHei" w:hAnsi="SimHei" w:eastAsia="SimHei" w:cs="SimHei"/>
                <w:color w:val="231F20"/>
                <w:sz w:val="20"/>
                <w:szCs w:val="20"/>
              </w:rPr>
              <w:t>7</w:t>
            </w:r>
          </w:p>
        </w:tc>
        <w:tc>
          <w:tcPr>
            <w:tcW w:w="1163" w:type="dxa"/>
            <w:vAlign w:val="top"/>
          </w:tcPr>
          <w:p>
            <w:pPr>
              <w:spacing w:before="165" w:line="183" w:lineRule="auto"/>
              <w:ind w:left="384"/>
              <w:rPr>
                <w:rFonts w:ascii="SimHei" w:hAnsi="SimHei" w:eastAsia="SimHei" w:cs="SimHei"/>
                <w:sz w:val="20"/>
                <w:szCs w:val="20"/>
              </w:rPr>
            </w:pPr>
            <w:r>
              <w:rPr>
                <w:rFonts w:ascii="SimHei" w:hAnsi="SimHei" w:eastAsia="SimHei" w:cs="SimHei"/>
                <w:color w:val="231F20"/>
                <w:spacing w:val="-1"/>
                <w:sz w:val="20"/>
                <w:szCs w:val="20"/>
              </w:rPr>
              <w:t>201</w:t>
            </w:r>
            <w:r>
              <w:rPr>
                <w:rFonts w:ascii="SimHei" w:hAnsi="SimHei" w:eastAsia="SimHei" w:cs="SimHei"/>
                <w:color w:val="231F20"/>
                <w:sz w:val="20"/>
                <w:szCs w:val="20"/>
              </w:rPr>
              <w:t>8</w:t>
            </w:r>
          </w:p>
        </w:tc>
        <w:tc>
          <w:tcPr>
            <w:tcW w:w="1163" w:type="dxa"/>
            <w:vAlign w:val="top"/>
          </w:tcPr>
          <w:p>
            <w:pPr>
              <w:spacing w:before="165" w:line="183" w:lineRule="auto"/>
              <w:ind w:left="384"/>
              <w:rPr>
                <w:rFonts w:ascii="SimHei" w:hAnsi="SimHei" w:eastAsia="SimHei" w:cs="SimHei"/>
                <w:sz w:val="20"/>
                <w:szCs w:val="20"/>
              </w:rPr>
            </w:pPr>
            <w:r>
              <w:rPr>
                <w:rFonts w:ascii="SimHei" w:hAnsi="SimHei" w:eastAsia="SimHei" w:cs="SimHei"/>
                <w:color w:val="231F20"/>
                <w:spacing w:val="-1"/>
                <w:sz w:val="20"/>
                <w:szCs w:val="20"/>
              </w:rPr>
              <w:t>201</w:t>
            </w:r>
            <w:r>
              <w:rPr>
                <w:rFonts w:ascii="SimHei" w:hAnsi="SimHei" w:eastAsia="SimHei" w:cs="SimHei"/>
                <w:color w:val="231F20"/>
                <w:sz w:val="20"/>
                <w:szCs w:val="20"/>
              </w:rPr>
              <w:t>9</w:t>
            </w:r>
          </w:p>
        </w:tc>
        <w:tc>
          <w:tcPr>
            <w:tcW w:w="1163" w:type="dxa"/>
            <w:tcBorders>
              <w:right w:val="nil"/>
            </w:tcBorders>
            <w:vAlign w:val="top"/>
          </w:tcPr>
          <w:p>
            <w:pPr>
              <w:spacing w:before="165" w:line="183" w:lineRule="auto"/>
              <w:ind w:left="384"/>
              <w:rPr>
                <w:rFonts w:ascii="SimHei" w:hAnsi="SimHei" w:eastAsia="SimHei" w:cs="SimHei"/>
                <w:sz w:val="20"/>
                <w:szCs w:val="20"/>
              </w:rPr>
            </w:pPr>
            <w:r>
              <w:rPr>
                <w:rFonts w:ascii="SimHei" w:hAnsi="SimHei" w:eastAsia="SimHei" w:cs="SimHei"/>
                <w:color w:val="231F20"/>
                <w:spacing w:val="-1"/>
                <w:sz w:val="20"/>
                <w:szCs w:val="20"/>
              </w:rPr>
              <w:t>202</w:t>
            </w:r>
            <w:r>
              <w:rPr>
                <w:rFonts w:ascii="SimHei" w:hAnsi="SimHei" w:eastAsia="SimHei" w:cs="SimHei"/>
                <w:color w:val="231F20"/>
                <w:sz w:val="20"/>
                <w:szCs w:val="20"/>
              </w:rPr>
              <w:t>0</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52" w:hRule="atLeast"/>
        </w:trPr>
        <w:tc>
          <w:tcPr>
            <w:tcW w:w="2440" w:type="dxa"/>
            <w:tcBorders>
              <w:left w:val="nil"/>
            </w:tcBorders>
            <w:vAlign w:val="top"/>
          </w:tcPr>
          <w:p>
            <w:pPr>
              <w:spacing w:before="125" w:line="231" w:lineRule="auto"/>
              <w:ind w:left="36"/>
              <w:rPr>
                <w:rFonts w:ascii="SimHei" w:hAnsi="SimHei" w:eastAsia="SimHei" w:cs="SimHei"/>
                <w:sz w:val="19"/>
                <w:szCs w:val="19"/>
              </w:rPr>
            </w:pPr>
            <w:r>
              <w:rPr>
                <w:rFonts w:ascii="SimHei" w:hAnsi="SimHei" w:eastAsia="SimHei" w:cs="SimHei"/>
                <w:color w:val="231F20"/>
                <w:sz w:val="19"/>
                <w:szCs w:val="19"/>
              </w:rPr>
              <w:t>R</w:t>
            </w:r>
            <w:r>
              <w:rPr>
                <w:rFonts w:ascii="SimHei" w:hAnsi="SimHei" w:eastAsia="SimHei" w:cs="SimHei"/>
                <w:color w:val="231F20"/>
                <w:spacing w:val="2"/>
                <w:sz w:val="19"/>
                <w:szCs w:val="19"/>
              </w:rPr>
              <w:t>&amp;</w:t>
            </w:r>
            <w:r>
              <w:rPr>
                <w:rFonts w:ascii="SimHei" w:hAnsi="SimHei" w:eastAsia="SimHei" w:cs="SimHei"/>
                <w:color w:val="231F20"/>
                <w:sz w:val="19"/>
                <w:szCs w:val="19"/>
              </w:rPr>
              <w:t>D</w:t>
            </w:r>
            <w:r>
              <w:rPr>
                <w:rFonts w:ascii="SimHei" w:hAnsi="SimHei" w:eastAsia="SimHei" w:cs="SimHei"/>
                <w:color w:val="231F20"/>
                <w:spacing w:val="2"/>
                <w:sz w:val="19"/>
                <w:szCs w:val="19"/>
              </w:rPr>
              <w:t xml:space="preserve"> 人员全时当量(</w:t>
            </w:r>
            <w:r>
              <w:rPr>
                <w:rFonts w:ascii="SimHei" w:hAnsi="SimHei" w:eastAsia="SimHei" w:cs="SimHei"/>
                <w:color w:val="231F20"/>
                <w:spacing w:val="1"/>
                <w:sz w:val="19"/>
                <w:szCs w:val="19"/>
              </w:rPr>
              <w:t>万人年)</w:t>
            </w:r>
          </w:p>
        </w:tc>
        <w:tc>
          <w:tcPr>
            <w:tcW w:w="1163" w:type="dxa"/>
            <w:vAlign w:val="top"/>
          </w:tcPr>
          <w:p>
            <w:pPr>
              <w:spacing w:before="160" w:line="186" w:lineRule="auto"/>
              <w:ind w:left="425"/>
              <w:rPr>
                <w:rFonts w:ascii="Times New Roman" w:hAnsi="Times New Roman" w:eastAsia="Times New Roman" w:cs="Times New Roman"/>
                <w:sz w:val="20"/>
                <w:szCs w:val="20"/>
              </w:rPr>
            </w:pPr>
            <w:r>
              <w:rPr>
                <w:rFonts w:ascii="Times New Roman" w:hAnsi="Times New Roman" w:eastAsia="Times New Roman" w:cs="Times New Roman"/>
                <w:color w:val="231F20"/>
                <w:spacing w:val="-4"/>
                <w:sz w:val="20"/>
                <w:szCs w:val="20"/>
              </w:rPr>
              <w:t>1</w:t>
            </w:r>
            <w:r>
              <w:rPr>
                <w:rFonts w:ascii="Times New Roman" w:hAnsi="Times New Roman" w:eastAsia="Times New Roman" w:cs="Times New Roman"/>
                <w:color w:val="231F20"/>
                <w:spacing w:val="-3"/>
                <w:sz w:val="20"/>
                <w:szCs w:val="20"/>
              </w:rPr>
              <w:t>7.9</w:t>
            </w:r>
          </w:p>
        </w:tc>
        <w:tc>
          <w:tcPr>
            <w:tcW w:w="1163" w:type="dxa"/>
            <w:vAlign w:val="top"/>
          </w:tcPr>
          <w:p>
            <w:pPr>
              <w:spacing w:before="160" w:line="187" w:lineRule="auto"/>
              <w:ind w:left="426"/>
              <w:rPr>
                <w:rFonts w:ascii="Times New Roman" w:hAnsi="Times New Roman" w:eastAsia="Times New Roman" w:cs="Times New Roman"/>
                <w:sz w:val="20"/>
                <w:szCs w:val="20"/>
              </w:rPr>
            </w:pPr>
            <w:r>
              <w:rPr>
                <w:rFonts w:ascii="Times New Roman" w:hAnsi="Times New Roman" w:eastAsia="Times New Roman" w:cs="Times New Roman"/>
                <w:color w:val="231F20"/>
                <w:spacing w:val="-3"/>
                <w:sz w:val="20"/>
                <w:szCs w:val="20"/>
              </w:rPr>
              <w:t>1</w:t>
            </w:r>
            <w:r>
              <w:rPr>
                <w:rFonts w:ascii="Times New Roman" w:hAnsi="Times New Roman" w:eastAsia="Times New Roman" w:cs="Times New Roman"/>
                <w:color w:val="231F20"/>
                <w:spacing w:val="-2"/>
                <w:sz w:val="20"/>
                <w:szCs w:val="20"/>
              </w:rPr>
              <w:t>6.8</w:t>
            </w:r>
          </w:p>
        </w:tc>
        <w:tc>
          <w:tcPr>
            <w:tcW w:w="1163" w:type="dxa"/>
            <w:vAlign w:val="top"/>
          </w:tcPr>
          <w:p>
            <w:pPr>
              <w:spacing w:before="160" w:line="187" w:lineRule="auto"/>
              <w:ind w:left="426"/>
              <w:rPr>
                <w:rFonts w:ascii="Times New Roman" w:hAnsi="Times New Roman" w:eastAsia="Times New Roman" w:cs="Times New Roman"/>
                <w:sz w:val="20"/>
                <w:szCs w:val="20"/>
              </w:rPr>
            </w:pPr>
            <w:r>
              <w:rPr>
                <w:rFonts w:ascii="Times New Roman" w:hAnsi="Times New Roman" w:eastAsia="Times New Roman" w:cs="Times New Roman"/>
                <w:color w:val="231F20"/>
                <w:spacing w:val="-3"/>
                <w:sz w:val="20"/>
                <w:szCs w:val="20"/>
              </w:rPr>
              <w:t>1</w:t>
            </w:r>
            <w:r>
              <w:rPr>
                <w:rFonts w:ascii="Times New Roman" w:hAnsi="Times New Roman" w:eastAsia="Times New Roman" w:cs="Times New Roman"/>
                <w:color w:val="231F20"/>
                <w:spacing w:val="-2"/>
                <w:sz w:val="20"/>
                <w:szCs w:val="20"/>
              </w:rPr>
              <w:t>6.8</w:t>
            </w:r>
          </w:p>
        </w:tc>
        <w:tc>
          <w:tcPr>
            <w:tcW w:w="1163" w:type="dxa"/>
            <w:vAlign w:val="top"/>
          </w:tcPr>
          <w:p>
            <w:pPr>
              <w:spacing w:before="160" w:line="187" w:lineRule="auto"/>
              <w:ind w:left="426"/>
              <w:rPr>
                <w:rFonts w:ascii="Times New Roman" w:hAnsi="Times New Roman" w:eastAsia="Times New Roman" w:cs="Times New Roman"/>
                <w:sz w:val="20"/>
                <w:szCs w:val="20"/>
              </w:rPr>
            </w:pPr>
            <w:r>
              <w:rPr>
                <w:rFonts w:ascii="Times New Roman" w:hAnsi="Times New Roman" w:eastAsia="Times New Roman" w:cs="Times New Roman"/>
                <w:color w:val="231F20"/>
                <w:spacing w:val="-4"/>
                <w:sz w:val="20"/>
                <w:szCs w:val="20"/>
              </w:rPr>
              <w:t>1</w:t>
            </w:r>
            <w:r>
              <w:rPr>
                <w:rFonts w:ascii="Times New Roman" w:hAnsi="Times New Roman" w:eastAsia="Times New Roman" w:cs="Times New Roman"/>
                <w:color w:val="231F20"/>
                <w:spacing w:val="-3"/>
                <w:sz w:val="20"/>
                <w:szCs w:val="20"/>
              </w:rPr>
              <w:t>6</w:t>
            </w:r>
            <w:r>
              <w:rPr>
                <w:rFonts w:ascii="Times New Roman" w:hAnsi="Times New Roman" w:eastAsia="Times New Roman" w:cs="Times New Roman"/>
                <w:color w:val="231F20"/>
                <w:spacing w:val="-2"/>
                <w:sz w:val="20"/>
                <w:szCs w:val="20"/>
              </w:rPr>
              <w:t>.5</w:t>
            </w:r>
          </w:p>
        </w:tc>
        <w:tc>
          <w:tcPr>
            <w:tcW w:w="1163" w:type="dxa"/>
            <w:tcBorders>
              <w:right w:val="nil"/>
            </w:tcBorders>
            <w:vAlign w:val="top"/>
          </w:tcPr>
          <w:p>
            <w:pPr>
              <w:spacing w:before="160" w:line="187" w:lineRule="auto"/>
              <w:ind w:left="426"/>
              <w:rPr>
                <w:rFonts w:ascii="Times New Roman" w:hAnsi="Times New Roman" w:eastAsia="Times New Roman" w:cs="Times New Roman"/>
                <w:sz w:val="20"/>
                <w:szCs w:val="20"/>
              </w:rPr>
            </w:pPr>
            <w:r>
              <w:rPr>
                <w:rFonts w:ascii="Times New Roman" w:hAnsi="Times New Roman" w:eastAsia="Times New Roman" w:cs="Times New Roman"/>
                <w:color w:val="231F20"/>
                <w:spacing w:val="-12"/>
                <w:sz w:val="20"/>
                <w:szCs w:val="20"/>
              </w:rPr>
              <w:t>1</w:t>
            </w:r>
            <w:r>
              <w:rPr>
                <w:rFonts w:ascii="Times New Roman" w:hAnsi="Times New Roman" w:eastAsia="Times New Roman" w:cs="Times New Roman"/>
                <w:color w:val="231F20"/>
                <w:spacing w:val="-9"/>
                <w:sz w:val="20"/>
                <w:szCs w:val="20"/>
              </w:rPr>
              <w:t>8. 1</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51" w:hRule="atLeast"/>
        </w:trPr>
        <w:tc>
          <w:tcPr>
            <w:tcW w:w="2440" w:type="dxa"/>
            <w:tcBorders>
              <w:left w:val="nil"/>
            </w:tcBorders>
            <w:vAlign w:val="top"/>
          </w:tcPr>
          <w:p>
            <w:pPr>
              <w:spacing w:before="126" w:line="223" w:lineRule="auto"/>
              <w:ind w:left="449"/>
              <w:rPr>
                <w:rFonts w:ascii="SimHei" w:hAnsi="SimHei" w:eastAsia="SimHei" w:cs="SimHei"/>
                <w:sz w:val="20"/>
                <w:szCs w:val="20"/>
              </w:rPr>
            </w:pPr>
            <w:r>
              <w:rPr>
                <w:rFonts w:ascii="SimHei" w:hAnsi="SimHei" w:eastAsia="SimHei" w:cs="SimHei"/>
                <w:color w:val="231F20"/>
                <w:sz w:val="20"/>
                <w:szCs w:val="20"/>
              </w:rPr>
              <w:t>R</w:t>
            </w:r>
            <w:r>
              <w:rPr>
                <w:rFonts w:ascii="SimHei" w:hAnsi="SimHei" w:eastAsia="SimHei" w:cs="SimHei"/>
                <w:color w:val="231F20"/>
                <w:spacing w:val="6"/>
                <w:sz w:val="20"/>
                <w:szCs w:val="20"/>
              </w:rPr>
              <w:t>&amp;</w:t>
            </w:r>
            <w:r>
              <w:rPr>
                <w:rFonts w:ascii="SimHei" w:hAnsi="SimHei" w:eastAsia="SimHei" w:cs="SimHei"/>
                <w:color w:val="231F20"/>
                <w:sz w:val="20"/>
                <w:szCs w:val="20"/>
              </w:rPr>
              <w:t>D</w:t>
            </w:r>
            <w:r>
              <w:rPr>
                <w:rFonts w:ascii="SimHei" w:hAnsi="SimHei" w:eastAsia="SimHei" w:cs="SimHei"/>
                <w:color w:val="231F20"/>
                <w:spacing w:val="5"/>
                <w:sz w:val="20"/>
                <w:szCs w:val="20"/>
              </w:rPr>
              <w:t xml:space="preserve"> </w:t>
            </w:r>
            <w:r>
              <w:rPr>
                <w:rFonts w:ascii="SimHei" w:hAnsi="SimHei" w:eastAsia="SimHei" w:cs="SimHei"/>
                <w:color w:val="231F20"/>
                <w:spacing w:val="3"/>
                <w:sz w:val="20"/>
                <w:szCs w:val="20"/>
              </w:rPr>
              <w:t>经费(亿元)</w:t>
            </w:r>
          </w:p>
        </w:tc>
        <w:tc>
          <w:tcPr>
            <w:tcW w:w="1163" w:type="dxa"/>
            <w:vAlign w:val="top"/>
          </w:tcPr>
          <w:p>
            <w:pPr>
              <w:spacing w:before="160" w:line="187" w:lineRule="auto"/>
              <w:ind w:left="364"/>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8</w:t>
            </w:r>
            <w:r>
              <w:rPr>
                <w:rFonts w:ascii="Times New Roman" w:hAnsi="Times New Roman" w:eastAsia="Times New Roman" w:cs="Times New Roman"/>
                <w:color w:val="231F20"/>
                <w:sz w:val="20"/>
                <w:szCs w:val="20"/>
              </w:rPr>
              <w:t>40.7</w:t>
            </w:r>
          </w:p>
        </w:tc>
        <w:tc>
          <w:tcPr>
            <w:tcW w:w="1163" w:type="dxa"/>
            <w:vAlign w:val="top"/>
          </w:tcPr>
          <w:p>
            <w:pPr>
              <w:spacing w:before="161" w:line="186" w:lineRule="auto"/>
              <w:ind w:left="360"/>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912.5</w:t>
            </w:r>
          </w:p>
        </w:tc>
        <w:tc>
          <w:tcPr>
            <w:tcW w:w="1163" w:type="dxa"/>
            <w:vAlign w:val="top"/>
          </w:tcPr>
          <w:p>
            <w:pPr>
              <w:spacing w:before="161" w:line="186" w:lineRule="auto"/>
              <w:ind w:left="364"/>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8</w:t>
            </w:r>
            <w:r>
              <w:rPr>
                <w:rFonts w:ascii="Times New Roman" w:hAnsi="Times New Roman" w:eastAsia="Times New Roman" w:cs="Times New Roman"/>
                <w:color w:val="231F20"/>
                <w:sz w:val="20"/>
                <w:szCs w:val="20"/>
              </w:rPr>
              <w:t>99.9</w:t>
            </w:r>
          </w:p>
        </w:tc>
        <w:tc>
          <w:tcPr>
            <w:tcW w:w="1163" w:type="dxa"/>
            <w:vAlign w:val="top"/>
          </w:tcPr>
          <w:p>
            <w:pPr>
              <w:spacing w:before="161" w:line="186" w:lineRule="auto"/>
              <w:ind w:left="360"/>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923.4</w:t>
            </w:r>
          </w:p>
        </w:tc>
        <w:tc>
          <w:tcPr>
            <w:tcW w:w="1163" w:type="dxa"/>
            <w:tcBorders>
              <w:right w:val="nil"/>
            </w:tcBorders>
            <w:vAlign w:val="top"/>
          </w:tcPr>
          <w:p>
            <w:pPr>
              <w:spacing w:before="161" w:line="186" w:lineRule="auto"/>
              <w:ind w:left="360"/>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797.</w:t>
            </w:r>
            <w:r>
              <w:rPr>
                <w:rFonts w:ascii="Times New Roman" w:hAnsi="Times New Roman" w:eastAsia="Times New Roman" w:cs="Times New Roman"/>
                <w:color w:val="231F20"/>
                <w:sz w:val="20"/>
                <w:szCs w:val="20"/>
              </w:rPr>
              <w:t>2</w:t>
            </w:r>
          </w:p>
        </w:tc>
      </w:tr>
      <w:tr>
        <w:tblPrEx>
          <w:tblBorders>
            <w:top w:val="single" w:color="609CC1" w:sz="2" w:space="0"/>
            <w:left w:val="single" w:color="609CC1" w:sz="2" w:space="0"/>
            <w:bottom w:val="single" w:color="609CC1" w:sz="2" w:space="0"/>
            <w:right w:val="single" w:color="609CC1" w:sz="2" w:space="0"/>
            <w:insideH w:val="single" w:color="609CC1" w:sz="2" w:space="0"/>
            <w:insideV w:val="single" w:color="609CC1" w:sz="2" w:space="0"/>
          </w:tblBorders>
          <w:tblCellMar>
            <w:top w:w="0" w:type="dxa"/>
            <w:left w:w="0" w:type="dxa"/>
            <w:bottom w:w="0" w:type="dxa"/>
            <w:right w:w="0" w:type="dxa"/>
          </w:tblCellMar>
        </w:tblPrEx>
        <w:trPr>
          <w:trHeight w:val="461" w:hRule="atLeast"/>
        </w:trPr>
        <w:tc>
          <w:tcPr>
            <w:tcW w:w="2440" w:type="dxa"/>
            <w:tcBorders>
              <w:left w:val="nil"/>
            </w:tcBorders>
            <w:vAlign w:val="top"/>
          </w:tcPr>
          <w:p>
            <w:pPr>
              <w:spacing w:before="127" w:line="222" w:lineRule="auto"/>
              <w:ind w:left="349"/>
              <w:rPr>
                <w:rFonts w:ascii="SimHei" w:hAnsi="SimHei" w:eastAsia="SimHei" w:cs="SimHei"/>
                <w:sz w:val="20"/>
                <w:szCs w:val="20"/>
              </w:rPr>
            </w:pPr>
            <w:r>
              <w:rPr>
                <w:rFonts w:ascii="SimHei" w:hAnsi="SimHei" w:eastAsia="SimHei" w:cs="SimHei"/>
                <w:color w:val="231F20"/>
                <w:sz w:val="20"/>
                <w:szCs w:val="20"/>
              </w:rPr>
              <w:t>R</w:t>
            </w:r>
            <w:r>
              <w:rPr>
                <w:rFonts w:ascii="SimHei" w:hAnsi="SimHei" w:eastAsia="SimHei" w:cs="SimHei"/>
                <w:color w:val="231F20"/>
                <w:spacing w:val="6"/>
                <w:sz w:val="20"/>
                <w:szCs w:val="20"/>
              </w:rPr>
              <w:t>&amp;</w:t>
            </w:r>
            <w:r>
              <w:rPr>
                <w:rFonts w:ascii="SimHei" w:hAnsi="SimHei" w:eastAsia="SimHei" w:cs="SimHei"/>
                <w:color w:val="231F20"/>
                <w:sz w:val="20"/>
                <w:szCs w:val="20"/>
              </w:rPr>
              <w:t>D</w:t>
            </w:r>
            <w:r>
              <w:rPr>
                <w:rFonts w:ascii="SimHei" w:hAnsi="SimHei" w:eastAsia="SimHei" w:cs="SimHei"/>
                <w:color w:val="231F20"/>
                <w:spacing w:val="3"/>
                <w:sz w:val="20"/>
                <w:szCs w:val="20"/>
              </w:rPr>
              <w:t xml:space="preserve"> 项目数(万项)</w:t>
            </w:r>
          </w:p>
        </w:tc>
        <w:tc>
          <w:tcPr>
            <w:tcW w:w="1163" w:type="dxa"/>
            <w:vAlign w:val="top"/>
          </w:tcPr>
          <w:p>
            <w:pPr>
              <w:spacing w:before="162" w:line="187" w:lineRule="auto"/>
              <w:ind w:left="461"/>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3</w:t>
            </w:r>
            <w:r>
              <w:rPr>
                <w:rFonts w:ascii="Times New Roman" w:hAnsi="Times New Roman" w:eastAsia="Times New Roman" w:cs="Times New Roman"/>
                <w:color w:val="231F20"/>
                <w:sz w:val="20"/>
                <w:szCs w:val="20"/>
              </w:rPr>
              <w:t>.0</w:t>
            </w:r>
          </w:p>
        </w:tc>
        <w:tc>
          <w:tcPr>
            <w:tcW w:w="1163" w:type="dxa"/>
            <w:vAlign w:val="top"/>
          </w:tcPr>
          <w:p>
            <w:pPr>
              <w:spacing w:before="162" w:line="187" w:lineRule="auto"/>
              <w:ind w:left="461"/>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3.</w:t>
            </w:r>
            <w:r>
              <w:rPr>
                <w:rFonts w:ascii="Times New Roman" w:hAnsi="Times New Roman" w:eastAsia="Times New Roman" w:cs="Times New Roman"/>
                <w:color w:val="231F20"/>
                <w:sz w:val="20"/>
                <w:szCs w:val="20"/>
              </w:rPr>
              <w:t>6</w:t>
            </w:r>
          </w:p>
        </w:tc>
        <w:tc>
          <w:tcPr>
            <w:tcW w:w="1163" w:type="dxa"/>
            <w:vAlign w:val="top"/>
          </w:tcPr>
          <w:p>
            <w:pPr>
              <w:spacing w:before="162" w:line="187" w:lineRule="auto"/>
              <w:ind w:left="461"/>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3</w:t>
            </w:r>
            <w:r>
              <w:rPr>
                <w:rFonts w:ascii="Times New Roman" w:hAnsi="Times New Roman" w:eastAsia="Times New Roman" w:cs="Times New Roman"/>
                <w:color w:val="231F20"/>
                <w:sz w:val="20"/>
                <w:szCs w:val="20"/>
              </w:rPr>
              <w:t>.7</w:t>
            </w:r>
          </w:p>
        </w:tc>
        <w:tc>
          <w:tcPr>
            <w:tcW w:w="1163" w:type="dxa"/>
            <w:vAlign w:val="top"/>
          </w:tcPr>
          <w:p>
            <w:pPr>
              <w:spacing w:before="162" w:line="189" w:lineRule="auto"/>
              <w:ind w:left="456"/>
              <w:rPr>
                <w:rFonts w:ascii="Times New Roman" w:hAnsi="Times New Roman" w:eastAsia="Times New Roman" w:cs="Times New Roman"/>
                <w:sz w:val="20"/>
                <w:szCs w:val="20"/>
              </w:rPr>
            </w:pPr>
            <w:r>
              <w:rPr>
                <w:rFonts w:ascii="Times New Roman" w:hAnsi="Times New Roman" w:eastAsia="Times New Roman" w:cs="Times New Roman"/>
                <w:color w:val="231F20"/>
                <w:spacing w:val="-1"/>
                <w:sz w:val="20"/>
                <w:szCs w:val="20"/>
              </w:rPr>
              <w:t>4.</w:t>
            </w:r>
            <w:r>
              <w:rPr>
                <w:rFonts w:ascii="Times New Roman" w:hAnsi="Times New Roman" w:eastAsia="Times New Roman" w:cs="Times New Roman"/>
                <w:color w:val="231F20"/>
                <w:sz w:val="20"/>
                <w:szCs w:val="20"/>
              </w:rPr>
              <w:t>2</w:t>
            </w:r>
          </w:p>
        </w:tc>
        <w:tc>
          <w:tcPr>
            <w:tcW w:w="1163" w:type="dxa"/>
            <w:tcBorders>
              <w:right w:val="nil"/>
            </w:tcBorders>
            <w:vAlign w:val="top"/>
          </w:tcPr>
          <w:p>
            <w:pPr>
              <w:spacing w:before="162" w:line="189" w:lineRule="auto"/>
              <w:ind w:left="457"/>
              <w:rPr>
                <w:rFonts w:ascii="Times New Roman" w:hAnsi="Times New Roman" w:eastAsia="Times New Roman" w:cs="Times New Roman"/>
                <w:sz w:val="20"/>
                <w:szCs w:val="20"/>
              </w:rPr>
            </w:pPr>
            <w:r>
              <w:rPr>
                <w:rFonts w:ascii="Times New Roman" w:hAnsi="Times New Roman" w:eastAsia="Times New Roman" w:cs="Times New Roman"/>
                <w:color w:val="231F20"/>
                <w:spacing w:val="2"/>
                <w:sz w:val="20"/>
                <w:szCs w:val="20"/>
              </w:rPr>
              <w:t>4.9</w:t>
            </w:r>
          </w:p>
        </w:tc>
      </w:tr>
    </w:tbl>
    <w:p>
      <w:pPr>
        <w:spacing w:before="119"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pacing w:line="316" w:lineRule="auto"/>
        <w:rPr>
          <w:rFonts w:ascii="Arial"/>
          <w:sz w:val="21"/>
        </w:rPr>
      </w:pPr>
    </w:p>
    <w:p>
      <w:pPr>
        <w:spacing w:line="316" w:lineRule="auto"/>
        <w:rPr>
          <w:rFonts w:ascii="Arial"/>
          <w:sz w:val="21"/>
        </w:rPr>
      </w:pPr>
    </w:p>
    <w:p>
      <w:pPr>
        <w:spacing w:before="72" w:line="217"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外资化工制造企业经</w:t>
      </w:r>
      <w:r>
        <w:rPr>
          <w:rFonts w:ascii="KaiTi" w:hAnsi="KaiTi" w:eastAsia="KaiTi" w:cs="KaiTi"/>
          <w:color w:val="015DAC"/>
          <w:sz w:val="22"/>
          <w:szCs w:val="22"/>
        </w:rPr>
        <w:t>营效益稳定</w:t>
      </w:r>
    </w:p>
    <w:p>
      <w:pPr>
        <w:spacing w:line="268" w:lineRule="auto"/>
        <w:rPr>
          <w:rFonts w:ascii="Arial"/>
          <w:sz w:val="21"/>
        </w:rPr>
      </w:pPr>
    </w:p>
    <w:p>
      <w:pPr>
        <w:spacing w:before="95" w:line="257" w:lineRule="auto"/>
        <w:ind w:left="1988" w:right="1982" w:firstLine="455"/>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尽管受产业结构持续调整、新</w:t>
      </w:r>
      <w:r>
        <w:rPr>
          <w:rFonts w:ascii="微软雅黑" w:hAnsi="微软雅黑" w:eastAsia="微软雅黑" w:cs="微软雅黑"/>
          <w:color w:val="231F20"/>
          <w:spacing w:val="1"/>
          <w:sz w:val="22"/>
          <w:szCs w:val="22"/>
        </w:rPr>
        <w:t>冠肺炎疫情冲击等因素影响 ，在华外资化工制造企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业总体</w:t>
      </w:r>
      <w:r>
        <w:rPr>
          <w:rFonts w:ascii="微软雅黑" w:hAnsi="微软雅黑" w:eastAsia="微软雅黑" w:cs="微软雅黑"/>
          <w:color w:val="231F20"/>
          <w:spacing w:val="6"/>
          <w:sz w:val="22"/>
          <w:szCs w:val="22"/>
        </w:rPr>
        <w:t>经</w:t>
      </w:r>
      <w:r>
        <w:rPr>
          <w:rFonts w:ascii="微软雅黑" w:hAnsi="微软雅黑" w:eastAsia="微软雅黑" w:cs="微软雅黑"/>
          <w:color w:val="231F20"/>
          <w:spacing w:val="5"/>
          <w:sz w:val="22"/>
          <w:szCs w:val="22"/>
        </w:rPr>
        <w:t>营状况依然保持了较为稳定的趋势。国家统计局数据显示，</w:t>
      </w:r>
      <w:r>
        <w:rPr>
          <w:rFonts w:ascii="Times New Roman" w:hAnsi="Times New Roman" w:eastAsia="Times New Roman" w:cs="Times New Roman"/>
          <w:color w:val="231F20"/>
          <w:spacing w:val="5"/>
          <w:sz w:val="22"/>
          <w:szCs w:val="22"/>
        </w:rPr>
        <w:t xml:space="preserve">2016-2020 </w:t>
      </w:r>
      <w:r>
        <w:rPr>
          <w:rFonts w:ascii="微软雅黑" w:hAnsi="微软雅黑" w:eastAsia="微软雅黑" w:cs="微软雅黑"/>
          <w:color w:val="231F20"/>
          <w:spacing w:val="5"/>
          <w:sz w:val="22"/>
          <w:szCs w:val="22"/>
        </w:rPr>
        <w:t>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1"/>
          <w:sz w:val="22"/>
          <w:szCs w:val="22"/>
        </w:rPr>
        <w:t>规</w:t>
      </w:r>
      <w:r>
        <w:rPr>
          <w:rFonts w:ascii="微软雅黑" w:hAnsi="微软雅黑" w:eastAsia="微软雅黑" w:cs="微软雅黑"/>
          <w:color w:val="231F20"/>
          <w:spacing w:val="10"/>
          <w:sz w:val="22"/>
          <w:szCs w:val="22"/>
        </w:rPr>
        <w:t xml:space="preserve">模以上化学原料和化学制品制造业企业营收从 </w:t>
      </w:r>
      <w:r>
        <w:rPr>
          <w:rFonts w:ascii="Times New Roman" w:hAnsi="Times New Roman" w:eastAsia="Times New Roman" w:cs="Times New Roman"/>
          <w:color w:val="231F20"/>
          <w:spacing w:val="10"/>
          <w:sz w:val="22"/>
          <w:szCs w:val="22"/>
        </w:rPr>
        <w:t>87294</w:t>
      </w:r>
      <w:r>
        <w:rPr>
          <w:rFonts w:ascii="微软雅黑" w:hAnsi="微软雅黑" w:eastAsia="微软雅黑" w:cs="微软雅黑"/>
          <w:color w:val="231F20"/>
          <w:spacing w:val="10"/>
          <w:sz w:val="22"/>
          <w:szCs w:val="22"/>
        </w:rPr>
        <w:t xml:space="preserve">亿元持续下滑至 </w:t>
      </w:r>
      <w:r>
        <w:rPr>
          <w:rFonts w:ascii="Times New Roman" w:hAnsi="Times New Roman" w:eastAsia="Times New Roman" w:cs="Times New Roman"/>
          <w:color w:val="231F20"/>
          <w:spacing w:val="10"/>
          <w:sz w:val="22"/>
          <w:szCs w:val="22"/>
        </w:rPr>
        <w:t xml:space="preserve">79651.5 </w:t>
      </w:r>
      <w:r>
        <w:rPr>
          <w:rFonts w:ascii="微软雅黑" w:hAnsi="微软雅黑" w:eastAsia="微软雅黑" w:cs="微软雅黑"/>
          <w:color w:val="231F20"/>
          <w:spacing w:val="10"/>
          <w:sz w:val="22"/>
          <w:szCs w:val="22"/>
        </w:rPr>
        <w:t>亿</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元</w:t>
      </w:r>
      <w:r>
        <w:rPr>
          <w:rFonts w:ascii="微软雅黑" w:hAnsi="微软雅黑" w:eastAsia="微软雅黑" w:cs="微软雅黑"/>
          <w:color w:val="231F20"/>
          <w:spacing w:val="3"/>
          <w:sz w:val="22"/>
          <w:szCs w:val="22"/>
        </w:rPr>
        <w:t>，</w:t>
      </w:r>
      <w:r>
        <w:rPr>
          <w:rFonts w:ascii="微软雅黑" w:hAnsi="微软雅黑" w:eastAsia="微软雅黑" w:cs="微软雅黑"/>
          <w:color w:val="231F20"/>
          <w:spacing w:val="2"/>
          <w:sz w:val="22"/>
          <w:szCs w:val="22"/>
        </w:rPr>
        <w:t xml:space="preserve">  利润总额也从 </w:t>
      </w:r>
      <w:r>
        <w:rPr>
          <w:rFonts w:ascii="Times New Roman" w:hAnsi="Times New Roman" w:eastAsia="Times New Roman" w:cs="Times New Roman"/>
          <w:color w:val="231F20"/>
          <w:spacing w:val="2"/>
          <w:sz w:val="22"/>
          <w:szCs w:val="22"/>
        </w:rPr>
        <w:t xml:space="preserve">5180.3 </w:t>
      </w:r>
      <w:r>
        <w:rPr>
          <w:rFonts w:ascii="微软雅黑" w:hAnsi="微软雅黑" w:eastAsia="微软雅黑" w:cs="微软雅黑"/>
          <w:color w:val="231F20"/>
          <w:spacing w:val="2"/>
          <w:sz w:val="22"/>
          <w:szCs w:val="22"/>
        </w:rPr>
        <w:t xml:space="preserve">亿元下降至 </w:t>
      </w:r>
      <w:r>
        <w:rPr>
          <w:rFonts w:ascii="Times New Roman" w:hAnsi="Times New Roman" w:eastAsia="Times New Roman" w:cs="Times New Roman"/>
          <w:color w:val="231F20"/>
          <w:spacing w:val="2"/>
          <w:sz w:val="22"/>
          <w:szCs w:val="22"/>
        </w:rPr>
        <w:t xml:space="preserve">4439.6 </w:t>
      </w:r>
      <w:r>
        <w:rPr>
          <w:rFonts w:ascii="微软雅黑" w:hAnsi="微软雅黑" w:eastAsia="微软雅黑" w:cs="微软雅黑"/>
          <w:color w:val="231F20"/>
          <w:spacing w:val="2"/>
          <w:sz w:val="22"/>
          <w:szCs w:val="22"/>
        </w:rPr>
        <w:t xml:space="preserve">亿元 ，但营收利润率则从 </w:t>
      </w:r>
      <w:r>
        <w:rPr>
          <w:rFonts w:ascii="Times New Roman" w:hAnsi="Times New Roman" w:eastAsia="Times New Roman" w:cs="Times New Roman"/>
          <w:color w:val="231F20"/>
          <w:spacing w:val="2"/>
          <w:sz w:val="22"/>
          <w:szCs w:val="22"/>
        </w:rPr>
        <w:t xml:space="preserve">5.9% </w:t>
      </w:r>
      <w:r>
        <w:rPr>
          <w:rFonts w:ascii="微软雅黑" w:hAnsi="微软雅黑" w:eastAsia="微软雅黑" w:cs="微软雅黑"/>
          <w:color w:val="231F20"/>
          <w:spacing w:val="2"/>
          <w:sz w:val="22"/>
          <w:szCs w:val="22"/>
        </w:rPr>
        <w:t>大幅提</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升</w:t>
      </w:r>
      <w:r>
        <w:rPr>
          <w:rFonts w:ascii="微软雅黑" w:hAnsi="微软雅黑" w:eastAsia="微软雅黑" w:cs="微软雅黑"/>
          <w:color w:val="231F20"/>
          <w:spacing w:val="6"/>
          <w:sz w:val="22"/>
          <w:szCs w:val="22"/>
        </w:rPr>
        <w:t>至</w:t>
      </w:r>
      <w:r>
        <w:rPr>
          <w:rFonts w:ascii="微软雅黑" w:hAnsi="微软雅黑" w:eastAsia="微软雅黑" w:cs="微软雅黑"/>
          <w:color w:val="231F20"/>
          <w:spacing w:val="5"/>
          <w:sz w:val="22"/>
          <w:szCs w:val="22"/>
        </w:rPr>
        <w:t xml:space="preserve"> </w:t>
      </w:r>
      <w:r>
        <w:rPr>
          <w:rFonts w:ascii="Times New Roman" w:hAnsi="Times New Roman" w:eastAsia="Times New Roman" w:cs="Times New Roman"/>
          <w:color w:val="231F20"/>
          <w:spacing w:val="5"/>
          <w:sz w:val="22"/>
          <w:szCs w:val="22"/>
        </w:rPr>
        <w:t>7.0%</w:t>
      </w:r>
      <w:r>
        <w:rPr>
          <w:rFonts w:ascii="微软雅黑" w:hAnsi="微软雅黑" w:eastAsia="微软雅黑" w:cs="微软雅黑"/>
          <w:color w:val="231F20"/>
          <w:spacing w:val="5"/>
          <w:sz w:val="22"/>
          <w:szCs w:val="22"/>
        </w:rPr>
        <w:t>。其中 ，外资化学原料和化学制品制造业企业营收虽然也呈现下滑趋势，</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从 </w:t>
      </w:r>
      <w:r>
        <w:rPr>
          <w:rFonts w:ascii="Times New Roman" w:hAnsi="Times New Roman" w:eastAsia="Times New Roman" w:cs="Times New Roman"/>
          <w:color w:val="231F20"/>
          <w:spacing w:val="1"/>
          <w:sz w:val="22"/>
          <w:szCs w:val="22"/>
        </w:rPr>
        <w:t xml:space="preserve">18339.7 </w:t>
      </w:r>
      <w:r>
        <w:rPr>
          <w:rFonts w:ascii="微软雅黑" w:hAnsi="微软雅黑" w:eastAsia="微软雅黑" w:cs="微软雅黑"/>
          <w:color w:val="231F20"/>
          <w:spacing w:val="1"/>
          <w:sz w:val="22"/>
          <w:szCs w:val="22"/>
        </w:rPr>
        <w:t xml:space="preserve">亿元降至 </w:t>
      </w:r>
      <w:r>
        <w:rPr>
          <w:rFonts w:ascii="Times New Roman" w:hAnsi="Times New Roman" w:eastAsia="Times New Roman" w:cs="Times New Roman"/>
          <w:color w:val="231F20"/>
          <w:spacing w:val="1"/>
          <w:sz w:val="22"/>
          <w:szCs w:val="22"/>
        </w:rPr>
        <w:t xml:space="preserve">14527.5 </w:t>
      </w:r>
      <w:r>
        <w:rPr>
          <w:rFonts w:ascii="微软雅黑" w:hAnsi="微软雅黑" w:eastAsia="微软雅黑" w:cs="微软雅黑"/>
          <w:color w:val="231F20"/>
          <w:spacing w:val="1"/>
          <w:sz w:val="22"/>
          <w:szCs w:val="22"/>
        </w:rPr>
        <w:t>亿元 ，但利</w:t>
      </w:r>
      <w:r>
        <w:rPr>
          <w:rFonts w:ascii="微软雅黑" w:hAnsi="微软雅黑" w:eastAsia="微软雅黑" w:cs="微软雅黑"/>
          <w:color w:val="231F20"/>
          <w:sz w:val="22"/>
          <w:szCs w:val="22"/>
        </w:rPr>
        <w:t xml:space="preserve">润总额却实现了增长 ，从 </w:t>
      </w:r>
      <w:r>
        <w:rPr>
          <w:rFonts w:ascii="Times New Roman" w:hAnsi="Times New Roman" w:eastAsia="Times New Roman" w:cs="Times New Roman"/>
          <w:color w:val="231F20"/>
          <w:sz w:val="22"/>
          <w:szCs w:val="22"/>
        </w:rPr>
        <w:t xml:space="preserve">1358.4 </w:t>
      </w:r>
      <w:r>
        <w:rPr>
          <w:rFonts w:ascii="微软雅黑" w:hAnsi="微软雅黑" w:eastAsia="微软雅黑" w:cs="微软雅黑"/>
          <w:color w:val="231F20"/>
          <w:sz w:val="22"/>
          <w:szCs w:val="22"/>
        </w:rPr>
        <w:t xml:space="preserve">亿元增长至 </w:t>
      </w:r>
      <w:r>
        <w:rPr>
          <w:rFonts w:ascii="Times New Roman" w:hAnsi="Times New Roman" w:eastAsia="Times New Roman" w:cs="Times New Roman"/>
          <w:color w:val="231F20"/>
          <w:spacing w:val="1"/>
          <w:sz w:val="22"/>
          <w:szCs w:val="22"/>
        </w:rPr>
        <w:t xml:space="preserve">1408.2 </w:t>
      </w:r>
      <w:r>
        <w:rPr>
          <w:rFonts w:ascii="微软雅黑" w:hAnsi="微软雅黑" w:eastAsia="微软雅黑" w:cs="微软雅黑"/>
          <w:color w:val="231F20"/>
          <w:spacing w:val="1"/>
          <w:sz w:val="22"/>
          <w:szCs w:val="22"/>
        </w:rPr>
        <w:t>亿元 ，营</w:t>
      </w:r>
      <w:r>
        <w:rPr>
          <w:rFonts w:ascii="微软雅黑" w:hAnsi="微软雅黑" w:eastAsia="微软雅黑" w:cs="微软雅黑"/>
          <w:color w:val="231F20"/>
          <w:sz w:val="22"/>
          <w:szCs w:val="22"/>
        </w:rPr>
        <w:t xml:space="preserve">收利润率也从 </w:t>
      </w:r>
      <w:r>
        <w:rPr>
          <w:rFonts w:ascii="Times New Roman" w:hAnsi="Times New Roman" w:eastAsia="Times New Roman" w:cs="Times New Roman"/>
          <w:color w:val="231F20"/>
          <w:sz w:val="22"/>
          <w:szCs w:val="22"/>
        </w:rPr>
        <w:t xml:space="preserve">7.4% </w:t>
      </w:r>
      <w:r>
        <w:rPr>
          <w:rFonts w:ascii="微软雅黑" w:hAnsi="微软雅黑" w:eastAsia="微软雅黑" w:cs="微软雅黑"/>
          <w:color w:val="231F20"/>
          <w:sz w:val="22"/>
          <w:szCs w:val="22"/>
        </w:rPr>
        <w:t xml:space="preserve">同步提升至 </w:t>
      </w:r>
      <w:r>
        <w:rPr>
          <w:rFonts w:ascii="Times New Roman" w:hAnsi="Times New Roman" w:eastAsia="Times New Roman" w:cs="Times New Roman"/>
          <w:color w:val="231F20"/>
          <w:sz w:val="22"/>
          <w:szCs w:val="22"/>
        </w:rPr>
        <w:t xml:space="preserve">9.7% </w:t>
      </w:r>
      <w:r>
        <w:rPr>
          <w:rFonts w:ascii="微软雅黑" w:hAnsi="微软雅黑" w:eastAsia="微软雅黑" w:cs="微软雅黑"/>
          <w:color w:val="231F20"/>
          <w:sz w:val="22"/>
          <w:szCs w:val="22"/>
        </w:rPr>
        <w:t xml:space="preserve">，持续高于全国化学原料和化学 </w:t>
      </w:r>
      <w:r>
        <w:rPr>
          <w:rFonts w:ascii="微软雅黑" w:hAnsi="微软雅黑" w:eastAsia="微软雅黑" w:cs="微软雅黑"/>
          <w:color w:val="231F20"/>
          <w:spacing w:val="1"/>
          <w:sz w:val="22"/>
          <w:szCs w:val="22"/>
        </w:rPr>
        <w:t>制品制造业</w:t>
      </w:r>
      <w:r>
        <w:rPr>
          <w:rFonts w:ascii="微软雅黑" w:hAnsi="微软雅黑" w:eastAsia="微软雅黑" w:cs="微软雅黑"/>
          <w:color w:val="231F20"/>
          <w:sz w:val="22"/>
          <w:szCs w:val="22"/>
        </w:rPr>
        <w:t>企业水平。</w:t>
      </w:r>
    </w:p>
    <w:p>
      <w:pPr>
        <w:spacing w:line="169" w:lineRule="exact"/>
      </w:pPr>
    </w:p>
    <w:tbl>
      <w:tblPr>
        <w:tblStyle w:val="4"/>
        <w:tblW w:w="970" w:type="dxa"/>
        <w:tblInd w:w="2408" w:type="dxa"/>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Layout w:type="fixed"/>
        <w:tblCellMar>
          <w:top w:w="0" w:type="dxa"/>
          <w:left w:w="0" w:type="dxa"/>
          <w:bottom w:w="0" w:type="dxa"/>
          <w:right w:w="0" w:type="dxa"/>
        </w:tblCellMar>
      </w:tblPr>
      <w:tblGrid>
        <w:gridCol w:w="970"/>
      </w:tblGrid>
      <w:tr>
        <w:tblPrEx>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CellMar>
            <w:top w:w="0" w:type="dxa"/>
            <w:left w:w="0" w:type="dxa"/>
            <w:bottom w:w="0" w:type="dxa"/>
            <w:right w:w="0" w:type="dxa"/>
          </w:tblCellMar>
        </w:tblPrEx>
        <w:trPr>
          <w:trHeight w:val="410" w:hRule="atLeast"/>
        </w:trPr>
        <w:tc>
          <w:tcPr>
            <w:tcW w:w="970" w:type="dxa"/>
            <w:vAlign w:val="top"/>
          </w:tcPr>
          <w:p>
            <w:pPr>
              <w:spacing w:before="85" w:line="242" w:lineRule="exact"/>
              <w:ind w:left="309"/>
              <w:rPr>
                <w:rFonts w:ascii="Times New Roman" w:hAnsi="Times New Roman" w:eastAsia="Times New Roman" w:cs="Times New Roman"/>
                <w:sz w:val="17"/>
                <w:szCs w:val="17"/>
              </w:rPr>
            </w:pPr>
            <w:r>
              <w:pict>
                <v:shape id="_x0000_s1297" o:spid="_x0000_s1297" o:spt="202" type="#_x0000_t202" style="position:absolute;left:0pt;margin-left:17.1pt;margin-top:4.65pt;height:14.15pt;width:9.2pt;z-index:-251389952;mso-width-relative:page;mso-height-relative:page;" filled="f" stroked="f" coordsize="21600,21600">
                  <v:path/>
                  <v:fill on="f" focussize="0,0"/>
                  <v:stroke on="f"/>
                  <v:imagedata o:title=""/>
                  <o:lock v:ext="edit" aspectratio="f"/>
                  <v:textbox inset="0mm,0mm,0mm,0mm">
                    <w:txbxContent>
                      <w:p>
                        <w:pPr>
                          <w:spacing w:before="20" w:line="242" w:lineRule="exact"/>
                          <w:ind w:left="20"/>
                          <w:rPr>
                            <w:rFonts w:ascii="Times New Roman" w:hAnsi="Times New Roman" w:eastAsia="Times New Roman" w:cs="Times New Roman"/>
                            <w:sz w:val="17"/>
                            <w:szCs w:val="17"/>
                          </w:rPr>
                        </w:pPr>
                        <w:r>
                          <w:rPr>
                            <w:rFonts w:ascii="Times New Roman" w:hAnsi="Times New Roman" w:eastAsia="Times New Roman" w:cs="Times New Roman"/>
                            <w:color w:val="030303"/>
                            <w:spacing w:val="1"/>
                            <w:position w:val="2"/>
                            <w:sz w:val="17"/>
                            <w:szCs w:val="17"/>
                          </w:rPr>
                          <w:t>%</w:t>
                        </w:r>
                      </w:p>
                    </w:txbxContent>
                  </v:textbox>
                </v:shape>
              </w:pict>
            </w:r>
            <w:r>
              <w:drawing>
                <wp:anchor distT="0" distB="0" distL="0" distR="0" simplePos="0" relativeHeight="251925504" behindDoc="1" locked="0" layoutInCell="1" allowOverlap="1">
                  <wp:simplePos x="0" y="0"/>
                  <wp:positionH relativeFrom="column">
                    <wp:posOffset>-6350</wp:posOffset>
                  </wp:positionH>
                  <wp:positionV relativeFrom="paragraph">
                    <wp:posOffset>-6350</wp:posOffset>
                  </wp:positionV>
                  <wp:extent cx="622935" cy="273685"/>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12"/>
                          <a:stretch>
                            <a:fillRect/>
                          </a:stretch>
                        </pic:blipFill>
                        <pic:spPr>
                          <a:xfrm>
                            <a:off x="0" y="0"/>
                            <a:ext cx="622795" cy="273596"/>
                          </a:xfrm>
                          <a:prstGeom prst="rect">
                            <a:avLst/>
                          </a:prstGeom>
                        </pic:spPr>
                      </pic:pic>
                    </a:graphicData>
                  </a:graphic>
                </wp:anchor>
              </w:drawing>
            </w:r>
            <w:r>
              <w:drawing>
                <wp:anchor distT="0" distB="0" distL="0" distR="0" simplePos="0" relativeHeight="251927552" behindDoc="1" locked="0" layoutInCell="1" allowOverlap="1">
                  <wp:simplePos x="0" y="0"/>
                  <wp:positionH relativeFrom="column">
                    <wp:posOffset>3810</wp:posOffset>
                  </wp:positionH>
                  <wp:positionV relativeFrom="paragraph">
                    <wp:posOffset>83185</wp:posOffset>
                  </wp:positionV>
                  <wp:extent cx="497840" cy="180975"/>
                  <wp:effectExtent l="0" t="0" r="0" b="0"/>
                  <wp:wrapNone/>
                  <wp:docPr id="245" name="IM 245"/>
                  <wp:cNvGraphicFramePr/>
                  <a:graphic xmlns:a="http://schemas.openxmlformats.org/drawingml/2006/main">
                    <a:graphicData uri="http://schemas.openxmlformats.org/drawingml/2006/picture">
                      <pic:pic xmlns:pic="http://schemas.openxmlformats.org/drawingml/2006/picture">
                        <pic:nvPicPr>
                          <pic:cNvPr id="245" name="IM 245"/>
                          <pic:cNvPicPr/>
                        </pic:nvPicPr>
                        <pic:blipFill>
                          <a:blip r:embed="rId113"/>
                          <a:stretch>
                            <a:fillRect/>
                          </a:stretch>
                        </pic:blipFill>
                        <pic:spPr>
                          <a:xfrm>
                            <a:off x="0" y="0"/>
                            <a:ext cx="497649" cy="180847"/>
                          </a:xfrm>
                          <a:prstGeom prst="rect">
                            <a:avLst/>
                          </a:prstGeom>
                        </pic:spPr>
                      </pic:pic>
                    </a:graphicData>
                  </a:graphic>
                </wp:anchor>
              </w:drawing>
            </w:r>
            <w:r>
              <w:rPr>
                <w:rFonts w:ascii="Times New Roman" w:hAnsi="Times New Roman" w:eastAsia="Times New Roman" w:cs="Times New Roman"/>
                <w:color w:val="030303"/>
                <w:spacing w:val="1"/>
                <w:position w:val="2"/>
                <w:sz w:val="17"/>
                <w:szCs w:val="17"/>
              </w:rPr>
              <w:t>%</w:t>
            </w:r>
          </w:p>
        </w:tc>
      </w:tr>
    </w:tbl>
    <w:p>
      <w:pPr>
        <w:spacing w:before="154" w:line="244" w:lineRule="exact"/>
        <w:ind w:left="2723"/>
        <w:rPr>
          <w:rFonts w:ascii="Calibri" w:hAnsi="Calibri" w:eastAsia="Calibri" w:cs="Calibri"/>
          <w:sz w:val="17"/>
          <w:szCs w:val="17"/>
        </w:rPr>
      </w:pPr>
      <w:r>
        <w:pict>
          <v:shape id="_x0000_s1298" o:spid="_x0000_s1298" o:spt="202" type="#_x0000_t202" style="position:absolute;left:0pt;margin-left:433.55pt;margin-top:0.3pt;height:17.2pt;width:21.95pt;z-index:251942912;mso-width-relative:page;mso-height-relative:page;" filled="f" stroked="f" coordsize="21600,21600">
            <v:path/>
            <v:fill on="f" focussize="0,0"/>
            <v:stroke on="f"/>
            <v:imagedata o:title=""/>
            <o:lock v:ext="edit" aspectratio="f"/>
            <v:textbox inset="0mm,0mm,0mm,0mm">
              <w:txbxContent>
                <w:p>
                  <w:pPr>
                    <w:spacing w:before="20" w:line="303" w:lineRule="exact"/>
                    <w:ind w:left="20"/>
                    <w:rPr>
                      <w:rFonts w:ascii="微软雅黑" w:hAnsi="微软雅黑" w:eastAsia="微软雅黑" w:cs="微软雅黑"/>
                      <w:sz w:val="17"/>
                      <w:szCs w:val="17"/>
                    </w:rPr>
                  </w:pPr>
                  <w:r>
                    <w:rPr>
                      <w:rFonts w:ascii="微软雅黑" w:hAnsi="微软雅黑" w:eastAsia="微软雅黑" w:cs="微软雅黑"/>
                      <w:color w:val="030303"/>
                      <w:spacing w:val="2"/>
                      <w:position w:val="3"/>
                      <w:sz w:val="17"/>
                      <w:szCs w:val="17"/>
                    </w:rPr>
                    <w:t>9.7</w:t>
                  </w:r>
                  <w:r>
                    <w:rPr>
                      <w:rFonts w:ascii="微软雅黑" w:hAnsi="微软雅黑" w:eastAsia="微软雅黑" w:cs="微软雅黑"/>
                      <w:color w:val="231F20"/>
                      <w:spacing w:val="1"/>
                      <w:position w:val="3"/>
                      <w:sz w:val="17"/>
                      <w:szCs w:val="17"/>
                    </w:rPr>
                    <w:t>%</w:t>
                  </w:r>
                </w:p>
              </w:txbxContent>
            </v:textbox>
          </v:shape>
        </w:pict>
      </w:r>
      <w:r>
        <w:pict>
          <v:shape id="_x0000_s1299" o:spid="_x0000_s1299" o:spt="202" type="#_x0000_t202" style="position:absolute;left:0pt;margin-left:240.45pt;margin-top:10.25pt;height:17.2pt;width:22.3pt;z-index:251941888;mso-width-relative:page;mso-height-relative:page;" filled="f" stroked="f" coordsize="21600,21600">
            <v:path/>
            <v:fill on="f" focussize="0,0"/>
            <v:stroke on="f"/>
            <v:imagedata o:title=""/>
            <o:lock v:ext="edit" aspectratio="f"/>
            <v:textbox inset="0mm,0mm,0mm,0mm">
              <w:txbxContent>
                <w:p>
                  <w:pPr>
                    <w:spacing w:before="20" w:line="303" w:lineRule="exact"/>
                    <w:ind w:left="20"/>
                    <w:rPr>
                      <w:rFonts w:ascii="微软雅黑" w:hAnsi="微软雅黑" w:eastAsia="微软雅黑" w:cs="微软雅黑"/>
                      <w:sz w:val="17"/>
                      <w:szCs w:val="17"/>
                    </w:rPr>
                  </w:pPr>
                  <w:r>
                    <w:rPr>
                      <w:rFonts w:ascii="微软雅黑" w:hAnsi="微软雅黑" w:eastAsia="微软雅黑" w:cs="微软雅黑"/>
                      <w:color w:val="030303"/>
                      <w:spacing w:val="4"/>
                      <w:position w:val="3"/>
                      <w:sz w:val="17"/>
                      <w:szCs w:val="17"/>
                    </w:rPr>
                    <w:t>8.9</w:t>
                  </w:r>
                  <w:r>
                    <w:rPr>
                      <w:rFonts w:ascii="微软雅黑" w:hAnsi="微软雅黑" w:eastAsia="微软雅黑" w:cs="微软雅黑"/>
                      <w:color w:val="231F20"/>
                      <w:spacing w:val="4"/>
                      <w:position w:val="3"/>
                      <w:sz w:val="17"/>
                      <w:szCs w:val="17"/>
                    </w:rPr>
                    <w:t>%</w:t>
                  </w:r>
                </w:p>
              </w:txbxContent>
            </v:textbox>
          </v:shape>
        </w:pict>
      </w:r>
      <w:r>
        <w:pict>
          <v:shape id="_x0000_s1300" o:spid="_x0000_s1300" o:spt="202" type="#_x0000_t202" style="position:absolute;left:0pt;margin-left:306.55pt;margin-top:12.15pt;height:17.2pt;width:22.6pt;z-index:251940864;mso-width-relative:page;mso-height-relative:page;" filled="f" stroked="f" coordsize="21600,21600">
            <v:path/>
            <v:fill on="f" focussize="0,0"/>
            <v:stroke on="f"/>
            <v:imagedata o:title=""/>
            <o:lock v:ext="edit" aspectratio="f"/>
            <v:textbox inset="0mm,0mm,0mm,0mm">
              <w:txbxContent>
                <w:p>
                  <w:pPr>
                    <w:spacing w:before="20" w:line="303" w:lineRule="exact"/>
                    <w:ind w:left="20"/>
                    <w:rPr>
                      <w:rFonts w:ascii="微软雅黑" w:hAnsi="微软雅黑" w:eastAsia="微软雅黑" w:cs="微软雅黑"/>
                      <w:sz w:val="17"/>
                      <w:szCs w:val="17"/>
                    </w:rPr>
                  </w:pPr>
                  <w:r>
                    <w:rPr>
                      <w:rFonts w:ascii="微软雅黑" w:hAnsi="微软雅黑" w:eastAsia="微软雅黑" w:cs="微软雅黑"/>
                      <w:color w:val="030303"/>
                      <w:spacing w:val="6"/>
                      <w:position w:val="3"/>
                      <w:sz w:val="17"/>
                      <w:szCs w:val="17"/>
                    </w:rPr>
                    <w:t>8</w:t>
                  </w:r>
                  <w:r>
                    <w:rPr>
                      <w:rFonts w:ascii="微软雅黑" w:hAnsi="微软雅黑" w:eastAsia="微软雅黑" w:cs="微软雅黑"/>
                      <w:color w:val="030303"/>
                      <w:spacing w:val="5"/>
                      <w:position w:val="3"/>
                      <w:sz w:val="17"/>
                      <w:szCs w:val="17"/>
                    </w:rPr>
                    <w:t>.7</w:t>
                  </w:r>
                  <w:r>
                    <w:rPr>
                      <w:rFonts w:ascii="微软雅黑" w:hAnsi="微软雅黑" w:eastAsia="微软雅黑" w:cs="微软雅黑"/>
                      <w:color w:val="231F20"/>
                      <w:spacing w:val="5"/>
                      <w:position w:val="3"/>
                      <w:sz w:val="17"/>
                      <w:szCs w:val="17"/>
                    </w:rPr>
                    <w:t>%</w:t>
                  </w:r>
                </w:p>
              </w:txbxContent>
            </v:textbox>
          </v:shape>
        </w:pict>
      </w:r>
      <w:r>
        <w:pict>
          <v:shape id="_x0000_s1301" o:spid="_x0000_s1301" o:spt="202" type="#_x0000_t202" style="position:absolute;left:0pt;margin-left:382.6pt;margin-top:23.2pt;height:17.2pt;width:9.5pt;z-index:251947008;mso-width-relative:page;mso-height-relative:page;" filled="f" stroked="f" coordsize="21600,21600">
            <v:path/>
            <v:fill on="f" focussize="0,0"/>
            <v:stroke on="f"/>
            <v:imagedata o:title=""/>
            <o:lock v:ext="edit" aspectratio="f"/>
            <v:textbox inset="0mm,0mm,0mm,0mm">
              <w:txbxContent>
                <w:p>
                  <w:pPr>
                    <w:spacing w:before="20" w:line="303" w:lineRule="exact"/>
                    <w:ind w:left="20"/>
                    <w:rPr>
                      <w:rFonts w:ascii="微软雅黑" w:hAnsi="微软雅黑" w:eastAsia="微软雅黑" w:cs="微软雅黑"/>
                      <w:sz w:val="17"/>
                      <w:szCs w:val="17"/>
                    </w:rPr>
                  </w:pPr>
                  <w:r>
                    <w:rPr>
                      <w:rFonts w:ascii="微软雅黑" w:hAnsi="微软雅黑" w:eastAsia="微软雅黑" w:cs="微软雅黑"/>
                      <w:color w:val="231F20"/>
                      <w:position w:val="3"/>
                      <w:sz w:val="17"/>
                      <w:szCs w:val="17"/>
                    </w:rPr>
                    <w:t>%</w:t>
                  </w:r>
                </w:p>
              </w:txbxContent>
            </v:textbox>
          </v:shape>
        </w:pict>
      </w:r>
      <w:r>
        <w:pict>
          <v:shape id="_x0000_s1302" o:spid="_x0000_s1302" o:spt="202" type="#_x0000_t202" style="position:absolute;left:0pt;margin-left:369.65pt;margin-top:25.5pt;height:12.85pt;width:14.25pt;z-index:251945984;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7</w:t>
                  </w:r>
                  <w:r>
                    <w:rPr>
                      <w:rFonts w:ascii="微软雅黑" w:hAnsi="微软雅黑" w:eastAsia="微软雅黑" w:cs="微软雅黑"/>
                      <w:color w:val="030303"/>
                      <w:spacing w:val="1"/>
                      <w:sz w:val="17"/>
                      <w:szCs w:val="17"/>
                    </w:rPr>
                    <w:t>.8</w:t>
                  </w:r>
                </w:p>
              </w:txbxContent>
            </v:textbox>
          </v:shape>
        </w:pict>
      </w:r>
      <w:r>
        <w:pict>
          <v:shape id="_x0000_s1303" o:spid="_x0000_s1303" o:spt="202" type="#_x0000_t202" style="position:absolute;left:0pt;margin-left:175.7pt;margin-top:29.75pt;height:12.75pt;width:14.25pt;z-index:251948032;mso-width-relative:page;mso-height-relative:page;" filled="f" stroked="f" coordsize="21600,21600">
            <v:path/>
            <v:fill on="f" focussize="0,0"/>
            <v:stroke on="f"/>
            <v:imagedata o:title=""/>
            <o:lock v:ext="edit" aspectratio="f"/>
            <v:textbox inset="0mm,0mm,0mm,0mm">
              <w:txbxContent>
                <w:p>
                  <w:pPr>
                    <w:spacing w:before="20" w:line="176"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7</w:t>
                  </w:r>
                  <w:r>
                    <w:rPr>
                      <w:rFonts w:ascii="微软雅黑" w:hAnsi="微软雅黑" w:eastAsia="微软雅黑" w:cs="微软雅黑"/>
                      <w:color w:val="030303"/>
                      <w:spacing w:val="1"/>
                      <w:sz w:val="17"/>
                      <w:szCs w:val="17"/>
                    </w:rPr>
                    <w:t>.4</w:t>
                  </w:r>
                </w:p>
              </w:txbxContent>
            </v:textbox>
          </v:shape>
        </w:pict>
      </w:r>
      <w:r>
        <w:pict>
          <v:shape id="_x0000_s1304" o:spid="_x0000_s1304" o:spt="202" type="#_x0000_t202" style="position:absolute;left:0pt;margin-left:180.45pt;margin-top:46.7pt;height:20.3pt;width:277.1pt;z-index:251932672;mso-width-relative:page;mso-height-relative:page;" filled="f" stroked="f" coordsize="21600,21600">
            <v:path/>
            <v:fill on="f" focussize="0,0"/>
            <v:stroke on="f"/>
            <v:imagedata o:title=""/>
            <o:lock v:ext="edit" aspectratio="f"/>
            <v:textbox inset="0mm,0mm,0mm,0mm">
              <w:txbxContent>
                <w:p>
                  <w:pPr>
                    <w:tabs>
                      <w:tab w:val="left" w:pos="1203"/>
                    </w:tabs>
                    <w:spacing w:before="20" w:line="365" w:lineRule="exact"/>
                    <w:ind w:left="20"/>
                    <w:rPr>
                      <w:rFonts w:ascii="微软雅黑" w:hAnsi="微软雅黑" w:eastAsia="微软雅黑" w:cs="微软雅黑"/>
                      <w:sz w:val="17"/>
                      <w:szCs w:val="17"/>
                    </w:rPr>
                  </w:pPr>
                  <w:r>
                    <w:rPr>
                      <w:rFonts w:ascii="微软雅黑" w:hAnsi="微软雅黑" w:eastAsia="微软雅黑" w:cs="微软雅黑"/>
                      <w:color w:val="030303"/>
                      <w:position w:val="6"/>
                      <w:sz w:val="17"/>
                      <w:szCs w:val="17"/>
                    </w:rPr>
                    <w:tab/>
                  </w:r>
                  <w:r>
                    <w:rPr>
                      <w:rFonts w:ascii="微软雅黑" w:hAnsi="微软雅黑" w:eastAsia="微软雅黑" w:cs="微软雅黑"/>
                      <w:color w:val="030303"/>
                      <w:spacing w:val="2"/>
                      <w:position w:val="6"/>
                      <w:sz w:val="17"/>
                      <w:szCs w:val="17"/>
                    </w:rPr>
                    <w:t>7.1</w:t>
                  </w:r>
                  <w:r>
                    <w:rPr>
                      <w:rFonts w:ascii="微软雅黑" w:hAnsi="微软雅黑" w:eastAsia="微软雅黑" w:cs="微软雅黑"/>
                      <w:color w:val="231F20"/>
                      <w:spacing w:val="2"/>
                      <w:position w:val="7"/>
                      <w:sz w:val="17"/>
                      <w:szCs w:val="17"/>
                    </w:rPr>
                    <w:t>%</w:t>
                  </w:r>
                  <w:r>
                    <w:rPr>
                      <w:rFonts w:ascii="微软雅黑" w:hAnsi="微软雅黑" w:eastAsia="微软雅黑" w:cs="微软雅黑"/>
                      <w:color w:val="231F20"/>
                      <w:spacing w:val="1"/>
                      <w:position w:val="7"/>
                      <w:sz w:val="17"/>
                      <w:szCs w:val="17"/>
                    </w:rPr>
                    <w:t xml:space="preserve">                 </w:t>
                  </w:r>
                  <w:r>
                    <w:rPr>
                      <w:rFonts w:ascii="微软雅黑" w:hAnsi="微软雅黑" w:eastAsia="微软雅黑" w:cs="微软雅黑"/>
                      <w:color w:val="030303"/>
                      <w:spacing w:val="1"/>
                      <w:position w:val="7"/>
                      <w:sz w:val="17"/>
                      <w:szCs w:val="17"/>
                    </w:rPr>
                    <w:t>7.1</w:t>
                  </w:r>
                  <w:r>
                    <w:rPr>
                      <w:rFonts w:ascii="微软雅黑" w:hAnsi="微软雅黑" w:eastAsia="微软雅黑" w:cs="微软雅黑"/>
                      <w:color w:val="231F20"/>
                      <w:spacing w:val="1"/>
                      <w:position w:val="6"/>
                      <w:sz w:val="17"/>
                      <w:szCs w:val="17"/>
                    </w:rPr>
                    <w:t xml:space="preserve">%                                           </w:t>
                  </w:r>
                  <w:r>
                    <w:rPr>
                      <w:rFonts w:ascii="微软雅黑" w:hAnsi="微软雅黑" w:eastAsia="微软雅黑" w:cs="微软雅黑"/>
                      <w:color w:val="030303"/>
                      <w:spacing w:val="1"/>
                      <w:position w:val="2"/>
                      <w:sz w:val="17"/>
                      <w:szCs w:val="17"/>
                    </w:rPr>
                    <w:t xml:space="preserve">7.0 </w:t>
                  </w:r>
                  <w:r>
                    <w:rPr>
                      <w:rFonts w:ascii="微软雅黑" w:hAnsi="微软雅黑" w:eastAsia="微软雅黑" w:cs="微软雅黑"/>
                      <w:color w:val="231F20"/>
                      <w:spacing w:val="1"/>
                      <w:position w:val="1"/>
                      <w:sz w:val="17"/>
                      <w:szCs w:val="17"/>
                    </w:rPr>
                    <w:t>%</w:t>
                  </w:r>
                </w:p>
              </w:txbxContent>
            </v:textbox>
          </v:shape>
        </w:pict>
      </w:r>
      <w:r>
        <w:pict>
          <v:shape id="_x0000_s1305" o:spid="_x0000_s1305" o:spt="202" type="#_x0000_t202" style="position:absolute;left:0pt;margin-left:145.4pt;margin-top:56.3pt;height:81.65pt;width:340.35pt;z-index:2519316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6766" w:type="dxa"/>
                    <w:tblInd w:w="2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749"/>
                    <w:gridCol w:w="401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81" w:hRule="atLeast"/>
                    </w:trPr>
                    <w:tc>
                      <w:tcPr>
                        <w:tcW w:w="2749" w:type="dxa"/>
                        <w:tcBorders>
                          <w:top w:val="dashed" w:color="CEE6ED" w:sz="2" w:space="0"/>
                          <w:bottom w:val="dashed" w:color="CEE6ED" w:sz="2" w:space="0"/>
                        </w:tcBorders>
                        <w:vAlign w:val="top"/>
                      </w:tcPr>
                      <w:p>
                        <w:pPr>
                          <w:spacing w:before="92" w:line="188" w:lineRule="auto"/>
                          <w:ind w:left="629"/>
                          <w:rPr>
                            <w:rFonts w:ascii="微软雅黑" w:hAnsi="微软雅黑" w:eastAsia="微软雅黑" w:cs="微软雅黑"/>
                            <w:sz w:val="14"/>
                            <w:szCs w:val="14"/>
                          </w:rPr>
                        </w:pPr>
                        <w:r>
                          <w:rPr>
                            <w:rFonts w:ascii="微软雅黑" w:hAnsi="微软雅黑" w:eastAsia="微软雅黑" w:cs="微软雅黑"/>
                            <w:color w:val="030303"/>
                            <w:spacing w:val="20"/>
                            <w:sz w:val="14"/>
                            <w:szCs w:val="14"/>
                          </w:rPr>
                          <w:t>5.9</w:t>
                        </w:r>
                        <w:r>
                          <w:rPr>
                            <w:rFonts w:ascii="微软雅黑" w:hAnsi="微软雅黑" w:eastAsia="微软雅黑" w:cs="微软雅黑"/>
                            <w:color w:val="231F20"/>
                            <w:spacing w:val="20"/>
                            <w:sz w:val="14"/>
                            <w:szCs w:val="14"/>
                          </w:rPr>
                          <w:t>%</w:t>
                        </w:r>
                      </w:p>
                    </w:tc>
                    <w:tc>
                      <w:tcPr>
                        <w:tcW w:w="4017" w:type="dxa"/>
                        <w:vMerge w:val="restart"/>
                        <w:tcBorders>
                          <w:top w:val="dashed" w:color="CEE6ED" w:sz="2" w:space="0"/>
                          <w:bottom w:val="nil"/>
                        </w:tcBorders>
                        <w:vAlign w:val="top"/>
                      </w:tcPr>
                      <w:p>
                        <w:pPr>
                          <w:spacing w:before="44" w:line="107" w:lineRule="exact"/>
                          <w:ind w:firstLine="1779"/>
                          <w:textAlignment w:val="center"/>
                        </w:pPr>
                        <w:r>
                          <w:drawing>
                            <wp:inline distT="0" distB="0" distL="0" distR="0">
                              <wp:extent cx="73025" cy="6794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14"/>
                                      <a:stretch>
                                        <a:fillRect/>
                                      </a:stretch>
                                    </pic:blipFill>
                                    <pic:spPr>
                                      <a:xfrm>
                                        <a:off x="0" y="0"/>
                                        <a:ext cx="73257" cy="68357"/>
                                      </a:xfrm>
                                      <a:prstGeom prst="rect">
                                        <a:avLst/>
                                      </a:prstGeom>
                                    </pic:spPr>
                                  </pic:pic>
                                </a:graphicData>
                              </a:graphic>
                            </wp:inline>
                          </w:drawing>
                        </w:r>
                      </w:p>
                      <w:p>
                        <w:pPr>
                          <w:spacing w:line="295" w:lineRule="exact"/>
                          <w:ind w:left="1724"/>
                          <w:rPr>
                            <w:rFonts w:ascii="微软雅黑" w:hAnsi="微软雅黑" w:eastAsia="微软雅黑" w:cs="微软雅黑"/>
                            <w:sz w:val="16"/>
                            <w:szCs w:val="16"/>
                          </w:rPr>
                        </w:pPr>
                        <w:r>
                          <w:rPr>
                            <w:rFonts w:ascii="微软雅黑" w:hAnsi="微软雅黑" w:eastAsia="微软雅黑" w:cs="微软雅黑"/>
                            <w:color w:val="030303"/>
                            <w:spacing w:val="7"/>
                            <w:position w:val="3"/>
                            <w:sz w:val="17"/>
                            <w:szCs w:val="17"/>
                          </w:rPr>
                          <w:t>5</w:t>
                        </w:r>
                        <w:r>
                          <w:rPr>
                            <w:rFonts w:ascii="微软雅黑" w:hAnsi="微软雅黑" w:eastAsia="微软雅黑" w:cs="微软雅黑"/>
                            <w:color w:val="030303"/>
                            <w:spacing w:val="6"/>
                            <w:position w:val="3"/>
                            <w:sz w:val="17"/>
                            <w:szCs w:val="17"/>
                          </w:rPr>
                          <w:t>.7</w:t>
                        </w:r>
                        <w:r>
                          <w:rPr>
                            <w:rFonts w:ascii="微软雅黑" w:hAnsi="微软雅黑" w:eastAsia="微软雅黑" w:cs="微软雅黑"/>
                            <w:color w:val="231F20"/>
                            <w:spacing w:val="6"/>
                            <w:position w:val="3"/>
                            <w:sz w:val="16"/>
                            <w:szCs w:val="16"/>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39" w:hRule="atLeast"/>
                    </w:trPr>
                    <w:tc>
                      <w:tcPr>
                        <w:tcW w:w="2749" w:type="dxa"/>
                        <w:tcBorders>
                          <w:top w:val="dashed" w:color="CEE6ED" w:sz="2" w:space="0"/>
                          <w:bottom w:val="dashed" w:color="CEE6ED" w:sz="2" w:space="0"/>
                        </w:tcBorders>
                        <w:vAlign w:val="top"/>
                      </w:tcPr>
                      <w:p>
                        <w:pPr>
                          <w:spacing w:line="238" w:lineRule="exact"/>
                          <w:rPr>
                            <w:rFonts w:ascii="Arial"/>
                            <w:sz w:val="20"/>
                          </w:rPr>
                        </w:pPr>
                      </w:p>
                    </w:tc>
                    <w:tc>
                      <w:tcPr>
                        <w:tcW w:w="4017" w:type="dxa"/>
                        <w:vMerge w:val="continue"/>
                        <w:tcBorders>
                          <w:top w:val="nil"/>
                          <w:bottom w:val="nil"/>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39" w:hRule="atLeast"/>
                    </w:trPr>
                    <w:tc>
                      <w:tcPr>
                        <w:tcW w:w="2749" w:type="dxa"/>
                        <w:tcBorders>
                          <w:top w:val="dashed" w:color="CEE6ED" w:sz="2" w:space="0"/>
                          <w:bottom w:val="dashed" w:color="CEE6ED" w:sz="2" w:space="0"/>
                        </w:tcBorders>
                        <w:vAlign w:val="top"/>
                      </w:tcPr>
                      <w:p>
                        <w:pPr>
                          <w:spacing w:line="238" w:lineRule="exact"/>
                          <w:rPr>
                            <w:rFonts w:ascii="Arial"/>
                            <w:sz w:val="20"/>
                          </w:rPr>
                        </w:pPr>
                      </w:p>
                    </w:tc>
                    <w:tc>
                      <w:tcPr>
                        <w:tcW w:w="4017" w:type="dxa"/>
                        <w:vMerge w:val="continue"/>
                        <w:tcBorders>
                          <w:top w:val="nil"/>
                          <w:bottom w:val="nil"/>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39" w:hRule="atLeast"/>
                    </w:trPr>
                    <w:tc>
                      <w:tcPr>
                        <w:tcW w:w="2749" w:type="dxa"/>
                        <w:tcBorders>
                          <w:top w:val="dashed" w:color="CEE6ED" w:sz="2" w:space="0"/>
                          <w:bottom w:val="dashed" w:color="CEE6ED" w:sz="2" w:space="0"/>
                        </w:tcBorders>
                        <w:vAlign w:val="top"/>
                      </w:tcPr>
                      <w:p>
                        <w:pPr>
                          <w:spacing w:line="238" w:lineRule="exact"/>
                          <w:rPr>
                            <w:rFonts w:ascii="Arial"/>
                            <w:sz w:val="20"/>
                          </w:rPr>
                        </w:pPr>
                      </w:p>
                    </w:tc>
                    <w:tc>
                      <w:tcPr>
                        <w:tcW w:w="4017" w:type="dxa"/>
                        <w:vMerge w:val="continue"/>
                        <w:tcBorders>
                          <w:top w:val="nil"/>
                          <w:bottom w:val="nil"/>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39" w:hRule="atLeast"/>
                    </w:trPr>
                    <w:tc>
                      <w:tcPr>
                        <w:tcW w:w="2749" w:type="dxa"/>
                        <w:tcBorders>
                          <w:top w:val="dashed" w:color="CEE6ED" w:sz="2" w:space="0"/>
                          <w:bottom w:val="dashed" w:color="CEE6ED" w:sz="2" w:space="0"/>
                        </w:tcBorders>
                        <w:vAlign w:val="top"/>
                      </w:tcPr>
                      <w:p>
                        <w:pPr>
                          <w:spacing w:line="238" w:lineRule="exact"/>
                          <w:rPr>
                            <w:rFonts w:ascii="Arial"/>
                            <w:sz w:val="20"/>
                          </w:rPr>
                        </w:pPr>
                      </w:p>
                    </w:tc>
                    <w:tc>
                      <w:tcPr>
                        <w:tcW w:w="4017" w:type="dxa"/>
                        <w:vMerge w:val="continue"/>
                        <w:tcBorders>
                          <w:top w:val="nil"/>
                          <w:bottom w:val="nil"/>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20" w:hRule="atLeast"/>
                    </w:trPr>
                    <w:tc>
                      <w:tcPr>
                        <w:tcW w:w="2749" w:type="dxa"/>
                        <w:tcBorders>
                          <w:top w:val="dashed" w:color="CEE6ED" w:sz="2" w:space="0"/>
                          <w:bottom w:val="single" w:color="231F20" w:sz="2" w:space="0"/>
                        </w:tcBorders>
                        <w:vAlign w:val="top"/>
                      </w:tcPr>
                      <w:p>
                        <w:pPr>
                          <w:rPr>
                            <w:rFonts w:ascii="Arial"/>
                            <w:sz w:val="21"/>
                          </w:rPr>
                        </w:pPr>
                      </w:p>
                    </w:tc>
                    <w:tc>
                      <w:tcPr>
                        <w:tcW w:w="4017" w:type="dxa"/>
                        <w:vMerge w:val="continue"/>
                        <w:tcBorders>
                          <w:top w:val="nil"/>
                          <w:bottom w:val="single" w:color="231F20" w:sz="2" w:space="0"/>
                        </w:tcBorders>
                        <w:vAlign w:val="top"/>
                      </w:tcPr>
                      <w:p>
                        <w:pPr>
                          <w:rPr>
                            <w:rFonts w:ascii="Arial"/>
                            <w:sz w:val="21"/>
                          </w:rPr>
                        </w:pPr>
                      </w:p>
                    </w:tc>
                  </w:tr>
                </w:tbl>
                <w:p>
                  <w:pPr>
                    <w:rPr>
                      <w:rFonts w:ascii="Arial"/>
                      <w:sz w:val="21"/>
                    </w:rPr>
                  </w:pPr>
                </w:p>
              </w:txbxContent>
            </v:textbox>
          </v:shape>
        </w:pict>
      </w:r>
      <w:r>
        <w:rPr>
          <w:rFonts w:ascii="Calibri" w:hAnsi="Calibri" w:eastAsia="Calibri" w:cs="Calibri"/>
          <w:color w:val="030303"/>
          <w:spacing w:val="-4"/>
          <w:position w:val="8"/>
          <w:sz w:val="17"/>
          <w:szCs w:val="17"/>
        </w:rPr>
        <w:t>1</w:t>
      </w:r>
      <w:r>
        <w:rPr>
          <w:rFonts w:ascii="Calibri" w:hAnsi="Calibri" w:eastAsia="Calibri" w:cs="Calibri"/>
          <w:color w:val="030303"/>
          <w:spacing w:val="-2"/>
          <w:position w:val="8"/>
          <w:sz w:val="17"/>
          <w:szCs w:val="17"/>
        </w:rPr>
        <w:t>0</w:t>
      </w:r>
      <w:r>
        <w:rPr>
          <w:rFonts w:ascii="Calibri" w:hAnsi="Calibri" w:eastAsia="Calibri" w:cs="Calibri"/>
          <w:strike/>
          <w:color w:val="030303"/>
          <w:position w:val="8"/>
          <w:sz w:val="17"/>
          <w:szCs w:val="17"/>
        </w:rPr>
        <w:t xml:space="preserve"> </w:t>
      </w:r>
    </w:p>
    <w:p>
      <w:pPr>
        <w:spacing w:before="1" w:line="185" w:lineRule="auto"/>
        <w:ind w:left="2806"/>
        <w:rPr>
          <w:rFonts w:ascii="Calibri" w:hAnsi="Calibri" w:eastAsia="Calibri" w:cs="Calibri"/>
          <w:sz w:val="17"/>
          <w:szCs w:val="17"/>
        </w:rPr>
      </w:pPr>
      <w:r>
        <w:rPr>
          <w:rFonts w:ascii="Calibri" w:hAnsi="Calibri" w:eastAsia="Calibri" w:cs="Calibri"/>
          <w:color w:val="030303"/>
          <w:spacing w:val="-3"/>
          <w:sz w:val="17"/>
          <w:szCs w:val="17"/>
        </w:rPr>
        <w:t>9</w:t>
      </w:r>
      <w:r>
        <w:rPr>
          <w:rFonts w:ascii="Calibri" w:hAnsi="Calibri" w:eastAsia="Calibri" w:cs="Calibri"/>
          <w:strike/>
          <w:color w:val="030303"/>
          <w:sz w:val="17"/>
          <w:szCs w:val="17"/>
        </w:rPr>
        <w:t xml:space="preserve"> </w:t>
      </w:r>
    </w:p>
    <w:p>
      <w:pPr>
        <w:spacing w:before="84" w:line="186" w:lineRule="auto"/>
        <w:ind w:left="2806"/>
        <w:rPr>
          <w:rFonts w:ascii="Calibri" w:hAnsi="Calibri" w:eastAsia="Calibri" w:cs="Calibri"/>
          <w:sz w:val="17"/>
          <w:szCs w:val="17"/>
        </w:rPr>
      </w:pPr>
      <w:r>
        <w:rPr>
          <w:rFonts w:ascii="Calibri" w:hAnsi="Calibri" w:eastAsia="Calibri" w:cs="Calibri"/>
          <w:color w:val="030303"/>
          <w:spacing w:val="-3"/>
          <w:sz w:val="17"/>
          <w:szCs w:val="17"/>
        </w:rPr>
        <w:t>8</w:t>
      </w:r>
      <w:r>
        <w:rPr>
          <w:rFonts w:ascii="Calibri" w:hAnsi="Calibri" w:eastAsia="Calibri" w:cs="Calibri"/>
          <w:strike/>
          <w:color w:val="030303"/>
          <w:sz w:val="17"/>
          <w:szCs w:val="17"/>
        </w:rPr>
        <w:t xml:space="preserve"> </w:t>
      </w:r>
    </w:p>
    <w:p>
      <w:pPr>
        <w:spacing w:before="86" w:line="184" w:lineRule="auto"/>
        <w:ind w:left="2808"/>
        <w:rPr>
          <w:rFonts w:ascii="Calibri" w:hAnsi="Calibri" w:eastAsia="Calibri" w:cs="Calibri"/>
          <w:sz w:val="17"/>
          <w:szCs w:val="17"/>
        </w:rPr>
      </w:pPr>
      <w:r>
        <w:rPr>
          <w:rFonts w:ascii="Calibri" w:hAnsi="Calibri" w:eastAsia="Calibri" w:cs="Calibri"/>
          <w:color w:val="030303"/>
          <w:spacing w:val="-4"/>
          <w:sz w:val="17"/>
          <w:szCs w:val="17"/>
        </w:rPr>
        <w:t>7</w:t>
      </w:r>
      <w:r>
        <w:rPr>
          <w:rFonts w:ascii="Calibri" w:hAnsi="Calibri" w:eastAsia="Calibri" w:cs="Calibri"/>
          <w:strike/>
          <w:color w:val="030303"/>
          <w:sz w:val="17"/>
          <w:szCs w:val="17"/>
        </w:rPr>
        <w:t xml:space="preserve"> </w:t>
      </w:r>
    </w:p>
    <w:p>
      <w:pPr>
        <w:spacing w:before="84" w:line="186" w:lineRule="auto"/>
        <w:ind w:left="2808"/>
        <w:rPr>
          <w:rFonts w:ascii="Calibri" w:hAnsi="Calibri" w:eastAsia="Calibri" w:cs="Calibri"/>
          <w:sz w:val="17"/>
          <w:szCs w:val="17"/>
        </w:rPr>
      </w:pPr>
      <w:r>
        <w:rPr>
          <w:rFonts w:ascii="Calibri" w:hAnsi="Calibri" w:eastAsia="Calibri" w:cs="Calibri"/>
          <w:color w:val="030303"/>
          <w:spacing w:val="-5"/>
          <w:sz w:val="17"/>
          <w:szCs w:val="17"/>
        </w:rPr>
        <w:t>6</w:t>
      </w:r>
      <w:r>
        <w:rPr>
          <w:rFonts w:ascii="Calibri" w:hAnsi="Calibri" w:eastAsia="Calibri" w:cs="Calibri"/>
          <w:strike/>
          <w:color w:val="030303"/>
          <w:sz w:val="17"/>
          <w:szCs w:val="17"/>
        </w:rPr>
        <w:t xml:space="preserve"> </w:t>
      </w:r>
    </w:p>
    <w:p>
      <w:pPr>
        <w:spacing w:before="85" w:line="184" w:lineRule="auto"/>
        <w:ind w:left="2808"/>
        <w:rPr>
          <w:rFonts w:ascii="Calibri" w:hAnsi="Calibri" w:eastAsia="Calibri" w:cs="Calibri"/>
          <w:sz w:val="17"/>
          <w:szCs w:val="17"/>
        </w:rPr>
      </w:pPr>
      <w:r>
        <w:rPr>
          <w:rFonts w:ascii="Calibri" w:hAnsi="Calibri" w:eastAsia="Calibri" w:cs="Calibri"/>
          <w:color w:val="030303"/>
          <w:spacing w:val="-4"/>
          <w:sz w:val="17"/>
          <w:szCs w:val="17"/>
        </w:rPr>
        <w:t>5</w:t>
      </w:r>
      <w:r>
        <w:rPr>
          <w:rFonts w:ascii="Calibri" w:hAnsi="Calibri" w:eastAsia="Calibri" w:cs="Calibri"/>
          <w:strike/>
          <w:color w:val="030303"/>
          <w:sz w:val="17"/>
          <w:szCs w:val="17"/>
        </w:rPr>
        <w:t xml:space="preserve"> </w:t>
      </w:r>
    </w:p>
    <w:p>
      <w:pPr>
        <w:spacing w:before="86" w:line="185" w:lineRule="auto"/>
        <w:ind w:left="2803"/>
        <w:rPr>
          <w:rFonts w:ascii="Calibri" w:hAnsi="Calibri" w:eastAsia="Calibri" w:cs="Calibri"/>
          <w:sz w:val="17"/>
          <w:szCs w:val="17"/>
        </w:rPr>
      </w:pPr>
      <w:r>
        <w:rPr>
          <w:rFonts w:ascii="Calibri" w:hAnsi="Calibri" w:eastAsia="Calibri" w:cs="Calibri"/>
          <w:color w:val="030303"/>
          <w:sz w:val="17"/>
          <w:szCs w:val="17"/>
        </w:rPr>
        <w:t>4</w:t>
      </w:r>
      <w:r>
        <w:rPr>
          <w:rFonts w:ascii="Calibri" w:hAnsi="Calibri" w:eastAsia="Calibri" w:cs="Calibri"/>
          <w:strike/>
          <w:color w:val="030303"/>
          <w:sz w:val="17"/>
          <w:szCs w:val="17"/>
        </w:rPr>
        <w:t xml:space="preserve"> </w:t>
      </w:r>
    </w:p>
    <w:p>
      <w:pPr>
        <w:spacing w:before="84" w:line="186" w:lineRule="auto"/>
        <w:ind w:left="2808"/>
        <w:rPr>
          <w:rFonts w:ascii="Calibri" w:hAnsi="Calibri" w:eastAsia="Calibri" w:cs="Calibri"/>
          <w:sz w:val="17"/>
          <w:szCs w:val="17"/>
        </w:rPr>
      </w:pPr>
      <w:r>
        <w:rPr>
          <w:rFonts w:ascii="Calibri" w:hAnsi="Calibri" w:eastAsia="Calibri" w:cs="Calibri"/>
          <w:color w:val="030303"/>
          <w:spacing w:val="-4"/>
          <w:sz w:val="17"/>
          <w:szCs w:val="17"/>
        </w:rPr>
        <w:t>3</w:t>
      </w:r>
      <w:r>
        <w:rPr>
          <w:rFonts w:ascii="Calibri" w:hAnsi="Calibri" w:eastAsia="Calibri" w:cs="Calibri"/>
          <w:strike/>
          <w:color w:val="030303"/>
          <w:sz w:val="17"/>
          <w:szCs w:val="17"/>
        </w:rPr>
        <w:t xml:space="preserve"> </w:t>
      </w:r>
    </w:p>
    <w:p>
      <w:pPr>
        <w:spacing w:before="84" w:line="186" w:lineRule="auto"/>
        <w:ind w:left="2809"/>
        <w:rPr>
          <w:rFonts w:ascii="Calibri" w:hAnsi="Calibri" w:eastAsia="Calibri" w:cs="Calibri"/>
          <w:sz w:val="17"/>
          <w:szCs w:val="17"/>
        </w:rPr>
      </w:pPr>
      <w:r>
        <w:rPr>
          <w:rFonts w:ascii="Calibri" w:hAnsi="Calibri" w:eastAsia="Calibri" w:cs="Calibri"/>
          <w:color w:val="030303"/>
          <w:spacing w:val="-6"/>
          <w:sz w:val="17"/>
          <w:szCs w:val="17"/>
        </w:rPr>
        <w:t>2</w:t>
      </w:r>
      <w:r>
        <w:rPr>
          <w:rFonts w:ascii="Calibri" w:hAnsi="Calibri" w:eastAsia="Calibri" w:cs="Calibri"/>
          <w:strike/>
          <w:color w:val="030303"/>
          <w:sz w:val="17"/>
          <w:szCs w:val="17"/>
        </w:rPr>
        <w:t xml:space="preserve"> </w:t>
      </w:r>
    </w:p>
    <w:p>
      <w:pPr>
        <w:spacing w:before="85" w:line="185" w:lineRule="auto"/>
        <w:ind w:left="2814"/>
        <w:rPr>
          <w:rFonts w:ascii="Calibri" w:hAnsi="Calibri" w:eastAsia="Calibri" w:cs="Calibri"/>
          <w:sz w:val="17"/>
          <w:szCs w:val="17"/>
        </w:rPr>
      </w:pPr>
      <w:r>
        <w:rPr>
          <w:rFonts w:ascii="Calibri" w:hAnsi="Calibri" w:eastAsia="Calibri" w:cs="Calibri"/>
          <w:color w:val="030303"/>
          <w:spacing w:val="-11"/>
          <w:sz w:val="17"/>
          <w:szCs w:val="17"/>
        </w:rPr>
        <w:t>1</w:t>
      </w:r>
      <w:r>
        <w:rPr>
          <w:rFonts w:ascii="Calibri" w:hAnsi="Calibri" w:eastAsia="Calibri" w:cs="Calibri"/>
          <w:strike/>
          <w:color w:val="030303"/>
          <w:sz w:val="17"/>
          <w:szCs w:val="17"/>
        </w:rPr>
        <w:t xml:space="preserve"> </w:t>
      </w:r>
    </w:p>
    <w:p>
      <w:pPr>
        <w:spacing w:before="84" w:line="186" w:lineRule="auto"/>
        <w:ind w:left="2805"/>
        <w:rPr>
          <w:rFonts w:ascii="Calibri" w:hAnsi="Calibri" w:eastAsia="Calibri" w:cs="Calibri"/>
          <w:sz w:val="17"/>
          <w:szCs w:val="17"/>
        </w:rPr>
      </w:pPr>
      <w:r>
        <w:rPr>
          <w:rFonts w:ascii="Calibri" w:hAnsi="Calibri" w:eastAsia="Calibri" w:cs="Calibri"/>
          <w:color w:val="030303"/>
          <w:sz w:val="17"/>
          <w:szCs w:val="17"/>
        </w:rPr>
        <w:t>0</w:t>
      </w:r>
    </w:p>
    <w:p>
      <w:pPr>
        <w:spacing w:before="65" w:line="186" w:lineRule="auto"/>
        <w:ind w:left="3479"/>
        <w:rPr>
          <w:rFonts w:ascii="Calibri" w:hAnsi="Calibri" w:eastAsia="Calibri" w:cs="Calibri"/>
          <w:sz w:val="17"/>
          <w:szCs w:val="17"/>
        </w:rPr>
      </w:pPr>
      <w:r>
        <w:rPr>
          <w:rFonts w:ascii="Calibri" w:hAnsi="Calibri" w:eastAsia="Calibri" w:cs="Calibri"/>
          <w:color w:val="030303"/>
          <w:spacing w:val="1"/>
          <w:sz w:val="17"/>
          <w:szCs w:val="17"/>
        </w:rPr>
        <w:t xml:space="preserve">2016                        2017                        2018                        2019   </w:t>
      </w:r>
      <w:r>
        <w:rPr>
          <w:rFonts w:ascii="Calibri" w:hAnsi="Calibri" w:eastAsia="Calibri" w:cs="Calibri"/>
          <w:color w:val="030303"/>
          <w:sz w:val="17"/>
          <w:szCs w:val="17"/>
        </w:rPr>
        <w:t xml:space="preserve">                     2020</w:t>
      </w:r>
    </w:p>
    <w:p>
      <w:pPr>
        <w:spacing w:before="262" w:line="275" w:lineRule="exact"/>
        <w:ind w:left="4436"/>
        <w:rPr>
          <w:rFonts w:ascii="宋体" w:hAnsi="宋体" w:eastAsia="宋体" w:cs="宋体"/>
          <w:sz w:val="17"/>
          <w:szCs w:val="17"/>
        </w:rPr>
      </w:pPr>
      <w:r>
        <w:rPr>
          <w:rFonts w:ascii="宋体" w:hAnsi="宋体" w:eastAsia="宋体" w:cs="宋体"/>
          <w:color w:val="030303"/>
          <w:spacing w:val="18"/>
          <w:position w:val="7"/>
          <w:sz w:val="17"/>
          <w:szCs w:val="17"/>
        </w:rPr>
        <w:t>全</w:t>
      </w:r>
      <w:r>
        <w:rPr>
          <w:rFonts w:ascii="宋体" w:hAnsi="宋体" w:eastAsia="宋体" w:cs="宋体"/>
          <w:color w:val="030303"/>
          <w:spacing w:val="9"/>
          <w:position w:val="7"/>
          <w:sz w:val="17"/>
          <w:szCs w:val="17"/>
        </w:rPr>
        <w:t>国化学原料和化学制品制造业企业营收利润率</w:t>
      </w:r>
    </w:p>
    <w:p>
      <w:pPr>
        <w:spacing w:line="230" w:lineRule="auto"/>
        <w:ind w:left="4439"/>
        <w:rPr>
          <w:rFonts w:ascii="宋体" w:hAnsi="宋体" w:eastAsia="宋体" w:cs="宋体"/>
          <w:sz w:val="17"/>
          <w:szCs w:val="17"/>
        </w:rPr>
      </w:pPr>
      <w:r>
        <w:rPr>
          <w:rFonts w:ascii="宋体" w:hAnsi="宋体" w:eastAsia="宋体" w:cs="宋体"/>
          <w:color w:val="030303"/>
          <w:spacing w:val="14"/>
          <w:sz w:val="17"/>
          <w:szCs w:val="17"/>
        </w:rPr>
        <w:t>外</w:t>
      </w:r>
      <w:r>
        <w:rPr>
          <w:rFonts w:ascii="宋体" w:hAnsi="宋体" w:eastAsia="宋体" w:cs="宋体"/>
          <w:color w:val="030303"/>
          <w:spacing w:val="9"/>
          <w:sz w:val="17"/>
          <w:szCs w:val="17"/>
        </w:rPr>
        <w:t>资化学原料和化学制品制造业企业营收利润率</w:t>
      </w:r>
    </w:p>
    <w:p>
      <w:pPr>
        <w:spacing w:before="240" w:line="382" w:lineRule="exact"/>
        <w:ind w:left="2681"/>
        <w:rPr>
          <w:rFonts w:ascii="SimHei" w:hAnsi="SimHei" w:eastAsia="SimHei" w:cs="SimHei"/>
          <w:sz w:val="20"/>
          <w:szCs w:val="20"/>
        </w:rPr>
      </w:pPr>
      <w:r>
        <w:rPr>
          <w:rFonts w:ascii="SimHei" w:hAnsi="SimHei" w:eastAsia="SimHei" w:cs="SimHei"/>
          <w:color w:val="231F20"/>
          <w:spacing w:val="6"/>
          <w:position w:val="13"/>
          <w:sz w:val="20"/>
          <w:szCs w:val="20"/>
        </w:rPr>
        <w:t>图</w:t>
      </w:r>
      <w:r>
        <w:rPr>
          <w:rFonts w:ascii="SimHei" w:hAnsi="SimHei" w:eastAsia="SimHei" w:cs="SimHei"/>
          <w:color w:val="231F20"/>
          <w:spacing w:val="4"/>
          <w:position w:val="13"/>
          <w:sz w:val="20"/>
          <w:szCs w:val="20"/>
        </w:rPr>
        <w:t xml:space="preserve"> </w:t>
      </w:r>
      <w:r>
        <w:rPr>
          <w:rFonts w:ascii="Times New Roman" w:hAnsi="Times New Roman" w:eastAsia="Times New Roman" w:cs="Times New Roman"/>
          <w:color w:val="231F20"/>
          <w:spacing w:val="4"/>
          <w:position w:val="13"/>
          <w:sz w:val="20"/>
          <w:szCs w:val="20"/>
        </w:rPr>
        <w:t xml:space="preserve">2-7 2016-2020 </w:t>
      </w:r>
      <w:r>
        <w:rPr>
          <w:rFonts w:ascii="SimHei" w:hAnsi="SimHei" w:eastAsia="SimHei" w:cs="SimHei"/>
          <w:color w:val="231F20"/>
          <w:spacing w:val="4"/>
          <w:position w:val="13"/>
          <w:sz w:val="20"/>
          <w:szCs w:val="20"/>
        </w:rPr>
        <w:t>年规模以上化学原料与化学制品制造业企业营收利润率情况</w:t>
      </w:r>
    </w:p>
    <w:p>
      <w:pPr>
        <w:spacing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ectPr>
          <w:headerReference r:id="rId11" w:type="default"/>
          <w:pgSz w:w="12246" w:h="16498"/>
          <w:pgMar w:top="400" w:right="0" w:bottom="400" w:left="0" w:header="0" w:footer="0" w:gutter="0"/>
          <w:cols w:space="720" w:num="1"/>
        </w:sectPr>
      </w:pPr>
    </w:p>
    <w:p>
      <w:pPr>
        <w:spacing w:line="357" w:lineRule="auto"/>
        <w:rPr>
          <w:rFonts w:ascii="Arial"/>
          <w:sz w:val="21"/>
        </w:rPr>
      </w:pPr>
      <w:r>
        <w:pict>
          <v:rect id="_x0000_s1306" o:spid="_x0000_s1306" o:spt="1" style="position:absolute;left:0pt;margin-left:153.45pt;margin-top:264.3pt;height:132.85pt;width:0.3pt;mso-position-horizontal-relative:page;mso-position-vertical-relative:page;z-index:251959296;mso-width-relative:page;mso-height-relative:page;" fillcolor="#231F20" filled="t" stroked="f" coordsize="21600,21600" o:allowincell="f">
            <v:path/>
            <v:fill on="t" focussize="0,0"/>
            <v:stroke on="f"/>
            <v:imagedata o:title=""/>
            <o:lock v:ext="edit"/>
          </v:rect>
        </w:pict>
      </w:r>
      <w:r>
        <w:pict>
          <v:rect id="_x0000_s1307" o:spid="_x0000_s1307" o:spt="1" style="position:absolute;left:0pt;margin-left:155.4pt;margin-top:304.1pt;height:0.75pt;width:310.35pt;mso-position-horizontal-relative:page;mso-position-vertical-relative:page;z-index:251961344;mso-width-relative:page;mso-height-relative:page;" fillcolor="#CEE6ED" filled="t" stroked="f" coordsize="21600,21600" o:allowincell="f">
            <v:path/>
            <v:fill on="t" focussize="0,0"/>
            <v:stroke on="f"/>
            <v:imagedata o:title=""/>
            <o:lock v:ext="edit"/>
          </v:rect>
        </w:pict>
      </w:r>
      <w:r>
        <w:pict>
          <v:rect id="_x0000_s1308" o:spid="_x0000_s1308" o:spt="1" style="position:absolute;left:0pt;margin-left:155.4pt;margin-top:286.15pt;height:0.75pt;width:310.35pt;mso-position-horizontal-relative:page;mso-position-vertical-relative:page;z-index:251962368;mso-width-relative:page;mso-height-relative:page;" fillcolor="#CEE6ED" filled="t" stroked="f" coordsize="21600,21600" o:allowincell="f">
            <v:path/>
            <v:fill on="t" focussize="0,0"/>
            <v:stroke on="f"/>
            <v:imagedata o:title=""/>
            <o:lock v:ext="edit"/>
          </v:rect>
        </w:pict>
      </w:r>
      <w:r>
        <w:pict>
          <v:rect id="_x0000_s1309" o:spid="_x0000_s1309" o:spt="1" style="position:absolute;left:0pt;margin-left:155.4pt;margin-top:268.15pt;height:0.75pt;width:310.35pt;mso-position-horizontal-relative:page;mso-position-vertical-relative:page;z-index:251963392;mso-width-relative:page;mso-height-relative:page;" fillcolor="#CEE6ED" filled="t" stroked="f" coordsize="21600,21600" o:allowincell="f">
            <v:path/>
            <v:fill on="t" focussize="0,0"/>
            <v:stroke on="f"/>
            <v:imagedata o:title=""/>
            <o:lock v:ext="edit"/>
          </v:rect>
        </w:pict>
      </w:r>
      <w:r>
        <w:drawing>
          <wp:anchor distT="0" distB="0" distL="0" distR="0" simplePos="0" relativeHeight="251960320" behindDoc="0" locked="0" layoutInCell="0" allowOverlap="1">
            <wp:simplePos x="0" y="0"/>
            <wp:positionH relativeFrom="page">
              <wp:posOffset>1927225</wp:posOffset>
            </wp:positionH>
            <wp:positionV relativeFrom="page">
              <wp:posOffset>4995545</wp:posOffset>
            </wp:positionV>
            <wp:extent cx="4057015" cy="12065"/>
            <wp:effectExtent l="0" t="0" r="0" b="0"/>
            <wp:wrapNone/>
            <wp:docPr id="247" name="IM 247"/>
            <wp:cNvGraphicFramePr/>
            <a:graphic xmlns:a="http://schemas.openxmlformats.org/drawingml/2006/main">
              <a:graphicData uri="http://schemas.openxmlformats.org/drawingml/2006/picture">
                <pic:pic xmlns:pic="http://schemas.openxmlformats.org/drawingml/2006/picture">
                  <pic:nvPicPr>
                    <pic:cNvPr id="247" name="IM 247"/>
                    <pic:cNvPicPr/>
                  </pic:nvPicPr>
                  <pic:blipFill>
                    <a:blip r:embed="rId115"/>
                    <a:stretch>
                      <a:fillRect/>
                    </a:stretch>
                  </pic:blipFill>
                  <pic:spPr>
                    <a:xfrm>
                      <a:off x="0" y="0"/>
                      <a:ext cx="4057205" cy="12017"/>
                    </a:xfrm>
                    <a:prstGeom prst="rect">
                      <a:avLst/>
                    </a:prstGeom>
                  </pic:spPr>
                </pic:pic>
              </a:graphicData>
            </a:graphic>
          </wp:anchor>
        </w:drawing>
      </w:r>
      <w:r>
        <w:drawing>
          <wp:anchor distT="0" distB="0" distL="0" distR="0" simplePos="0" relativeHeight="25195724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40"/>
                    <a:stretch>
                      <a:fillRect/>
                    </a:stretch>
                  </pic:blipFill>
                  <pic:spPr>
                    <a:xfrm>
                      <a:off x="0" y="0"/>
                      <a:ext cx="7775994" cy="422998"/>
                    </a:xfrm>
                    <a:prstGeom prst="rect">
                      <a:avLst/>
                    </a:prstGeom>
                  </pic:spPr>
                </pic:pic>
              </a:graphicData>
            </a:graphic>
          </wp:anchor>
        </w:drawing>
      </w:r>
      <w:r>
        <w:pict>
          <v:shape id="_x0000_s1310" o:spid="_x0000_s1310" o:spt="202" type="#_x0000_t202" style="position:absolute;left:0pt;margin-left:135.4pt;margin-top:318.7pt;height:63.95pt;width:19.1pt;mso-position-horizontal-relative:page;mso-position-vertical-relative:page;z-index:251958272;mso-width-relative:page;mso-height-relative:page;" filled="f" stroked="f" coordsize="21600,21600" o:allowincell="f">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2"/>
                      <w:sz w:val="17"/>
                      <w:szCs w:val="17"/>
                    </w:rPr>
                    <w:t>2</w:t>
                  </w:r>
                  <w:r>
                    <w:rPr>
                      <w:rFonts w:ascii="Calibri" w:hAnsi="Calibri" w:eastAsia="Calibri" w:cs="Calibri"/>
                      <w:color w:val="030303"/>
                      <w:spacing w:val="1"/>
                      <w:sz w:val="17"/>
                      <w:szCs w:val="17"/>
                    </w:rPr>
                    <w:t>00</w:t>
                  </w:r>
                  <w:r>
                    <w:rPr>
                      <w:rFonts w:ascii="Calibri" w:hAnsi="Calibri" w:eastAsia="Calibri" w:cs="Calibri"/>
                      <w:strike/>
                      <w:color w:val="030303"/>
                      <w:sz w:val="17"/>
                      <w:szCs w:val="17"/>
                    </w:rPr>
                    <w:t xml:space="preserve">  </w:t>
                  </w:r>
                </w:p>
                <w:p>
                  <w:pPr>
                    <w:spacing w:before="198" w:line="186" w:lineRule="auto"/>
                    <w:ind w:left="25"/>
                    <w:rPr>
                      <w:rFonts w:ascii="Calibri" w:hAnsi="Calibri" w:eastAsia="Calibri" w:cs="Calibri"/>
                      <w:sz w:val="17"/>
                      <w:szCs w:val="17"/>
                    </w:rPr>
                  </w:pPr>
                  <w:r>
                    <w:rPr>
                      <w:rFonts w:ascii="Calibri" w:hAnsi="Calibri" w:eastAsia="Calibri" w:cs="Calibri"/>
                      <w:color w:val="030303"/>
                      <w:spacing w:val="-1"/>
                      <w:sz w:val="17"/>
                      <w:szCs w:val="17"/>
                    </w:rPr>
                    <w:t>1</w:t>
                  </w:r>
                  <w:r>
                    <w:rPr>
                      <w:rFonts w:ascii="Calibri" w:hAnsi="Calibri" w:eastAsia="Calibri" w:cs="Calibri"/>
                      <w:color w:val="030303"/>
                      <w:sz w:val="17"/>
                      <w:szCs w:val="17"/>
                    </w:rPr>
                    <w:t>50</w:t>
                  </w:r>
                  <w:r>
                    <w:rPr>
                      <w:rFonts w:ascii="Calibri" w:hAnsi="Calibri" w:eastAsia="Calibri" w:cs="Calibri"/>
                      <w:strike/>
                      <w:color w:val="030303"/>
                      <w:sz w:val="17"/>
                      <w:szCs w:val="17"/>
                    </w:rPr>
                    <w:t xml:space="preserve">  </w:t>
                  </w:r>
                </w:p>
                <w:p>
                  <w:pPr>
                    <w:spacing w:before="198" w:line="186" w:lineRule="auto"/>
                    <w:ind w:left="25"/>
                    <w:rPr>
                      <w:rFonts w:ascii="Calibri" w:hAnsi="Calibri" w:eastAsia="Calibri" w:cs="Calibri"/>
                      <w:sz w:val="17"/>
                      <w:szCs w:val="17"/>
                    </w:rPr>
                  </w:pPr>
                  <w:r>
                    <w:rPr>
                      <w:rFonts w:ascii="Calibri" w:hAnsi="Calibri" w:eastAsia="Calibri" w:cs="Calibri"/>
                      <w:color w:val="030303"/>
                      <w:spacing w:val="-1"/>
                      <w:sz w:val="17"/>
                      <w:szCs w:val="17"/>
                    </w:rPr>
                    <w:t>1</w:t>
                  </w:r>
                  <w:r>
                    <w:rPr>
                      <w:rFonts w:ascii="Calibri" w:hAnsi="Calibri" w:eastAsia="Calibri" w:cs="Calibri"/>
                      <w:color w:val="030303"/>
                      <w:sz w:val="17"/>
                      <w:szCs w:val="17"/>
                    </w:rPr>
                    <w:t>00</w:t>
                  </w:r>
                  <w:r>
                    <w:rPr>
                      <w:rFonts w:ascii="Calibri" w:hAnsi="Calibri" w:eastAsia="Calibri" w:cs="Calibri"/>
                      <w:strike/>
                      <w:color w:val="030303"/>
                      <w:sz w:val="17"/>
                      <w:szCs w:val="17"/>
                    </w:rPr>
                    <w:t xml:space="preserve">  </w:t>
                  </w:r>
                </w:p>
                <w:p>
                  <w:pPr>
                    <w:spacing w:before="198" w:line="186" w:lineRule="auto"/>
                    <w:ind w:left="109"/>
                    <w:rPr>
                      <w:rFonts w:ascii="Calibri" w:hAnsi="Calibri" w:eastAsia="Calibri" w:cs="Calibri"/>
                      <w:sz w:val="17"/>
                      <w:szCs w:val="17"/>
                    </w:rPr>
                  </w:pPr>
                  <w:r>
                    <w:rPr>
                      <w:rFonts w:ascii="Calibri" w:hAnsi="Calibri" w:eastAsia="Calibri" w:cs="Calibri"/>
                      <w:color w:val="030303"/>
                      <w:sz w:val="17"/>
                      <w:szCs w:val="17"/>
                    </w:rPr>
                    <w:t>50</w:t>
                  </w:r>
                  <w:r>
                    <w:rPr>
                      <w:rFonts w:ascii="Calibri" w:hAnsi="Calibri" w:eastAsia="Calibri" w:cs="Calibri"/>
                      <w:strike/>
                      <w:color w:val="030303"/>
                      <w:sz w:val="17"/>
                      <w:szCs w:val="17"/>
                    </w:rPr>
                    <w:t xml:space="preserve">  </w:t>
                  </w:r>
                </w:p>
              </w:txbxContent>
            </v:textbox>
          </v:shape>
        </w:pict>
      </w:r>
      <w:r>
        <w:pict>
          <v:shape id="_x0000_s1311" o:spid="_x0000_s1311" o:spt="202" type="#_x0000_t202" style="position:absolute;left:0pt;margin-left:185.3pt;margin-top:337.1pt;height:12.85pt;width:24.8pt;mso-position-horizontal-relative:page;mso-position-vertical-relative:page;z-index:251966464;mso-width-relative:page;mso-height-relative:page;" filled="f" stroked="f" coordsize="21600,21600" o:allowincell="f">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3"/>
                      <w:position w:val="-1"/>
                      <w:sz w:val="17"/>
                      <w:szCs w:val="17"/>
                    </w:rPr>
                    <w:t>263.8</w:t>
                  </w:r>
                </w:p>
              </w:txbxContent>
            </v:textbox>
          </v:shape>
        </w:pict>
      </w:r>
      <w:r>
        <w:pict>
          <v:shape id="_x0000_s1312" o:spid="_x0000_s1312" o:spt="202" type="#_x0000_t202" style="position:absolute;left:0pt;margin-left:246.05pt;margin-top:335.95pt;height:12.9pt;width:24.8pt;mso-position-horizontal-relative:page;mso-position-vertical-relative:page;z-index:251965440;mso-width-relative:page;mso-height-relative:page;" filled="f" stroked="f" coordsize="21600,21600" o:allowincell="f">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3"/>
                      <w:position w:val="1"/>
                      <w:sz w:val="17"/>
                      <w:szCs w:val="17"/>
                    </w:rPr>
                    <w:t>284.1</w:t>
                  </w:r>
                </w:p>
              </w:txbxContent>
            </v:textbox>
          </v:shape>
        </w:pict>
      </w:r>
      <w:r>
        <w:pict>
          <v:shape id="_x0000_s1313" o:spid="_x0000_s1313" o:spt="202" type="#_x0000_t202" style="position:absolute;left:0pt;margin-left:353.4pt;margin-top:352.85pt;height:12.9pt;width:24.4pt;mso-position-horizontal-relative:page;mso-position-vertical-relative:page;z-index:251964416;mso-width-relative:page;mso-height-relative:page;" filled="f" stroked="f" coordsize="21600,21600" o:allowincell="f">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18</w:t>
                  </w:r>
                  <w:r>
                    <w:rPr>
                      <w:rFonts w:ascii="微软雅黑" w:hAnsi="微软雅黑" w:eastAsia="微软雅黑" w:cs="微软雅黑"/>
                      <w:color w:val="030303"/>
                      <w:spacing w:val="1"/>
                      <w:sz w:val="17"/>
                      <w:szCs w:val="17"/>
                    </w:rPr>
                    <w:t>8.0</w:t>
                  </w:r>
                </w:p>
              </w:txbxContent>
            </v:textbox>
          </v:shape>
        </w:pict>
      </w:r>
      <w:r>
        <w:pict>
          <v:shape id="_x0000_s1314" o:spid="_x0000_s1314" o:spt="202" type="#_x0000_t202" style="position:absolute;left:0pt;margin-left:414.5pt;margin-top:352.5pt;height:12.9pt;width:24.4pt;mso-position-horizontal-relative:page;mso-position-vertical-relative:page;z-index:251968512;mso-width-relative:page;mso-height-relative:page;" filled="f" stroked="f" coordsize="21600,21600" o:allowincell="f">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18</w:t>
                  </w:r>
                  <w:r>
                    <w:rPr>
                      <w:rFonts w:ascii="微软雅黑" w:hAnsi="微软雅黑" w:eastAsia="微软雅黑" w:cs="微软雅黑"/>
                      <w:color w:val="030303"/>
                      <w:spacing w:val="1"/>
                      <w:sz w:val="17"/>
                      <w:szCs w:val="17"/>
                    </w:rPr>
                    <w:t>7.7</w:t>
                  </w:r>
                </w:p>
              </w:txbxContent>
            </v:textbox>
          </v:shape>
        </w:pict>
      </w:r>
      <w:r>
        <w:pict>
          <v:shape id="_x0000_s1315" o:spid="_x0000_s1315" o:spt="202" type="#_x0000_t202" style="position:absolute;left:0pt;margin-left:227.9pt;margin-top:354pt;height:12.9pt;width:24.4pt;mso-position-horizontal-relative:page;mso-position-vertical-relative:page;z-index:251967488;mso-width-relative:page;mso-height-relative:page;" filled="f" stroked="f" coordsize="21600,21600" o:allowincell="f">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18</w:t>
                  </w:r>
                  <w:r>
                    <w:rPr>
                      <w:rFonts w:ascii="微软雅黑" w:hAnsi="微软雅黑" w:eastAsia="微软雅黑" w:cs="微软雅黑"/>
                      <w:color w:val="030303"/>
                      <w:spacing w:val="1"/>
                      <w:sz w:val="17"/>
                      <w:szCs w:val="17"/>
                    </w:rPr>
                    <w:t>8.6</w:t>
                  </w:r>
                </w:p>
              </w:txbxContent>
            </v:textbox>
          </v:shape>
        </w:pict>
      </w:r>
    </w:p>
    <w:p>
      <w:pPr>
        <w:spacing w:line="358" w:lineRule="auto"/>
        <w:rPr>
          <w:rFonts w:ascii="Arial"/>
          <w:sz w:val="21"/>
        </w:rPr>
      </w:pPr>
    </w:p>
    <w:p>
      <w:pPr>
        <w:spacing w:before="68" w:line="239" w:lineRule="auto"/>
        <w:ind w:left="1590"/>
        <w:rPr>
          <w:rFonts w:ascii="SimHei" w:hAnsi="SimHei" w:eastAsia="SimHei" w:cs="SimHei"/>
          <w:sz w:val="21"/>
          <w:szCs w:val="21"/>
        </w:rPr>
      </w:pPr>
      <w:bookmarkStart w:id="48" w:name="_bookmark115"/>
      <w:bookmarkEnd w:id="48"/>
      <w:r>
        <w:rPr>
          <w:rFonts w:ascii="Arial" w:hAnsi="Arial" w:eastAsia="Arial" w:cs="Arial"/>
          <w:color w:val="231F20"/>
          <w:spacing w:val="22"/>
          <w:sz w:val="20"/>
          <w:szCs w:val="20"/>
        </w:rPr>
        <w:t xml:space="preserve">48  </w:t>
      </w:r>
      <w:r>
        <w:rPr>
          <w:position w:val="-5"/>
          <w:sz w:val="20"/>
          <w:szCs w:val="20"/>
        </w:rPr>
        <w:drawing>
          <wp:inline distT="0" distB="0" distL="0" distR="0">
            <wp:extent cx="3175" cy="147320"/>
            <wp:effectExtent l="0" t="0" r="0" b="0"/>
            <wp:docPr id="249" name="IM 249"/>
            <wp:cNvGraphicFramePr/>
            <a:graphic xmlns:a="http://schemas.openxmlformats.org/drawingml/2006/main">
              <a:graphicData uri="http://schemas.openxmlformats.org/drawingml/2006/picture">
                <pic:pic xmlns:pic="http://schemas.openxmlformats.org/drawingml/2006/picture">
                  <pic:nvPicPr>
                    <pic:cNvPr id="249" name="IM 249"/>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2"/>
          <w:sz w:val="20"/>
          <w:szCs w:val="20"/>
        </w:rPr>
        <w:t xml:space="preserve">   </w:t>
      </w:r>
      <w:r>
        <w:rPr>
          <w:rFonts w:ascii="宋体" w:hAnsi="宋体" w:eastAsia="宋体" w:cs="宋体"/>
          <w:color w:val="537DBF"/>
          <w:spacing w:val="22"/>
          <w:sz w:val="21"/>
          <w:szCs w:val="21"/>
        </w:rPr>
        <w:t xml:space="preserve">中国外商投资报告 2022 </w:t>
      </w:r>
      <w:r>
        <w:rPr>
          <w:position w:val="-5"/>
          <w:sz w:val="21"/>
          <w:szCs w:val="21"/>
        </w:rPr>
        <w:drawing>
          <wp:inline distT="0" distB="0" distL="0" distR="0">
            <wp:extent cx="3175" cy="14732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2"/>
          <w:sz w:val="21"/>
          <w:szCs w:val="21"/>
        </w:rPr>
        <w:t xml:space="preserve">  </w:t>
      </w:r>
      <w:r>
        <w:rPr>
          <w:rFonts w:ascii="SimHei" w:hAnsi="SimHei" w:eastAsia="SimHei" w:cs="SimHei"/>
          <w:color w:val="1A67B3"/>
          <w:spacing w:val="22"/>
          <w:sz w:val="21"/>
          <w:szCs w:val="21"/>
          <w14:textOutline w14:w="3175" w14:cap="flat" w14:cmpd="sng">
            <w14:solidFill>
              <w14:srgbClr w14:val="1A67B3"/>
            </w14:solidFill>
            <w14:prstDash w14:val="solid"/>
            <w14:miter w14:val="0"/>
          </w14:textOutline>
        </w:rPr>
        <w:t>产业</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篇</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4" w:line="257" w:lineRule="auto"/>
        <w:ind w:left="1991" w:right="1982" w:firstLine="450"/>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从人均营业</w:t>
      </w:r>
      <w:r>
        <w:rPr>
          <w:rFonts w:ascii="微软雅黑" w:hAnsi="微软雅黑" w:eastAsia="微软雅黑" w:cs="微软雅黑"/>
          <w:color w:val="231F20"/>
          <w:spacing w:val="3"/>
          <w:sz w:val="22"/>
          <w:szCs w:val="22"/>
        </w:rPr>
        <w:t>收入来看，规模以上化学原料与化学制品制造业企业人均营业收入波</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动增长 ，从 </w:t>
      </w:r>
      <w:r>
        <w:rPr>
          <w:rFonts w:ascii="Times New Roman" w:hAnsi="Times New Roman" w:eastAsia="Times New Roman" w:cs="Times New Roman"/>
          <w:color w:val="231F20"/>
          <w:spacing w:val="-1"/>
          <w:sz w:val="22"/>
          <w:szCs w:val="22"/>
        </w:rPr>
        <w:t>2</w:t>
      </w:r>
      <w:r>
        <w:rPr>
          <w:rFonts w:ascii="Times New Roman" w:hAnsi="Times New Roman" w:eastAsia="Times New Roman" w:cs="Times New Roman"/>
          <w:color w:val="231F20"/>
          <w:sz w:val="22"/>
          <w:szCs w:val="22"/>
        </w:rPr>
        <w:t xml:space="preserve">016 </w:t>
      </w:r>
      <w:r>
        <w:rPr>
          <w:rFonts w:ascii="微软雅黑" w:hAnsi="微软雅黑" w:eastAsia="微软雅黑" w:cs="微软雅黑"/>
          <w:color w:val="231F20"/>
          <w:sz w:val="22"/>
          <w:szCs w:val="22"/>
        </w:rPr>
        <w:t xml:space="preserve">年的 </w:t>
      </w:r>
      <w:r>
        <w:rPr>
          <w:rFonts w:ascii="Times New Roman" w:hAnsi="Times New Roman" w:eastAsia="Times New Roman" w:cs="Times New Roman"/>
          <w:color w:val="231F20"/>
          <w:sz w:val="22"/>
          <w:szCs w:val="22"/>
        </w:rPr>
        <w:t xml:space="preserve">181.6 </w:t>
      </w:r>
      <w:r>
        <w:rPr>
          <w:rFonts w:ascii="微软雅黑" w:hAnsi="微软雅黑" w:eastAsia="微软雅黑" w:cs="微软雅黑"/>
          <w:color w:val="231F20"/>
          <w:sz w:val="22"/>
          <w:szCs w:val="22"/>
        </w:rPr>
        <w:t xml:space="preserve">万元 </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 xml:space="preserve">人增至 </w:t>
      </w:r>
      <w:r>
        <w:rPr>
          <w:rFonts w:ascii="Times New Roman" w:hAnsi="Times New Roman" w:eastAsia="Times New Roman" w:cs="Times New Roman"/>
          <w:color w:val="231F20"/>
          <w:sz w:val="22"/>
          <w:szCs w:val="22"/>
        </w:rPr>
        <w:t xml:space="preserve">2020 </w:t>
      </w:r>
      <w:r>
        <w:rPr>
          <w:rFonts w:ascii="微软雅黑" w:hAnsi="微软雅黑" w:eastAsia="微软雅黑" w:cs="微软雅黑"/>
          <w:color w:val="231F20"/>
          <w:sz w:val="22"/>
          <w:szCs w:val="22"/>
        </w:rPr>
        <w:t xml:space="preserve">年的 </w:t>
      </w:r>
      <w:r>
        <w:rPr>
          <w:rFonts w:ascii="Times New Roman" w:hAnsi="Times New Roman" w:eastAsia="Times New Roman" w:cs="Times New Roman"/>
          <w:color w:val="231F20"/>
          <w:sz w:val="22"/>
          <w:szCs w:val="22"/>
        </w:rPr>
        <w:t xml:space="preserve">187.7 </w:t>
      </w:r>
      <w:r>
        <w:rPr>
          <w:rFonts w:ascii="微软雅黑" w:hAnsi="微软雅黑" w:eastAsia="微软雅黑" w:cs="微软雅黑"/>
          <w:color w:val="231F20"/>
          <w:sz w:val="22"/>
          <w:szCs w:val="22"/>
        </w:rPr>
        <w:t xml:space="preserve">万元 </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 xml:space="preserve">人。而同期规模以上 </w:t>
      </w:r>
      <w:r>
        <w:rPr>
          <w:rFonts w:ascii="微软雅黑" w:hAnsi="微软雅黑" w:eastAsia="微软雅黑" w:cs="微软雅黑"/>
          <w:color w:val="231F20"/>
          <w:spacing w:val="4"/>
          <w:sz w:val="22"/>
          <w:szCs w:val="22"/>
        </w:rPr>
        <w:t>化学原料与化学制品制造业企业的人均</w:t>
      </w:r>
      <w:r>
        <w:rPr>
          <w:rFonts w:ascii="微软雅黑" w:hAnsi="微软雅黑" w:eastAsia="微软雅黑" w:cs="微软雅黑"/>
          <w:color w:val="231F20"/>
          <w:spacing w:val="3"/>
          <w:sz w:val="22"/>
          <w:szCs w:val="22"/>
        </w:rPr>
        <w:t>收</w:t>
      </w:r>
      <w:r>
        <w:rPr>
          <w:rFonts w:ascii="微软雅黑" w:hAnsi="微软雅黑" w:eastAsia="微软雅黑" w:cs="微软雅黑"/>
          <w:color w:val="231F20"/>
          <w:spacing w:val="2"/>
          <w:sz w:val="22"/>
          <w:szCs w:val="22"/>
        </w:rPr>
        <w:t xml:space="preserve">入却实现了从 </w:t>
      </w:r>
      <w:r>
        <w:rPr>
          <w:rFonts w:ascii="Times New Roman" w:hAnsi="Times New Roman" w:eastAsia="Times New Roman" w:cs="Times New Roman"/>
          <w:color w:val="231F20"/>
          <w:spacing w:val="2"/>
          <w:sz w:val="22"/>
          <w:szCs w:val="22"/>
        </w:rPr>
        <w:t xml:space="preserve">263.8 </w:t>
      </w:r>
      <w:r>
        <w:rPr>
          <w:rFonts w:ascii="微软雅黑" w:hAnsi="微软雅黑" w:eastAsia="微软雅黑" w:cs="微软雅黑"/>
          <w:color w:val="231F20"/>
          <w:spacing w:val="2"/>
          <w:sz w:val="22"/>
          <w:szCs w:val="22"/>
        </w:rPr>
        <w:t xml:space="preserve">万元 </w:t>
      </w:r>
      <w:r>
        <w:rPr>
          <w:rFonts w:ascii="Times New Roman" w:hAnsi="Times New Roman" w:eastAsia="Times New Roman" w:cs="Times New Roman"/>
          <w:color w:val="231F20"/>
          <w:spacing w:val="2"/>
          <w:sz w:val="22"/>
          <w:szCs w:val="22"/>
        </w:rPr>
        <w:t xml:space="preserve">/ </w:t>
      </w:r>
      <w:r>
        <w:rPr>
          <w:rFonts w:ascii="微软雅黑" w:hAnsi="微软雅黑" w:eastAsia="微软雅黑" w:cs="微软雅黑"/>
          <w:color w:val="231F20"/>
          <w:spacing w:val="2"/>
          <w:sz w:val="22"/>
          <w:szCs w:val="22"/>
        </w:rPr>
        <w:t xml:space="preserve">人到 </w:t>
      </w:r>
      <w:r>
        <w:rPr>
          <w:rFonts w:ascii="Times New Roman" w:hAnsi="Times New Roman" w:eastAsia="Times New Roman" w:cs="Times New Roman"/>
          <w:color w:val="231F20"/>
          <w:spacing w:val="2"/>
          <w:sz w:val="22"/>
          <w:szCs w:val="22"/>
        </w:rPr>
        <w:t xml:space="preserve">300.2 </w:t>
      </w:r>
      <w:r>
        <w:rPr>
          <w:rFonts w:ascii="微软雅黑" w:hAnsi="微软雅黑" w:eastAsia="微软雅黑" w:cs="微软雅黑"/>
          <w:color w:val="231F20"/>
          <w:spacing w:val="2"/>
          <w:sz w:val="22"/>
          <w:szCs w:val="22"/>
        </w:rPr>
        <w:t xml:space="preserve">万元 </w:t>
      </w:r>
      <w:r>
        <w:rPr>
          <w:rFonts w:ascii="Times New Roman" w:hAnsi="Times New Roman" w:eastAsia="Times New Roman" w:cs="Times New Roman"/>
          <w:color w:val="231F20"/>
          <w:spacing w:val="2"/>
          <w:sz w:val="22"/>
          <w:szCs w:val="22"/>
        </w:rPr>
        <w:t>/</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2"/>
          <w:sz w:val="22"/>
          <w:szCs w:val="22"/>
        </w:rPr>
        <w:t xml:space="preserve">人的增长 ，增幅达 </w:t>
      </w:r>
      <w:r>
        <w:rPr>
          <w:rFonts w:ascii="Times New Roman" w:hAnsi="Times New Roman" w:eastAsia="Times New Roman" w:cs="Times New Roman"/>
          <w:color w:val="231F20"/>
          <w:spacing w:val="-2"/>
          <w:sz w:val="22"/>
          <w:szCs w:val="22"/>
        </w:rPr>
        <w:t xml:space="preserve">36.4 </w:t>
      </w:r>
      <w:r>
        <w:rPr>
          <w:rFonts w:ascii="微软雅黑" w:hAnsi="微软雅黑" w:eastAsia="微软雅黑" w:cs="微软雅黑"/>
          <w:color w:val="231F20"/>
          <w:spacing w:val="-2"/>
          <w:sz w:val="22"/>
          <w:szCs w:val="22"/>
        </w:rPr>
        <w:t xml:space="preserve">万元 </w:t>
      </w:r>
      <w:r>
        <w:rPr>
          <w:rFonts w:ascii="Times New Roman" w:hAnsi="Times New Roman" w:eastAsia="Times New Roman" w:cs="Times New Roman"/>
          <w:color w:val="231F20"/>
          <w:spacing w:val="-2"/>
          <w:sz w:val="22"/>
          <w:szCs w:val="22"/>
        </w:rPr>
        <w:t xml:space="preserve">/ </w:t>
      </w:r>
      <w:r>
        <w:rPr>
          <w:rFonts w:ascii="微软雅黑" w:hAnsi="微软雅黑" w:eastAsia="微软雅黑" w:cs="微软雅黑"/>
          <w:color w:val="231F20"/>
          <w:spacing w:val="-2"/>
          <w:sz w:val="22"/>
          <w:szCs w:val="22"/>
        </w:rPr>
        <w:t>人 ，远超于同行业企业平均水平 ，表明外资化学原料与</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化学制品制造业企业生产效率相对</w:t>
      </w:r>
      <w:r>
        <w:rPr>
          <w:rFonts w:ascii="微软雅黑" w:hAnsi="微软雅黑" w:eastAsia="微软雅黑" w:cs="微软雅黑"/>
          <w:color w:val="231F20"/>
          <w:spacing w:val="-1"/>
          <w:sz w:val="22"/>
          <w:szCs w:val="22"/>
        </w:rPr>
        <w:t>较高 ，盈利能力也相对较强。</w:t>
      </w:r>
    </w:p>
    <w:p>
      <w:pPr>
        <w:spacing w:line="477" w:lineRule="auto"/>
        <w:rPr>
          <w:rFonts w:ascii="Arial"/>
          <w:sz w:val="21"/>
        </w:rPr>
      </w:pPr>
    </w:p>
    <w:p>
      <w:pPr>
        <w:spacing w:before="55" w:line="242" w:lineRule="exact"/>
        <w:ind w:left="2709"/>
        <w:rPr>
          <w:rFonts w:ascii="宋体" w:hAnsi="宋体" w:eastAsia="宋体" w:cs="宋体"/>
          <w:sz w:val="17"/>
          <w:szCs w:val="17"/>
        </w:rPr>
      </w:pPr>
      <w:r>
        <w:rPr>
          <w:rFonts w:ascii="宋体" w:hAnsi="宋体" w:eastAsia="宋体" w:cs="宋体"/>
          <w:color w:val="030303"/>
          <w:spacing w:val="5"/>
          <w:position w:val="1"/>
          <w:sz w:val="17"/>
          <w:szCs w:val="17"/>
        </w:rPr>
        <w:t>万元</w:t>
      </w:r>
      <w:r>
        <w:rPr>
          <w:rFonts w:ascii="Times New Roman" w:hAnsi="Times New Roman" w:eastAsia="Times New Roman" w:cs="Times New Roman"/>
          <w:color w:val="030303"/>
          <w:spacing w:val="5"/>
          <w:position w:val="1"/>
          <w:sz w:val="17"/>
          <w:szCs w:val="17"/>
        </w:rPr>
        <w:t>/</w:t>
      </w:r>
      <w:r>
        <w:rPr>
          <w:rFonts w:ascii="宋体" w:hAnsi="宋体" w:eastAsia="宋体" w:cs="宋体"/>
          <w:color w:val="030303"/>
          <w:spacing w:val="5"/>
          <w:position w:val="1"/>
          <w:sz w:val="17"/>
          <w:szCs w:val="17"/>
        </w:rPr>
        <w:t>人</w:t>
      </w:r>
    </w:p>
    <w:p>
      <w:pPr>
        <w:spacing w:before="199" w:line="186" w:lineRule="auto"/>
        <w:ind w:left="2727"/>
        <w:rPr>
          <w:rFonts w:ascii="Calibri" w:hAnsi="Calibri" w:eastAsia="Calibri" w:cs="Calibri"/>
          <w:sz w:val="17"/>
          <w:szCs w:val="17"/>
        </w:rPr>
      </w:pPr>
      <w:r>
        <w:rPr>
          <w:rFonts w:ascii="Calibri" w:hAnsi="Calibri" w:eastAsia="Calibri" w:cs="Calibri"/>
          <w:color w:val="030303"/>
          <w:spacing w:val="2"/>
          <w:sz w:val="17"/>
          <w:szCs w:val="17"/>
        </w:rPr>
        <w:t>35</w:t>
      </w:r>
      <w:r>
        <w:rPr>
          <w:rFonts w:ascii="Calibri" w:hAnsi="Calibri" w:eastAsia="Calibri" w:cs="Calibri"/>
          <w:color w:val="030303"/>
          <w:spacing w:val="1"/>
          <w:sz w:val="17"/>
          <w:szCs w:val="17"/>
        </w:rPr>
        <w:t>0</w:t>
      </w:r>
      <w:r>
        <w:rPr>
          <w:rFonts w:ascii="Calibri" w:hAnsi="Calibri" w:eastAsia="Calibri" w:cs="Calibri"/>
          <w:strike/>
          <w:color w:val="030303"/>
          <w:sz w:val="17"/>
          <w:szCs w:val="17"/>
        </w:rPr>
        <w:t xml:space="preserve">  </w:t>
      </w:r>
    </w:p>
    <w:p>
      <w:pPr>
        <w:spacing w:before="198" w:line="186" w:lineRule="auto"/>
        <w:ind w:left="2727"/>
        <w:rPr>
          <w:rFonts w:ascii="Calibri" w:hAnsi="Calibri" w:eastAsia="Calibri" w:cs="Calibri"/>
          <w:sz w:val="17"/>
          <w:szCs w:val="17"/>
        </w:rPr>
      </w:pPr>
      <w:r>
        <w:rPr>
          <w:rFonts w:ascii="Calibri" w:hAnsi="Calibri" w:eastAsia="Calibri" w:cs="Calibri"/>
          <w:color w:val="030303"/>
          <w:spacing w:val="2"/>
          <w:sz w:val="17"/>
          <w:szCs w:val="17"/>
        </w:rPr>
        <w:t>30</w:t>
      </w:r>
      <w:r>
        <w:rPr>
          <w:rFonts w:ascii="Calibri" w:hAnsi="Calibri" w:eastAsia="Calibri" w:cs="Calibri"/>
          <w:color w:val="030303"/>
          <w:spacing w:val="1"/>
          <w:sz w:val="17"/>
          <w:szCs w:val="17"/>
        </w:rPr>
        <w:t>0</w:t>
      </w:r>
      <w:r>
        <w:rPr>
          <w:rFonts w:ascii="Calibri" w:hAnsi="Calibri" w:eastAsia="Calibri" w:cs="Calibri"/>
          <w:strike/>
          <w:color w:val="030303"/>
          <w:sz w:val="17"/>
          <w:szCs w:val="17"/>
        </w:rPr>
        <w:t xml:space="preserve">  </w:t>
      </w:r>
    </w:p>
    <w:p>
      <w:pPr>
        <w:spacing w:before="199" w:line="186" w:lineRule="auto"/>
        <w:ind w:left="2728"/>
        <w:rPr>
          <w:rFonts w:ascii="Calibri" w:hAnsi="Calibri" w:eastAsia="Calibri" w:cs="Calibri"/>
          <w:sz w:val="17"/>
          <w:szCs w:val="17"/>
        </w:rPr>
      </w:pPr>
      <w:r>
        <w:rPr>
          <w:rFonts w:ascii="Calibri" w:hAnsi="Calibri" w:eastAsia="Calibri" w:cs="Calibri"/>
          <w:color w:val="030303"/>
          <w:spacing w:val="2"/>
          <w:sz w:val="17"/>
          <w:szCs w:val="17"/>
        </w:rPr>
        <w:t>2</w:t>
      </w:r>
      <w:r>
        <w:rPr>
          <w:rFonts w:ascii="Calibri" w:hAnsi="Calibri" w:eastAsia="Calibri" w:cs="Calibri"/>
          <w:color w:val="030303"/>
          <w:spacing w:val="1"/>
          <w:sz w:val="17"/>
          <w:szCs w:val="17"/>
        </w:rPr>
        <w:t>50</w:t>
      </w:r>
      <w:r>
        <w:rPr>
          <w:rFonts w:ascii="Calibri" w:hAnsi="Calibri" w:eastAsia="Calibri" w:cs="Calibri"/>
          <w:strike/>
          <w:color w:val="030303"/>
          <w:sz w:val="17"/>
          <w:szCs w:val="17"/>
        </w:rPr>
        <w:t xml:space="preserve">  </w:t>
      </w:r>
    </w:p>
    <w:p/>
    <w:p>
      <w:pPr>
        <w:spacing w:line="54" w:lineRule="auto"/>
        <w:rPr>
          <w:rFonts w:ascii="Arial"/>
          <w:sz w:val="2"/>
        </w:rPr>
      </w:pPr>
    </w:p>
    <w:tbl>
      <w:tblPr>
        <w:tblStyle w:val="4"/>
        <w:tblW w:w="6206" w:type="dxa"/>
        <w:tblInd w:w="3108"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253"/>
        <w:gridCol w:w="1222"/>
        <w:gridCol w:w="1262"/>
        <w:gridCol w:w="1227"/>
        <w:gridCol w:w="1242"/>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60" w:hRule="atLeast"/>
        </w:trPr>
        <w:tc>
          <w:tcPr>
            <w:tcW w:w="1253" w:type="dxa"/>
            <w:tcBorders>
              <w:top w:val="dashed" w:color="CEE6ED" w:sz="2" w:space="0"/>
              <w:bottom w:val="dashed" w:color="CEE6ED" w:sz="2" w:space="0"/>
            </w:tcBorders>
            <w:vAlign w:val="top"/>
          </w:tcPr>
          <w:p>
            <w:pPr>
              <w:rPr>
                <w:rFonts w:ascii="Arial"/>
                <w:sz w:val="21"/>
              </w:rPr>
            </w:pPr>
          </w:p>
        </w:tc>
        <w:tc>
          <w:tcPr>
            <w:tcW w:w="1222" w:type="dxa"/>
            <w:tcBorders>
              <w:top w:val="dashed" w:color="CEE6ED" w:sz="2" w:space="0"/>
              <w:bottom w:val="dashed" w:color="CEE6ED" w:sz="2" w:space="0"/>
            </w:tcBorders>
            <w:vAlign w:val="top"/>
          </w:tcPr>
          <w:p>
            <w:pPr>
              <w:rPr>
                <w:rFonts w:ascii="Arial"/>
                <w:sz w:val="21"/>
              </w:rPr>
            </w:pPr>
          </w:p>
        </w:tc>
        <w:tc>
          <w:tcPr>
            <w:tcW w:w="1262" w:type="dxa"/>
            <w:tcBorders>
              <w:top w:val="dashed" w:color="CEE6ED" w:sz="2" w:space="0"/>
              <w:bottom w:val="dashed" w:color="CEE6ED" w:sz="2" w:space="0"/>
            </w:tcBorders>
            <w:vAlign w:val="top"/>
          </w:tcPr>
          <w:p>
            <w:pPr>
              <w:spacing w:before="213" w:line="146" w:lineRule="exact"/>
              <w:ind w:left="576"/>
              <w:rPr>
                <w:rFonts w:ascii="微软雅黑" w:hAnsi="微软雅黑" w:eastAsia="微软雅黑" w:cs="微软雅黑"/>
                <w:sz w:val="17"/>
                <w:szCs w:val="17"/>
              </w:rPr>
            </w:pPr>
            <w:r>
              <w:rPr>
                <w:rFonts w:ascii="微软雅黑" w:hAnsi="微软雅黑" w:eastAsia="微软雅黑" w:cs="微软雅黑"/>
                <w:color w:val="030303"/>
                <w:spacing w:val="4"/>
                <w:position w:val="-2"/>
                <w:sz w:val="17"/>
                <w:szCs w:val="17"/>
              </w:rPr>
              <w:t>3</w:t>
            </w:r>
            <w:r>
              <w:rPr>
                <w:rFonts w:ascii="微软雅黑" w:hAnsi="微软雅黑" w:eastAsia="微软雅黑" w:cs="微软雅黑"/>
                <w:color w:val="030303"/>
                <w:spacing w:val="3"/>
                <w:position w:val="-2"/>
                <w:sz w:val="17"/>
                <w:szCs w:val="17"/>
              </w:rPr>
              <w:t>0</w:t>
            </w:r>
            <w:r>
              <w:rPr>
                <w:rFonts w:ascii="微软雅黑" w:hAnsi="微软雅黑" w:eastAsia="微软雅黑" w:cs="微软雅黑"/>
                <w:color w:val="030303"/>
                <w:spacing w:val="2"/>
                <w:position w:val="-2"/>
                <w:sz w:val="17"/>
                <w:szCs w:val="17"/>
              </w:rPr>
              <w:t>1.2</w:t>
            </w:r>
          </w:p>
        </w:tc>
        <w:tc>
          <w:tcPr>
            <w:tcW w:w="1227" w:type="dxa"/>
            <w:tcBorders>
              <w:top w:val="dashed" w:color="CEE6ED" w:sz="2" w:space="0"/>
              <w:bottom w:val="dashed" w:color="CEE6ED" w:sz="2" w:space="0"/>
            </w:tcBorders>
            <w:vAlign w:val="top"/>
          </w:tcPr>
          <w:p>
            <w:pPr>
              <w:spacing w:before="154" w:line="169" w:lineRule="auto"/>
              <w:ind w:left="572"/>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3</w:t>
            </w:r>
            <w:r>
              <w:rPr>
                <w:rFonts w:ascii="微软雅黑" w:hAnsi="微软雅黑" w:eastAsia="微软雅黑" w:cs="微软雅黑"/>
                <w:color w:val="030303"/>
                <w:spacing w:val="3"/>
                <w:sz w:val="17"/>
                <w:szCs w:val="17"/>
              </w:rPr>
              <w:t>1</w:t>
            </w:r>
            <w:r>
              <w:rPr>
                <w:rFonts w:ascii="微软雅黑" w:hAnsi="微软雅黑" w:eastAsia="微软雅黑" w:cs="微软雅黑"/>
                <w:color w:val="030303"/>
                <w:spacing w:val="2"/>
                <w:sz w:val="17"/>
                <w:szCs w:val="17"/>
              </w:rPr>
              <w:t>5.6</w:t>
            </w:r>
          </w:p>
        </w:tc>
        <w:tc>
          <w:tcPr>
            <w:tcW w:w="1242" w:type="dxa"/>
            <w:tcBorders>
              <w:top w:val="dashed" w:color="CEE6ED" w:sz="2" w:space="0"/>
              <w:bottom w:val="dashed" w:color="CEE6ED" w:sz="2" w:space="0"/>
            </w:tcBorders>
            <w:vAlign w:val="top"/>
          </w:tcPr>
          <w:p>
            <w:pPr>
              <w:spacing w:before="230" w:line="130" w:lineRule="exact"/>
              <w:ind w:left="621"/>
              <w:rPr>
                <w:rFonts w:ascii="微软雅黑" w:hAnsi="微软雅黑" w:eastAsia="微软雅黑" w:cs="微软雅黑"/>
                <w:sz w:val="16"/>
                <w:szCs w:val="16"/>
              </w:rPr>
            </w:pPr>
            <w:r>
              <w:rPr>
                <w:rFonts w:ascii="微软雅黑" w:hAnsi="微软雅黑" w:eastAsia="微软雅黑" w:cs="微软雅黑"/>
                <w:color w:val="030303"/>
                <w:spacing w:val="8"/>
                <w:position w:val="-2"/>
                <w:sz w:val="16"/>
                <w:szCs w:val="16"/>
              </w:rPr>
              <w:t>300.</w:t>
            </w:r>
            <w:r>
              <w:rPr>
                <w:rFonts w:ascii="微软雅黑" w:hAnsi="微软雅黑" w:eastAsia="微软雅黑" w:cs="微软雅黑"/>
                <w:color w:val="030303"/>
                <w:spacing w:val="7"/>
                <w:position w:val="-2"/>
                <w:sz w:val="16"/>
                <w:szCs w:val="16"/>
              </w:rPr>
              <w:t>2</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53" w:hRule="atLeast"/>
        </w:trPr>
        <w:tc>
          <w:tcPr>
            <w:tcW w:w="1253" w:type="dxa"/>
            <w:tcBorders>
              <w:top w:val="dashed" w:color="CEE6ED" w:sz="2" w:space="0"/>
              <w:bottom w:val="dashed" w:color="CEE6ED" w:sz="2" w:space="0"/>
            </w:tcBorders>
            <w:vAlign w:val="top"/>
          </w:tcPr>
          <w:p>
            <w:pPr>
              <w:rPr>
                <w:rFonts w:ascii="Arial"/>
                <w:sz w:val="21"/>
              </w:rPr>
            </w:pPr>
          </w:p>
        </w:tc>
        <w:tc>
          <w:tcPr>
            <w:tcW w:w="1222" w:type="dxa"/>
            <w:tcBorders>
              <w:top w:val="dashed" w:color="CEE6ED" w:sz="2" w:space="0"/>
              <w:bottom w:val="dashed" w:color="CEE6ED" w:sz="2" w:space="0"/>
            </w:tcBorders>
            <w:vAlign w:val="top"/>
          </w:tcPr>
          <w:p>
            <w:pPr>
              <w:rPr>
                <w:rFonts w:ascii="Arial"/>
                <w:sz w:val="21"/>
              </w:rPr>
            </w:pPr>
          </w:p>
        </w:tc>
        <w:tc>
          <w:tcPr>
            <w:tcW w:w="1262" w:type="dxa"/>
            <w:tcBorders>
              <w:top w:val="dashed" w:color="CEE6ED" w:sz="2" w:space="0"/>
              <w:bottom w:val="dashed" w:color="CEE6ED" w:sz="2" w:space="0"/>
            </w:tcBorders>
            <w:vAlign w:val="top"/>
          </w:tcPr>
          <w:p>
            <w:pPr>
              <w:spacing w:before="227" w:line="125" w:lineRule="exact"/>
              <w:ind w:left="254"/>
              <w:rPr>
                <w:rFonts w:ascii="微软雅黑" w:hAnsi="微软雅黑" w:eastAsia="微软雅黑" w:cs="微软雅黑"/>
                <w:sz w:val="15"/>
                <w:szCs w:val="15"/>
              </w:rPr>
            </w:pPr>
            <w:r>
              <w:rPr>
                <w:rFonts w:ascii="微软雅黑" w:hAnsi="微软雅黑" w:eastAsia="微软雅黑" w:cs="微软雅黑"/>
                <w:color w:val="030303"/>
                <w:spacing w:val="12"/>
                <w:position w:val="-2"/>
                <w:sz w:val="15"/>
                <w:szCs w:val="15"/>
              </w:rPr>
              <w:t>193.</w:t>
            </w:r>
            <w:r>
              <w:rPr>
                <w:rFonts w:ascii="微软雅黑" w:hAnsi="微软雅黑" w:eastAsia="微软雅黑" w:cs="微软雅黑"/>
                <w:color w:val="030303"/>
                <w:spacing w:val="11"/>
                <w:position w:val="-2"/>
                <w:sz w:val="15"/>
                <w:szCs w:val="15"/>
              </w:rPr>
              <w:t>3</w:t>
            </w:r>
          </w:p>
        </w:tc>
        <w:tc>
          <w:tcPr>
            <w:tcW w:w="1227" w:type="dxa"/>
            <w:tcBorders>
              <w:top w:val="dashed" w:color="CEE6ED" w:sz="2" w:space="0"/>
              <w:bottom w:val="dashed" w:color="CEE6ED" w:sz="2" w:space="0"/>
            </w:tcBorders>
            <w:vAlign w:val="top"/>
          </w:tcPr>
          <w:p>
            <w:pPr>
              <w:rPr>
                <w:rFonts w:ascii="Arial"/>
                <w:sz w:val="21"/>
              </w:rPr>
            </w:pPr>
          </w:p>
        </w:tc>
        <w:tc>
          <w:tcPr>
            <w:tcW w:w="1242" w:type="dxa"/>
            <w:tcBorders>
              <w:top w:val="dashed" w:color="CEE6ED" w:sz="2" w:space="0"/>
              <w:bottom w:val="dashed" w:color="CEE6ED"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60" w:hRule="atLeast"/>
        </w:trPr>
        <w:tc>
          <w:tcPr>
            <w:tcW w:w="1253" w:type="dxa"/>
            <w:tcBorders>
              <w:top w:val="dashed" w:color="CEE6ED" w:sz="2" w:space="0"/>
              <w:bottom w:val="dashed" w:color="CEE6ED" w:sz="2" w:space="0"/>
            </w:tcBorders>
            <w:vAlign w:val="top"/>
          </w:tcPr>
          <w:p>
            <w:pPr>
              <w:spacing w:line="173" w:lineRule="auto"/>
              <w:ind w:left="247"/>
              <w:rPr>
                <w:rFonts w:ascii="微软雅黑" w:hAnsi="微软雅黑" w:eastAsia="微软雅黑" w:cs="微软雅黑"/>
                <w:sz w:val="13"/>
                <w:szCs w:val="13"/>
              </w:rPr>
            </w:pPr>
            <w:r>
              <w:rPr>
                <w:rFonts w:ascii="微软雅黑" w:hAnsi="微软雅黑" w:eastAsia="微软雅黑" w:cs="微软雅黑"/>
                <w:color w:val="030303"/>
                <w:spacing w:val="23"/>
                <w:sz w:val="13"/>
                <w:szCs w:val="13"/>
              </w:rPr>
              <w:t>1</w:t>
            </w:r>
            <w:r>
              <w:rPr>
                <w:rFonts w:ascii="微软雅黑" w:hAnsi="微软雅黑" w:eastAsia="微软雅黑" w:cs="微软雅黑"/>
                <w:color w:val="030303"/>
                <w:spacing w:val="22"/>
                <w:sz w:val="13"/>
                <w:szCs w:val="13"/>
              </w:rPr>
              <w:t>81.6</w:t>
            </w:r>
          </w:p>
        </w:tc>
        <w:tc>
          <w:tcPr>
            <w:tcW w:w="1222" w:type="dxa"/>
            <w:tcBorders>
              <w:top w:val="dashed" w:color="CEE6ED" w:sz="2" w:space="0"/>
              <w:bottom w:val="dashed" w:color="CEE6ED" w:sz="2" w:space="0"/>
            </w:tcBorders>
            <w:vAlign w:val="top"/>
          </w:tcPr>
          <w:p>
            <w:pPr>
              <w:rPr>
                <w:rFonts w:ascii="Arial"/>
                <w:sz w:val="21"/>
              </w:rPr>
            </w:pPr>
          </w:p>
        </w:tc>
        <w:tc>
          <w:tcPr>
            <w:tcW w:w="1262" w:type="dxa"/>
            <w:tcBorders>
              <w:top w:val="dashed" w:color="CEE6ED" w:sz="2" w:space="0"/>
              <w:bottom w:val="dashed" w:color="CEE6ED" w:sz="2" w:space="0"/>
            </w:tcBorders>
            <w:vAlign w:val="top"/>
          </w:tcPr>
          <w:p>
            <w:pPr>
              <w:rPr>
                <w:rFonts w:ascii="Arial"/>
                <w:sz w:val="21"/>
              </w:rPr>
            </w:pPr>
          </w:p>
        </w:tc>
        <w:tc>
          <w:tcPr>
            <w:tcW w:w="1227" w:type="dxa"/>
            <w:tcBorders>
              <w:top w:val="dashed" w:color="CEE6ED" w:sz="2" w:space="0"/>
              <w:bottom w:val="dashed" w:color="CEE6ED" w:sz="2" w:space="0"/>
            </w:tcBorders>
            <w:vAlign w:val="top"/>
          </w:tcPr>
          <w:p>
            <w:pPr>
              <w:rPr>
                <w:rFonts w:ascii="Arial"/>
                <w:sz w:val="21"/>
              </w:rPr>
            </w:pPr>
          </w:p>
        </w:tc>
        <w:tc>
          <w:tcPr>
            <w:tcW w:w="1242" w:type="dxa"/>
            <w:tcBorders>
              <w:top w:val="dashed" w:color="CEE6ED" w:sz="2" w:space="0"/>
              <w:bottom w:val="dashed" w:color="CEE6ED" w:sz="2" w:space="0"/>
            </w:tcBorders>
            <w:vAlign w:val="top"/>
          </w:tcPr>
          <w:p>
            <w:pPr>
              <w:rPr>
                <w:rFonts w:ascii="Arial"/>
                <w:sz w:val="21"/>
              </w:rPr>
            </w:pPr>
          </w:p>
        </w:tc>
      </w:tr>
    </w:tbl>
    <w:p>
      <w:pPr>
        <w:spacing w:line="242" w:lineRule="auto"/>
        <w:rPr>
          <w:rFonts w:ascii="Arial"/>
          <w:sz w:val="21"/>
        </w:rPr>
      </w:pPr>
    </w:p>
    <w:p>
      <w:pPr>
        <w:spacing w:before="52" w:line="186" w:lineRule="auto"/>
        <w:ind w:left="2906"/>
        <w:rPr>
          <w:rFonts w:ascii="Calibri" w:hAnsi="Calibri" w:eastAsia="Calibri" w:cs="Calibri"/>
          <w:sz w:val="17"/>
          <w:szCs w:val="17"/>
        </w:rPr>
      </w:pPr>
      <w:r>
        <w:rPr>
          <w:rFonts w:ascii="Calibri" w:hAnsi="Calibri" w:eastAsia="Calibri" w:cs="Calibri"/>
          <w:color w:val="030303"/>
          <w:sz w:val="17"/>
          <w:szCs w:val="17"/>
        </w:rPr>
        <w:t>0</w:t>
      </w:r>
    </w:p>
    <w:p>
      <w:pPr>
        <w:spacing w:before="66" w:line="186" w:lineRule="auto"/>
        <w:ind w:left="3556"/>
        <w:rPr>
          <w:rFonts w:ascii="Calibri" w:hAnsi="Calibri" w:eastAsia="Calibri" w:cs="Calibri"/>
          <w:sz w:val="17"/>
          <w:szCs w:val="17"/>
        </w:rPr>
      </w:pPr>
      <w:r>
        <w:rPr>
          <w:rFonts w:ascii="Calibri" w:hAnsi="Calibri" w:eastAsia="Calibri" w:cs="Calibri"/>
          <w:color w:val="030303"/>
          <w:spacing w:val="1"/>
          <w:sz w:val="17"/>
          <w:szCs w:val="17"/>
        </w:rPr>
        <w:t xml:space="preserve">2016                       2017                       2018 </w:t>
      </w:r>
      <w:r>
        <w:rPr>
          <w:rFonts w:ascii="Calibri" w:hAnsi="Calibri" w:eastAsia="Calibri" w:cs="Calibri"/>
          <w:color w:val="030303"/>
          <w:sz w:val="17"/>
          <w:szCs w:val="17"/>
        </w:rPr>
        <w:t xml:space="preserve">                      2019                       2020</w:t>
      </w:r>
    </w:p>
    <w:p>
      <w:pPr>
        <w:spacing w:line="281" w:lineRule="auto"/>
        <w:rPr>
          <w:rFonts w:ascii="Arial"/>
          <w:sz w:val="21"/>
        </w:rPr>
      </w:pPr>
    </w:p>
    <w:p>
      <w:pPr>
        <w:spacing w:before="56" w:line="275" w:lineRule="exact"/>
        <w:ind w:left="4144"/>
        <w:rPr>
          <w:rFonts w:ascii="宋体" w:hAnsi="宋体" w:eastAsia="宋体" w:cs="宋体"/>
          <w:sz w:val="17"/>
          <w:szCs w:val="17"/>
        </w:rPr>
      </w:pPr>
      <w:r>
        <w:rPr>
          <w:rFonts w:ascii="宋体" w:hAnsi="宋体" w:eastAsia="宋体" w:cs="宋体"/>
          <w:color w:val="030303"/>
          <w:spacing w:val="18"/>
          <w:position w:val="7"/>
          <w:sz w:val="17"/>
          <w:szCs w:val="17"/>
        </w:rPr>
        <w:t>全</w:t>
      </w:r>
      <w:r>
        <w:rPr>
          <w:rFonts w:ascii="宋体" w:hAnsi="宋体" w:eastAsia="宋体" w:cs="宋体"/>
          <w:color w:val="030303"/>
          <w:spacing w:val="10"/>
          <w:position w:val="7"/>
          <w:sz w:val="17"/>
          <w:szCs w:val="17"/>
        </w:rPr>
        <w:t>国</w:t>
      </w:r>
      <w:r>
        <w:rPr>
          <w:rFonts w:ascii="宋体" w:hAnsi="宋体" w:eastAsia="宋体" w:cs="宋体"/>
          <w:color w:val="030303"/>
          <w:spacing w:val="9"/>
          <w:position w:val="7"/>
          <w:sz w:val="17"/>
          <w:szCs w:val="17"/>
        </w:rPr>
        <w:t>化学原料和化学制品制造业企业人均营业收入</w:t>
      </w:r>
    </w:p>
    <w:p>
      <w:pPr>
        <w:spacing w:line="230" w:lineRule="auto"/>
        <w:ind w:left="4147"/>
        <w:rPr>
          <w:rFonts w:ascii="宋体" w:hAnsi="宋体" w:eastAsia="宋体" w:cs="宋体"/>
          <w:sz w:val="17"/>
          <w:szCs w:val="17"/>
        </w:rPr>
      </w:pPr>
      <w:r>
        <w:rPr>
          <w:rFonts w:ascii="宋体" w:hAnsi="宋体" w:eastAsia="宋体" w:cs="宋体"/>
          <w:color w:val="030303"/>
          <w:spacing w:val="15"/>
          <w:sz w:val="17"/>
          <w:szCs w:val="17"/>
        </w:rPr>
        <w:t>外</w:t>
      </w:r>
      <w:r>
        <w:rPr>
          <w:rFonts w:ascii="宋体" w:hAnsi="宋体" w:eastAsia="宋体" w:cs="宋体"/>
          <w:color w:val="030303"/>
          <w:spacing w:val="9"/>
          <w:sz w:val="17"/>
          <w:szCs w:val="17"/>
        </w:rPr>
        <w:t>资化学原料和化学制品制造业企业人均营业收入</w:t>
      </w:r>
    </w:p>
    <w:p>
      <w:pPr>
        <w:spacing w:before="267" w:line="383" w:lineRule="exact"/>
        <w:ind w:left="2991"/>
        <w:rPr>
          <w:rFonts w:ascii="SimHei" w:hAnsi="SimHei" w:eastAsia="SimHei" w:cs="SimHei"/>
          <w:sz w:val="20"/>
          <w:szCs w:val="20"/>
        </w:rPr>
      </w:pPr>
      <w:r>
        <w:rPr>
          <w:rFonts w:ascii="SimHei" w:hAnsi="SimHei" w:eastAsia="SimHei" w:cs="SimHei"/>
          <w:color w:val="231F20"/>
          <w:spacing w:val="4"/>
          <w:position w:val="13"/>
          <w:sz w:val="20"/>
          <w:szCs w:val="20"/>
        </w:rPr>
        <w:t xml:space="preserve">图 </w:t>
      </w:r>
      <w:r>
        <w:rPr>
          <w:rFonts w:ascii="Times New Roman" w:hAnsi="Times New Roman" w:eastAsia="Times New Roman" w:cs="Times New Roman"/>
          <w:color w:val="231F20"/>
          <w:spacing w:val="4"/>
          <w:position w:val="13"/>
          <w:sz w:val="20"/>
          <w:szCs w:val="20"/>
        </w:rPr>
        <w:t xml:space="preserve">2-8 2016-2020 </w:t>
      </w:r>
      <w:r>
        <w:rPr>
          <w:rFonts w:ascii="SimHei" w:hAnsi="SimHei" w:eastAsia="SimHei" w:cs="SimHei"/>
          <w:color w:val="231F20"/>
          <w:spacing w:val="4"/>
          <w:position w:val="13"/>
          <w:sz w:val="20"/>
          <w:szCs w:val="20"/>
        </w:rPr>
        <w:t>年外资化学原料与化学制品制造业企业人均营收</w:t>
      </w:r>
      <w:r>
        <w:rPr>
          <w:rFonts w:ascii="SimHei" w:hAnsi="SimHei" w:eastAsia="SimHei" w:cs="SimHei"/>
          <w:color w:val="231F20"/>
          <w:spacing w:val="1"/>
          <w:position w:val="13"/>
          <w:sz w:val="20"/>
          <w:szCs w:val="20"/>
        </w:rPr>
        <w:t>情</w:t>
      </w:r>
      <w:r>
        <w:rPr>
          <w:rFonts w:ascii="SimHei" w:hAnsi="SimHei" w:eastAsia="SimHei" w:cs="SimHei"/>
          <w:color w:val="231F20"/>
          <w:position w:val="13"/>
          <w:sz w:val="20"/>
          <w:szCs w:val="20"/>
        </w:rPr>
        <w:t>况</w:t>
      </w:r>
    </w:p>
    <w:p>
      <w:pPr>
        <w:spacing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pacing w:line="276" w:lineRule="auto"/>
        <w:rPr>
          <w:rFonts w:ascii="Arial"/>
          <w:sz w:val="21"/>
        </w:rPr>
      </w:pPr>
    </w:p>
    <w:p>
      <w:pPr>
        <w:spacing w:line="277" w:lineRule="auto"/>
        <w:rPr>
          <w:rFonts w:ascii="Arial"/>
          <w:sz w:val="21"/>
        </w:rPr>
      </w:pPr>
    </w:p>
    <w:p>
      <w:pPr>
        <w:spacing w:before="72" w:line="217"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外资化工制造企业绿</w:t>
      </w:r>
      <w:r>
        <w:rPr>
          <w:rFonts w:ascii="KaiTi" w:hAnsi="KaiTi" w:eastAsia="KaiTi" w:cs="KaiTi"/>
          <w:color w:val="015DAC"/>
          <w:sz w:val="22"/>
          <w:szCs w:val="22"/>
        </w:rPr>
        <w:t>色低碳转型步伐加快</w:t>
      </w:r>
    </w:p>
    <w:p>
      <w:pPr>
        <w:spacing w:line="265" w:lineRule="auto"/>
        <w:rPr>
          <w:rFonts w:ascii="Arial"/>
          <w:sz w:val="21"/>
        </w:rPr>
      </w:pPr>
    </w:p>
    <w:p>
      <w:pPr>
        <w:spacing w:before="95" w:line="260" w:lineRule="auto"/>
        <w:ind w:left="1992" w:right="1982" w:firstLine="454"/>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在中</w:t>
      </w:r>
      <w:r>
        <w:rPr>
          <w:rFonts w:ascii="微软雅黑" w:hAnsi="微软雅黑" w:eastAsia="微软雅黑" w:cs="微软雅黑"/>
          <w:color w:val="231F20"/>
          <w:spacing w:val="-2"/>
          <w:sz w:val="22"/>
          <w:szCs w:val="22"/>
        </w:rPr>
        <w:t>国   “双碳”目标推动下，外资化工制造企业纷纷加快通过成立低碳技术研发</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中心、推动清洁生产等推动化工生产绿色化转型。一方</w:t>
      </w:r>
      <w:r>
        <w:rPr>
          <w:rFonts w:ascii="微软雅黑" w:hAnsi="微软雅黑" w:eastAsia="微软雅黑" w:cs="微软雅黑"/>
          <w:color w:val="231F20"/>
          <w:spacing w:val="1"/>
          <w:sz w:val="22"/>
          <w:szCs w:val="22"/>
        </w:rPr>
        <w:t>面 ，部分外资化工制造企业专</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注于研究</w:t>
      </w:r>
      <w:r>
        <w:rPr>
          <w:rFonts w:ascii="微软雅黑" w:hAnsi="微软雅黑" w:eastAsia="微软雅黑" w:cs="微软雅黑"/>
          <w:color w:val="231F20"/>
          <w:sz w:val="22"/>
          <w:szCs w:val="22"/>
        </w:rPr>
        <w:t xml:space="preserve">低碳技术发展和市场需求 ，通过与国内化工企业合作 ，推动低碳解决方案在 中国市场的开拓和实施 ，助力“碳达峰、碳中和”目标的实现。另一方面 ，一些外资 </w:t>
      </w:r>
      <w:r>
        <w:rPr>
          <w:rFonts w:ascii="微软雅黑" w:hAnsi="微软雅黑" w:eastAsia="微软雅黑" w:cs="微软雅黑"/>
          <w:color w:val="231F20"/>
          <w:spacing w:val="2"/>
          <w:sz w:val="22"/>
          <w:szCs w:val="22"/>
        </w:rPr>
        <w:t>化工制造企业积极推动绿色工厂建设 ，通过采用新能源发电</w:t>
      </w:r>
      <w:r>
        <w:rPr>
          <w:rFonts w:ascii="微软雅黑" w:hAnsi="微软雅黑" w:eastAsia="微软雅黑" w:cs="微软雅黑"/>
          <w:color w:val="231F20"/>
          <w:spacing w:val="1"/>
          <w:sz w:val="22"/>
          <w:szCs w:val="22"/>
        </w:rPr>
        <w:t>设备和使用低碳技术等，</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推动化工产业链碳减排，促进化</w:t>
      </w:r>
      <w:r>
        <w:rPr>
          <w:rFonts w:ascii="微软雅黑" w:hAnsi="微软雅黑" w:eastAsia="微软雅黑" w:cs="微软雅黑"/>
          <w:color w:val="231F20"/>
          <w:sz w:val="22"/>
          <w:szCs w:val="22"/>
        </w:rPr>
        <w:t>工产业转型发展。</w:t>
      </w:r>
    </w:p>
    <w:p>
      <w:pPr>
        <w:sectPr>
          <w:headerReference r:id="rId12" w:type="default"/>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196953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51" name="IM 251"/>
            <wp:cNvGraphicFramePr/>
            <a:graphic xmlns:a="http://schemas.openxmlformats.org/drawingml/2006/main">
              <a:graphicData uri="http://schemas.openxmlformats.org/drawingml/2006/picture">
                <pic:pic xmlns:pic="http://schemas.openxmlformats.org/drawingml/2006/picture">
                  <pic:nvPicPr>
                    <pic:cNvPr id="251" name="IM 251"/>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r>
        <w:rPr>
          <w:rFonts w:ascii="SimHei" w:hAnsi="SimHei" w:eastAsia="SimHei" w:cs="SimHei"/>
          <w:color w:val="1A67B3"/>
          <w:spacing w:val="36"/>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253" name="IM 253"/>
            <wp:cNvGraphicFramePr/>
            <a:graphic xmlns:a="http://schemas.openxmlformats.org/drawingml/2006/main">
              <a:graphicData uri="http://schemas.openxmlformats.org/drawingml/2006/picture">
                <pic:pic xmlns:pic="http://schemas.openxmlformats.org/drawingml/2006/picture">
                  <pic:nvPicPr>
                    <pic:cNvPr id="253" name="IM 253"/>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49</w:t>
      </w: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91" w:line="235" w:lineRule="auto"/>
        <w:ind w:left="2569"/>
        <w:rPr>
          <w:rFonts w:ascii="SimHei" w:hAnsi="SimHei" w:eastAsia="SimHei" w:cs="SimHei"/>
          <w:sz w:val="28"/>
          <w:szCs w:val="28"/>
        </w:rPr>
      </w:pPr>
      <w:r>
        <w:rPr>
          <w:rFonts w:ascii="SimHei" w:hAnsi="SimHei" w:eastAsia="SimHei" w:cs="SimHei"/>
          <w:color w:val="015DAC"/>
          <w:spacing w:val="-2"/>
          <w:sz w:val="28"/>
          <w:szCs w:val="28"/>
        </w:rPr>
        <w:t>五、食品</w:t>
      </w:r>
      <w:r>
        <w:rPr>
          <w:rFonts w:ascii="SimHei" w:hAnsi="SimHei" w:eastAsia="SimHei" w:cs="SimHei"/>
          <w:color w:val="015DAC"/>
          <w:spacing w:val="-1"/>
          <w:sz w:val="28"/>
          <w:szCs w:val="28"/>
        </w:rPr>
        <w:t>制造业</w:t>
      </w:r>
    </w:p>
    <w:p>
      <w:pPr>
        <w:spacing w:line="338" w:lineRule="auto"/>
        <w:rPr>
          <w:rFonts w:ascii="Arial"/>
          <w:sz w:val="21"/>
        </w:rPr>
      </w:pPr>
    </w:p>
    <w:p>
      <w:pPr>
        <w:spacing w:before="94" w:line="263" w:lineRule="auto"/>
        <w:ind w:left="1990" w:right="1916" w:firstLine="454"/>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食品制造业是中国引入外资较早且利用外资水平较高的行业之一。改革开放以来，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全球领先的跨国食品企业纷纷在中国投资设厂 ，推动了中国</w:t>
      </w:r>
      <w:r>
        <w:rPr>
          <w:rFonts w:ascii="微软雅黑" w:hAnsi="微软雅黑" w:eastAsia="微软雅黑" w:cs="微软雅黑"/>
          <w:color w:val="231F20"/>
          <w:spacing w:val="1"/>
          <w:sz w:val="22"/>
          <w:szCs w:val="22"/>
        </w:rPr>
        <w:t>食品制造业快速发展。近</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年来 ，随着中国持续推动食品制造业转型升级，  以</w:t>
      </w:r>
      <w:r>
        <w:rPr>
          <w:rFonts w:ascii="微软雅黑" w:hAnsi="微软雅黑" w:eastAsia="微软雅黑" w:cs="微软雅黑"/>
          <w:color w:val="231F20"/>
          <w:spacing w:val="-1"/>
          <w:sz w:val="22"/>
          <w:szCs w:val="22"/>
        </w:rPr>
        <w:t>及国内食品制造企业发展实力不断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增强，外资食品生产企业在中国发展进入了转型</w:t>
      </w:r>
      <w:r>
        <w:rPr>
          <w:rFonts w:ascii="微软雅黑" w:hAnsi="微软雅黑" w:eastAsia="微软雅黑" w:cs="微软雅黑"/>
          <w:color w:val="231F20"/>
          <w:sz w:val="22"/>
          <w:szCs w:val="22"/>
        </w:rPr>
        <w:t>调整新阶段。</w:t>
      </w:r>
    </w:p>
    <w:p>
      <w:pPr>
        <w:spacing w:before="178"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0"/>
          <w:sz w:val="24"/>
          <w:szCs w:val="24"/>
        </w:rPr>
        <w:t>一) 行业政策变化</w:t>
      </w:r>
    </w:p>
    <w:p>
      <w:pPr>
        <w:spacing w:before="332" w:line="263" w:lineRule="auto"/>
        <w:ind w:left="1994" w:right="1982" w:firstLine="459"/>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近</w:t>
      </w:r>
      <w:r>
        <w:rPr>
          <w:rFonts w:ascii="微软雅黑" w:hAnsi="微软雅黑" w:eastAsia="微软雅黑" w:cs="微软雅黑"/>
          <w:color w:val="231F20"/>
          <w:spacing w:val="4"/>
          <w:sz w:val="22"/>
          <w:szCs w:val="22"/>
        </w:rPr>
        <w:t>年</w:t>
      </w:r>
      <w:r>
        <w:rPr>
          <w:rFonts w:ascii="微软雅黑" w:hAnsi="微软雅黑" w:eastAsia="微软雅黑" w:cs="微软雅黑"/>
          <w:color w:val="231F20"/>
          <w:spacing w:val="3"/>
          <w:sz w:val="22"/>
          <w:szCs w:val="22"/>
        </w:rPr>
        <w:t>来中国推动食品制造业持续、稳定、健康发展的政策主要集中在两大方面：</w:t>
      </w:r>
      <w:r>
        <w:rPr>
          <w:rFonts w:ascii="微软雅黑" w:hAnsi="微软雅黑" w:eastAsia="微软雅黑" w:cs="微软雅黑"/>
          <w:color w:val="231F20"/>
          <w:sz w:val="22"/>
          <w:szCs w:val="22"/>
        </w:rPr>
        <w:t xml:space="preserve"> </w:t>
      </w:r>
      <w:r>
        <w:rPr>
          <w:rFonts w:ascii="SimHei" w:hAnsi="SimHei" w:eastAsia="SimHei" w:cs="SimHei"/>
          <w:color w:val="231F20"/>
          <w:spacing w:val="2"/>
          <w:sz w:val="22"/>
          <w:szCs w:val="22"/>
        </w:rPr>
        <w:t>一是</w:t>
      </w:r>
      <w:r>
        <w:rPr>
          <w:rFonts w:ascii="微软雅黑" w:hAnsi="微软雅黑" w:eastAsia="微软雅黑" w:cs="微软雅黑"/>
          <w:color w:val="231F20"/>
          <w:spacing w:val="2"/>
          <w:sz w:val="22"/>
          <w:szCs w:val="22"/>
        </w:rPr>
        <w:t>适应中国居民消费升级和绿色消费需要 ，支持发展</w:t>
      </w:r>
      <w:r>
        <w:rPr>
          <w:rFonts w:ascii="微软雅黑" w:hAnsi="微软雅黑" w:eastAsia="微软雅黑" w:cs="微软雅黑"/>
          <w:color w:val="231F20"/>
          <w:spacing w:val="1"/>
          <w:sz w:val="22"/>
          <w:szCs w:val="22"/>
        </w:rPr>
        <w:t>绿色食品。</w:t>
      </w:r>
      <w:r>
        <w:rPr>
          <w:rFonts w:ascii="SimHei" w:hAnsi="SimHei" w:eastAsia="SimHei" w:cs="SimHei"/>
          <w:color w:val="231F20"/>
          <w:spacing w:val="1"/>
          <w:sz w:val="22"/>
          <w:szCs w:val="22"/>
        </w:rPr>
        <w:t>二是</w:t>
      </w:r>
      <w:r>
        <w:rPr>
          <w:rFonts w:ascii="微软雅黑" w:hAnsi="微软雅黑" w:eastAsia="微软雅黑" w:cs="微软雅黑"/>
          <w:color w:val="231F20"/>
          <w:spacing w:val="1"/>
          <w:sz w:val="22"/>
          <w:szCs w:val="22"/>
        </w:rPr>
        <w:t>适应食品安全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需要 ，推动食品安全相关法律法规、标准等体系</w:t>
      </w:r>
      <w:r>
        <w:rPr>
          <w:rFonts w:ascii="微软雅黑" w:hAnsi="微软雅黑" w:eastAsia="微软雅黑" w:cs="微软雅黑"/>
          <w:color w:val="231F20"/>
          <w:spacing w:val="1"/>
          <w:sz w:val="22"/>
          <w:szCs w:val="22"/>
        </w:rPr>
        <w:t>建设。这些政策促进内外资企业通过</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加强技术创新、</w:t>
      </w:r>
      <w:r>
        <w:rPr>
          <w:rFonts w:ascii="微软雅黑" w:hAnsi="微软雅黑" w:eastAsia="微软雅黑" w:cs="微软雅黑"/>
          <w:color w:val="231F20"/>
          <w:spacing w:val="-1"/>
          <w:sz w:val="22"/>
          <w:szCs w:val="22"/>
        </w:rPr>
        <w:t>开发新产品、优化生产流程等加快转型升级 ，实现稳步发展。</w:t>
      </w:r>
    </w:p>
    <w:p>
      <w:pPr>
        <w:spacing w:before="180" w:line="214" w:lineRule="auto"/>
        <w:ind w:left="246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1. </w:t>
      </w:r>
      <w:r>
        <w:rPr>
          <w:rFonts w:ascii="KaiTi" w:hAnsi="KaiTi" w:eastAsia="KaiTi" w:cs="KaiTi"/>
          <w:color w:val="015DAC"/>
          <w:sz w:val="22"/>
          <w:szCs w:val="22"/>
        </w:rPr>
        <w:t>大力推动绿色食品产业发展，引导外资食品企业转型升级</w:t>
      </w:r>
    </w:p>
    <w:p>
      <w:pPr>
        <w:spacing w:line="272" w:lineRule="auto"/>
        <w:rPr>
          <w:rFonts w:ascii="Arial"/>
          <w:sz w:val="21"/>
        </w:rPr>
      </w:pPr>
    </w:p>
    <w:p>
      <w:pPr>
        <w:spacing w:before="95" w:line="257" w:lineRule="auto"/>
        <w:ind w:left="1988" w:right="1766" w:firstLine="464"/>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随着中国</w:t>
      </w:r>
      <w:r>
        <w:rPr>
          <w:rFonts w:ascii="微软雅黑" w:hAnsi="微软雅黑" w:eastAsia="微软雅黑" w:cs="微软雅黑"/>
          <w:color w:val="231F20"/>
          <w:spacing w:val="1"/>
          <w:sz w:val="22"/>
          <w:szCs w:val="22"/>
        </w:rPr>
        <w:t>人民生活水平的提高和消费理念的转变 ，无污染、安全的绿色食品已成</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为时尚</w:t>
      </w:r>
      <w:r>
        <w:rPr>
          <w:rFonts w:ascii="微软雅黑" w:hAnsi="微软雅黑" w:eastAsia="微软雅黑" w:cs="微软雅黑"/>
          <w:color w:val="231F20"/>
          <w:sz w:val="22"/>
          <w:szCs w:val="22"/>
        </w:rPr>
        <w:t xml:space="preserve">，越来越受到人们的青睐。为进一步推进绿色食品产业持续健康发展，  中国出   </w:t>
      </w:r>
      <w:r>
        <w:rPr>
          <w:rFonts w:ascii="微软雅黑" w:hAnsi="微软雅黑" w:eastAsia="微软雅黑" w:cs="微软雅黑"/>
          <w:color w:val="231F20"/>
          <w:spacing w:val="7"/>
          <w:sz w:val="22"/>
          <w:szCs w:val="22"/>
        </w:rPr>
        <w:t>台</w:t>
      </w:r>
      <w:r>
        <w:rPr>
          <w:rFonts w:ascii="微软雅黑" w:hAnsi="微软雅黑" w:eastAsia="微软雅黑" w:cs="微软雅黑"/>
          <w:color w:val="231F20"/>
          <w:spacing w:val="4"/>
          <w:sz w:val="22"/>
          <w:szCs w:val="22"/>
        </w:rPr>
        <w:t>了一系列政策 ，鼓励绿色食品产业发展。</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年中共中央 国务院发布《关于全面</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推进乡村振兴加快农业农村现代化的意见》  ，要</w:t>
      </w:r>
      <w:r>
        <w:rPr>
          <w:rFonts w:ascii="微软雅黑" w:hAnsi="微软雅黑" w:eastAsia="微软雅黑" w:cs="微软雅黑"/>
          <w:color w:val="231F20"/>
          <w:sz w:val="22"/>
          <w:szCs w:val="22"/>
        </w:rPr>
        <w:t xml:space="preserve">求加强农产品质量和食品安全监管 ，    </w:t>
      </w:r>
      <w:r>
        <w:rPr>
          <w:rFonts w:ascii="微软雅黑" w:hAnsi="微软雅黑" w:eastAsia="微软雅黑" w:cs="微软雅黑"/>
          <w:color w:val="231F20"/>
          <w:spacing w:val="2"/>
          <w:sz w:val="22"/>
          <w:szCs w:val="22"/>
        </w:rPr>
        <w:t>发</w:t>
      </w:r>
      <w:r>
        <w:rPr>
          <w:rFonts w:ascii="微软雅黑" w:hAnsi="微软雅黑" w:eastAsia="微软雅黑" w:cs="微软雅黑"/>
          <w:color w:val="231F20"/>
          <w:spacing w:val="1"/>
          <w:sz w:val="22"/>
          <w:szCs w:val="22"/>
        </w:rPr>
        <w:t>展绿色农产品、有机农产品和地理标志农产品。</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11 </w:t>
      </w:r>
      <w:r>
        <w:rPr>
          <w:rFonts w:ascii="微软雅黑" w:hAnsi="微软雅黑" w:eastAsia="微软雅黑" w:cs="微软雅黑"/>
          <w:color w:val="231F20"/>
          <w:spacing w:val="1"/>
          <w:sz w:val="22"/>
          <w:szCs w:val="22"/>
        </w:rPr>
        <w:t>月，  中国绿色食品发展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中心印</w:t>
      </w:r>
      <w:r>
        <w:rPr>
          <w:rFonts w:ascii="微软雅黑" w:hAnsi="微软雅黑" w:eastAsia="微软雅黑" w:cs="微软雅黑"/>
          <w:color w:val="231F20"/>
          <w:spacing w:val="-7"/>
          <w:sz w:val="22"/>
          <w:szCs w:val="22"/>
        </w:rPr>
        <w:t>发</w:t>
      </w:r>
      <w:r>
        <w:rPr>
          <w:rFonts w:ascii="微软雅黑" w:hAnsi="微软雅黑" w:eastAsia="微软雅黑" w:cs="微软雅黑"/>
          <w:color w:val="231F20"/>
          <w:spacing w:val="-5"/>
          <w:sz w:val="22"/>
          <w:szCs w:val="22"/>
        </w:rPr>
        <w:t xml:space="preserve">《绿色食品产业“十四五”发展规划纲要( </w:t>
      </w:r>
      <w:r>
        <w:rPr>
          <w:rFonts w:ascii="Times New Roman" w:hAnsi="Times New Roman" w:eastAsia="Times New Roman" w:cs="Times New Roman"/>
          <w:color w:val="231F20"/>
          <w:spacing w:val="-5"/>
          <w:sz w:val="22"/>
          <w:szCs w:val="22"/>
        </w:rPr>
        <w:t xml:space="preserve">2021 </w:t>
      </w:r>
      <w:r>
        <w:rPr>
          <w:rFonts w:ascii="微软雅黑" w:hAnsi="微软雅黑" w:eastAsia="微软雅黑" w:cs="微软雅黑"/>
          <w:color w:val="231F20"/>
          <w:spacing w:val="-5"/>
          <w:sz w:val="22"/>
          <w:szCs w:val="22"/>
        </w:rPr>
        <w:t>－</w:t>
      </w:r>
      <w:r>
        <w:rPr>
          <w:rFonts w:ascii="Times New Roman" w:hAnsi="Times New Roman" w:eastAsia="Times New Roman" w:cs="Times New Roman"/>
          <w:color w:val="231F20"/>
          <w:spacing w:val="-5"/>
          <w:sz w:val="22"/>
          <w:szCs w:val="22"/>
        </w:rPr>
        <w:t xml:space="preserve">2025 </w:t>
      </w:r>
      <w:r>
        <w:rPr>
          <w:rFonts w:ascii="微软雅黑" w:hAnsi="微软雅黑" w:eastAsia="微软雅黑" w:cs="微软雅黑"/>
          <w:color w:val="231F20"/>
          <w:spacing w:val="-5"/>
          <w:sz w:val="22"/>
          <w:szCs w:val="22"/>
        </w:rPr>
        <w:t>年 )》，明确了“十四五”</w:t>
      </w:r>
      <w:r>
        <w:rPr>
          <w:rFonts w:ascii="微软雅黑" w:hAnsi="微软雅黑" w:eastAsia="微软雅黑" w:cs="微软雅黑"/>
          <w:color w:val="231F20"/>
          <w:sz w:val="22"/>
          <w:szCs w:val="22"/>
        </w:rPr>
        <w:t xml:space="preserve"> 绿色食品产业发展目标和主要任务 ，提出着力推动绿色食品产业规模扩大 ，推进绿色   </w:t>
      </w:r>
      <w:r>
        <w:rPr>
          <w:rFonts w:ascii="微软雅黑" w:hAnsi="微软雅黑" w:eastAsia="微软雅黑" w:cs="微软雅黑"/>
          <w:color w:val="231F20"/>
          <w:spacing w:val="6"/>
          <w:sz w:val="22"/>
          <w:szCs w:val="22"/>
        </w:rPr>
        <w:t>食品全产业链</w:t>
      </w:r>
      <w:r>
        <w:rPr>
          <w:rFonts w:ascii="微软雅黑" w:hAnsi="微软雅黑" w:eastAsia="微软雅黑" w:cs="微软雅黑"/>
          <w:color w:val="231F20"/>
          <w:spacing w:val="4"/>
          <w:sz w:val="22"/>
          <w:szCs w:val="22"/>
        </w:rPr>
        <w:t>样</w:t>
      </w:r>
      <w:r>
        <w:rPr>
          <w:rFonts w:ascii="微软雅黑" w:hAnsi="微软雅黑" w:eastAsia="微软雅黑" w:cs="微软雅黑"/>
          <w:color w:val="231F20"/>
          <w:spacing w:val="3"/>
          <w:sz w:val="22"/>
          <w:szCs w:val="22"/>
        </w:rPr>
        <w:t>板、全国绿色食品原料标准化生产基地、全国绿色食品一二三产业融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合发展园区建设。</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9 </w:t>
      </w:r>
      <w:r>
        <w:rPr>
          <w:rFonts w:ascii="微软雅黑" w:hAnsi="微软雅黑" w:eastAsia="微软雅黑" w:cs="微软雅黑"/>
          <w:color w:val="231F20"/>
          <w:spacing w:val="-2"/>
          <w:sz w:val="22"/>
          <w:szCs w:val="22"/>
        </w:rPr>
        <w:t>月，  中国绿</w:t>
      </w:r>
      <w:r>
        <w:rPr>
          <w:rFonts w:ascii="微软雅黑" w:hAnsi="微软雅黑" w:eastAsia="微软雅黑" w:cs="微软雅黑"/>
          <w:color w:val="231F20"/>
          <w:spacing w:val="-1"/>
          <w:sz w:val="22"/>
          <w:szCs w:val="22"/>
        </w:rPr>
        <w:t>色食品发展中心发布《绿色食品产品适用标准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目录</w:t>
      </w:r>
      <w:r>
        <w:rPr>
          <w:rFonts w:ascii="微软雅黑" w:hAnsi="微软雅黑" w:eastAsia="微软雅黑" w:cs="微软雅黑"/>
          <w:color w:val="231F20"/>
          <w:spacing w:val="-1"/>
          <w:sz w:val="22"/>
          <w:szCs w:val="22"/>
        </w:rPr>
        <w:t xml:space="preserve">》   (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版 )  ，更新 </w:t>
      </w:r>
      <w:r>
        <w:rPr>
          <w:rFonts w:ascii="Times New Roman" w:hAnsi="Times New Roman" w:eastAsia="Times New Roman" w:cs="Times New Roman"/>
          <w:color w:val="231F20"/>
          <w:spacing w:val="-1"/>
          <w:sz w:val="22"/>
          <w:szCs w:val="22"/>
        </w:rPr>
        <w:t xml:space="preserve">58 </w:t>
      </w:r>
      <w:r>
        <w:rPr>
          <w:rFonts w:ascii="微软雅黑" w:hAnsi="微软雅黑" w:eastAsia="微软雅黑" w:cs="微软雅黑"/>
          <w:color w:val="231F20"/>
          <w:spacing w:val="-1"/>
          <w:sz w:val="22"/>
          <w:szCs w:val="22"/>
        </w:rPr>
        <w:t>项标准 ，着力引导绿色食品发展。绿色食品产业政策不</w:t>
      </w:r>
      <w:r>
        <w:rPr>
          <w:rFonts w:ascii="微软雅黑" w:hAnsi="微软雅黑" w:eastAsia="微软雅黑" w:cs="微软雅黑"/>
          <w:color w:val="231F20"/>
          <w:sz w:val="22"/>
          <w:szCs w:val="22"/>
        </w:rPr>
        <w:t xml:space="preserve">   断优化 ，将引导外资企业加大绿色食品生产投资力度 ，加快绿色食品生产制造技术研   </w:t>
      </w:r>
      <w:r>
        <w:rPr>
          <w:rFonts w:ascii="微软雅黑" w:hAnsi="微软雅黑" w:eastAsia="微软雅黑" w:cs="微软雅黑"/>
          <w:color w:val="231F20"/>
          <w:spacing w:val="1"/>
          <w:sz w:val="22"/>
          <w:szCs w:val="22"/>
        </w:rPr>
        <w:t>发、加强生产全</w:t>
      </w:r>
      <w:r>
        <w:rPr>
          <w:rFonts w:ascii="微软雅黑" w:hAnsi="微软雅黑" w:eastAsia="微软雅黑" w:cs="微软雅黑"/>
          <w:color w:val="231F20"/>
          <w:sz w:val="22"/>
          <w:szCs w:val="22"/>
        </w:rPr>
        <w:t>环节绿色管理等。</w:t>
      </w:r>
    </w:p>
    <w:p>
      <w:pPr>
        <w:spacing w:before="179" w:line="214" w:lineRule="auto"/>
        <w:ind w:left="2440"/>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完善食品安全相关管理制度，全方位加强食品安全生</w:t>
      </w:r>
      <w:r>
        <w:rPr>
          <w:rFonts w:ascii="KaiTi" w:hAnsi="KaiTi" w:eastAsia="KaiTi" w:cs="KaiTi"/>
          <w:color w:val="015DAC"/>
          <w:sz w:val="22"/>
          <w:szCs w:val="22"/>
        </w:rPr>
        <w:t>产经营</w:t>
      </w:r>
    </w:p>
    <w:p>
      <w:pPr>
        <w:spacing w:line="267" w:lineRule="auto"/>
        <w:rPr>
          <w:rFonts w:ascii="Arial"/>
          <w:sz w:val="21"/>
        </w:rPr>
      </w:pPr>
    </w:p>
    <w:p>
      <w:pPr>
        <w:spacing w:before="95" w:line="266" w:lineRule="auto"/>
        <w:ind w:left="1990" w:right="1983" w:firstLine="451"/>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食品安全</w:t>
      </w:r>
      <w:r>
        <w:rPr>
          <w:rFonts w:ascii="微软雅黑" w:hAnsi="微软雅黑" w:eastAsia="微软雅黑" w:cs="微软雅黑"/>
          <w:color w:val="231F20"/>
          <w:spacing w:val="5"/>
          <w:sz w:val="22"/>
          <w:szCs w:val="22"/>
        </w:rPr>
        <w:t>关</w:t>
      </w:r>
      <w:r>
        <w:rPr>
          <w:rFonts w:ascii="微软雅黑" w:hAnsi="微软雅黑" w:eastAsia="微软雅黑" w:cs="微软雅黑"/>
          <w:color w:val="231F20"/>
          <w:spacing w:val="3"/>
          <w:sz w:val="22"/>
          <w:szCs w:val="22"/>
        </w:rPr>
        <w:t>系民生福祉。近年来中国密集出台了一系列关于食品安全的法律法规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和部门</w:t>
      </w:r>
      <w:r>
        <w:rPr>
          <w:rFonts w:ascii="微软雅黑" w:hAnsi="微软雅黑" w:eastAsia="微软雅黑" w:cs="微软雅黑"/>
          <w:color w:val="231F20"/>
          <w:sz w:val="22"/>
          <w:szCs w:val="22"/>
        </w:rPr>
        <w:t>规章 ，强化食品安全风险意识 ，细化食品安全相关管理规定。</w:t>
      </w:r>
      <w:r>
        <w:rPr>
          <w:rFonts w:ascii="SimHei" w:hAnsi="SimHei" w:eastAsia="SimHei" w:cs="SimHei"/>
          <w:color w:val="231F20"/>
          <w:sz w:val="22"/>
          <w:szCs w:val="22"/>
        </w:rPr>
        <w:t xml:space="preserve">一是完善食品安 </w:t>
      </w:r>
      <w:r>
        <w:rPr>
          <w:rFonts w:ascii="SimHei" w:hAnsi="SimHei" w:eastAsia="SimHei" w:cs="SimHei"/>
          <w:color w:val="231F20"/>
          <w:spacing w:val="-2"/>
          <w:sz w:val="22"/>
          <w:szCs w:val="22"/>
        </w:rPr>
        <w:t>全法律法规。</w:t>
      </w:r>
      <w:r>
        <w:rPr>
          <w:rFonts w:ascii="微软雅黑" w:hAnsi="微软雅黑" w:eastAsia="微软雅黑" w:cs="微软雅黑"/>
          <w:color w:val="231F20"/>
          <w:spacing w:val="-2"/>
          <w:sz w:val="22"/>
          <w:szCs w:val="22"/>
        </w:rPr>
        <w:t>近年来中国持续修订《食</w:t>
      </w:r>
      <w:r>
        <w:rPr>
          <w:rFonts w:ascii="微软雅黑" w:hAnsi="微软雅黑" w:eastAsia="微软雅黑" w:cs="微软雅黑"/>
          <w:color w:val="231F20"/>
          <w:spacing w:val="-1"/>
          <w:sz w:val="22"/>
          <w:szCs w:val="22"/>
        </w:rPr>
        <w:t>品安全法》  ，强化食品安全风险管理。</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197056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r>
        <w:rPr>
          <w:rFonts w:ascii="Arial" w:hAnsi="Arial" w:eastAsia="Arial" w:cs="Arial"/>
          <w:color w:val="231F20"/>
          <w:spacing w:val="40"/>
          <w:sz w:val="20"/>
          <w:szCs w:val="20"/>
        </w:rPr>
        <w:t>5</w:t>
      </w:r>
      <w:r>
        <w:rPr>
          <w:rFonts w:ascii="Arial" w:hAnsi="Arial" w:eastAsia="Arial" w:cs="Arial"/>
          <w:color w:val="231F20"/>
          <w:spacing w:val="21"/>
          <w:sz w:val="20"/>
          <w:szCs w:val="20"/>
        </w:rPr>
        <w:t xml:space="preserve">0  </w:t>
      </w:r>
      <w:r>
        <w:rPr>
          <w:position w:val="-5"/>
          <w:sz w:val="20"/>
          <w:szCs w:val="20"/>
        </w:rPr>
        <w:drawing>
          <wp:inline distT="0" distB="0" distL="0" distR="0">
            <wp:extent cx="3175" cy="147320"/>
            <wp:effectExtent l="0" t="0" r="0" b="0"/>
            <wp:docPr id="255" name="IM 255"/>
            <wp:cNvGraphicFramePr/>
            <a:graphic xmlns:a="http://schemas.openxmlformats.org/drawingml/2006/main">
              <a:graphicData uri="http://schemas.openxmlformats.org/drawingml/2006/picture">
                <pic:pic xmlns:pic="http://schemas.openxmlformats.org/drawingml/2006/picture">
                  <pic:nvPicPr>
                    <pic:cNvPr id="255" name="IM 255"/>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产业篇</w:t>
      </w: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tabs>
          <w:tab w:val="left" w:pos="2088"/>
        </w:tabs>
        <w:spacing w:before="94" w:line="257" w:lineRule="auto"/>
        <w:ind w:left="1979" w:right="1969" w:firstLine="8"/>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4 </w:t>
      </w:r>
      <w:r>
        <w:rPr>
          <w:rFonts w:ascii="微软雅黑" w:hAnsi="微软雅黑" w:eastAsia="微软雅黑" w:cs="微软雅黑"/>
          <w:color w:val="231F20"/>
          <w:spacing w:val="2"/>
          <w:sz w:val="22"/>
          <w:szCs w:val="22"/>
        </w:rPr>
        <w:t>月新修订的《食品安全法》  ，进一</w:t>
      </w:r>
      <w:r>
        <w:rPr>
          <w:rFonts w:ascii="微软雅黑" w:hAnsi="微软雅黑" w:eastAsia="微软雅黑" w:cs="微软雅黑"/>
          <w:color w:val="231F20"/>
          <w:spacing w:val="1"/>
          <w:sz w:val="22"/>
          <w:szCs w:val="22"/>
        </w:rPr>
        <w:t>步完善了食品安全监管制度和监管机制。特别是</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8"/>
          <w:sz w:val="22"/>
          <w:szCs w:val="22"/>
        </w:rPr>
        <w:t>2021</w:t>
      </w:r>
      <w:r>
        <w:rPr>
          <w:rFonts w:ascii="Times New Roman" w:hAnsi="Times New Roman" w:eastAsia="Times New Roman" w:cs="Times New Roman"/>
          <w:color w:val="231F20"/>
          <w:spacing w:val="-6"/>
          <w:sz w:val="22"/>
          <w:szCs w:val="22"/>
        </w:rPr>
        <w:t xml:space="preserve">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 xml:space="preserve">12 </w:t>
      </w:r>
      <w:r>
        <w:rPr>
          <w:rFonts w:ascii="微软雅黑" w:hAnsi="微软雅黑" w:eastAsia="微软雅黑" w:cs="微软雅黑"/>
          <w:color w:val="231F20"/>
          <w:spacing w:val="-4"/>
          <w:sz w:val="22"/>
          <w:szCs w:val="22"/>
        </w:rPr>
        <w:t>月，《食品安全法》的配套实施细则——《食品安全法实施条例》  ，对强化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企业主体责任落实</w:t>
      </w:r>
      <w:r>
        <w:rPr>
          <w:rFonts w:ascii="微软雅黑" w:hAnsi="微软雅黑" w:eastAsia="微软雅黑" w:cs="微软雅黑"/>
          <w:color w:val="231F20"/>
          <w:spacing w:val="-5"/>
          <w:sz w:val="22"/>
          <w:szCs w:val="22"/>
        </w:rPr>
        <w:t>“</w:t>
      </w:r>
      <w:r>
        <w:rPr>
          <w:rFonts w:ascii="微软雅黑" w:hAnsi="微软雅黑" w:eastAsia="微软雅黑" w:cs="微软雅黑"/>
          <w:color w:val="231F20"/>
          <w:spacing w:val="-3"/>
          <w:sz w:val="22"/>
          <w:szCs w:val="22"/>
        </w:rPr>
        <w:t>处罚到人” 、保健食品监管等内容进行了细化，进一步增强制度的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2"/>
          <w:sz w:val="22"/>
          <w:szCs w:val="22"/>
        </w:rPr>
        <w:t>可操作性。</w:t>
      </w:r>
      <w:r>
        <w:rPr>
          <w:rFonts w:ascii="SimHei" w:hAnsi="SimHei" w:eastAsia="SimHei" w:cs="SimHei"/>
          <w:color w:val="231F20"/>
          <w:spacing w:val="-10"/>
          <w:sz w:val="22"/>
          <w:szCs w:val="22"/>
        </w:rPr>
        <w:t>二</w:t>
      </w:r>
      <w:r>
        <w:rPr>
          <w:rFonts w:ascii="SimHei" w:hAnsi="SimHei" w:eastAsia="SimHei" w:cs="SimHei"/>
          <w:color w:val="231F20"/>
          <w:spacing w:val="-6"/>
          <w:sz w:val="22"/>
          <w:szCs w:val="22"/>
        </w:rPr>
        <w:t xml:space="preserve">是完善食品安全风险管理。 </w:t>
      </w:r>
      <w:r>
        <w:rPr>
          <w:rFonts w:ascii="微软雅黑" w:hAnsi="微软雅黑" w:eastAsia="微软雅黑" w:cs="微软雅黑"/>
          <w:color w:val="231F20"/>
          <w:spacing w:val="-6"/>
          <w:sz w:val="22"/>
          <w:szCs w:val="22"/>
        </w:rPr>
        <w:t>为加强食品生产经营监督管理，</w:t>
      </w:r>
      <w:r>
        <w:rPr>
          <w:rFonts w:ascii="Times New Roman" w:hAnsi="Times New Roman" w:eastAsia="Times New Roman" w:cs="Times New Roman"/>
          <w:color w:val="231F20"/>
          <w:spacing w:val="-6"/>
          <w:sz w:val="22"/>
          <w:szCs w:val="22"/>
        </w:rPr>
        <w:t xml:space="preserve">2022 </w:t>
      </w:r>
      <w:r>
        <w:rPr>
          <w:rFonts w:ascii="微软雅黑" w:hAnsi="微软雅黑" w:eastAsia="微软雅黑" w:cs="微软雅黑"/>
          <w:color w:val="231F20"/>
          <w:spacing w:val="-6"/>
          <w:sz w:val="22"/>
          <w:szCs w:val="22"/>
        </w:rPr>
        <w:t xml:space="preserve">年 </w:t>
      </w:r>
      <w:r>
        <w:rPr>
          <w:rFonts w:ascii="Times New Roman" w:hAnsi="Times New Roman" w:eastAsia="Times New Roman" w:cs="Times New Roman"/>
          <w:color w:val="231F20"/>
          <w:spacing w:val="-6"/>
          <w:sz w:val="22"/>
          <w:szCs w:val="22"/>
        </w:rPr>
        <w:t xml:space="preserve">3 </w:t>
      </w:r>
      <w:r>
        <w:rPr>
          <w:rFonts w:ascii="微软雅黑" w:hAnsi="微软雅黑" w:eastAsia="微软雅黑" w:cs="微软雅黑"/>
          <w:color w:val="231F20"/>
          <w:spacing w:val="-6"/>
          <w:sz w:val="22"/>
          <w:szCs w:val="22"/>
        </w:rPr>
        <w:t>月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市</w:t>
      </w:r>
      <w:r>
        <w:rPr>
          <w:rFonts w:ascii="微软雅黑" w:hAnsi="微软雅黑" w:eastAsia="微软雅黑" w:cs="微软雅黑"/>
          <w:color w:val="231F20"/>
          <w:spacing w:val="-2"/>
          <w:sz w:val="22"/>
          <w:szCs w:val="22"/>
        </w:rPr>
        <w:t>场监管总局发布的《食品生产经营监督检查管理办法》正式施行，规定每两年对本行</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政</w:t>
      </w:r>
      <w:r>
        <w:rPr>
          <w:rFonts w:ascii="微软雅黑" w:hAnsi="微软雅黑" w:eastAsia="微软雅黑" w:cs="微软雅黑"/>
          <w:color w:val="231F20"/>
          <w:spacing w:val="-2"/>
          <w:sz w:val="22"/>
          <w:szCs w:val="22"/>
        </w:rPr>
        <w:t>区域内所有食品生产经营者至少进行一次监督检查，将监督检查情况记入食品生产经</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营</w:t>
      </w:r>
      <w:r>
        <w:rPr>
          <w:rFonts w:ascii="微软雅黑" w:hAnsi="微软雅黑" w:eastAsia="微软雅黑" w:cs="微软雅黑"/>
          <w:color w:val="231F20"/>
          <w:spacing w:val="-8"/>
          <w:sz w:val="22"/>
          <w:szCs w:val="22"/>
        </w:rPr>
        <w:t>者</w:t>
      </w:r>
      <w:r>
        <w:rPr>
          <w:rFonts w:ascii="微软雅黑" w:hAnsi="微软雅黑" w:eastAsia="微软雅黑" w:cs="微软雅黑"/>
          <w:color w:val="231F20"/>
          <w:spacing w:val="-5"/>
          <w:sz w:val="22"/>
          <w:szCs w:val="22"/>
        </w:rPr>
        <w:t>食品安全信用档案，  同时对特色食品、保健食品等生产环节监督检查提出了明确的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要求。</w:t>
      </w:r>
      <w:r>
        <w:rPr>
          <w:rFonts w:ascii="SimHei" w:hAnsi="SimHei" w:eastAsia="SimHei" w:cs="SimHei"/>
          <w:color w:val="231F20"/>
          <w:spacing w:val="-2"/>
          <w:sz w:val="22"/>
          <w:szCs w:val="22"/>
        </w:rPr>
        <w:t>三是完善食品</w:t>
      </w:r>
      <w:r>
        <w:rPr>
          <w:rFonts w:ascii="SimHei" w:hAnsi="SimHei" w:eastAsia="SimHei" w:cs="SimHei"/>
          <w:color w:val="231F20"/>
          <w:spacing w:val="-1"/>
          <w:sz w:val="22"/>
          <w:szCs w:val="22"/>
        </w:rPr>
        <w:t>生产相关标准。</w:t>
      </w:r>
      <w:r>
        <w:rPr>
          <w:rFonts w:ascii="微软雅黑" w:hAnsi="微软雅黑" w:eastAsia="微软雅黑" w:cs="微软雅黑"/>
          <w:color w:val="231F20"/>
          <w:spacing w:val="-1"/>
          <w:sz w:val="22"/>
          <w:szCs w:val="22"/>
        </w:rPr>
        <w:t>如针对包装浪费等现象，</w:t>
      </w:r>
      <w:r>
        <w:rPr>
          <w:rFonts w:ascii="Times New Roman" w:hAnsi="Times New Roman" w:eastAsia="Times New Roman" w:cs="Times New Roman"/>
          <w:color w:val="231F20"/>
          <w:spacing w:val="-1"/>
          <w:sz w:val="22"/>
          <w:szCs w:val="22"/>
        </w:rPr>
        <w:t xml:space="preserve">2022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5 </w:t>
      </w:r>
      <w:r>
        <w:rPr>
          <w:rFonts w:ascii="微软雅黑" w:hAnsi="微软雅黑" w:eastAsia="微软雅黑" w:cs="微软雅黑"/>
          <w:color w:val="231F20"/>
          <w:spacing w:val="-1"/>
          <w:sz w:val="22"/>
          <w:szCs w:val="22"/>
        </w:rPr>
        <w:t>月，  国家市场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监督管理总</w:t>
      </w:r>
      <w:r>
        <w:rPr>
          <w:rFonts w:ascii="微软雅黑" w:hAnsi="微软雅黑" w:eastAsia="微软雅黑" w:cs="微软雅黑"/>
          <w:color w:val="231F20"/>
          <w:spacing w:val="-2"/>
          <w:sz w:val="22"/>
          <w:szCs w:val="22"/>
        </w:rPr>
        <w:t>局 ( 国家标准化管理委员会 ) 发布《限制商品过度包装要求 食品和化妆品》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z w:val="22"/>
          <w:szCs w:val="22"/>
        </w:rPr>
        <w:tab/>
      </w:r>
      <w:r>
        <w:rPr>
          <w:rFonts w:ascii="微软雅黑" w:hAnsi="微软雅黑" w:eastAsia="微软雅黑" w:cs="微软雅黑"/>
          <w:color w:val="231F20"/>
          <w:spacing w:val="-1"/>
          <w:sz w:val="22"/>
          <w:szCs w:val="22"/>
        </w:rPr>
        <w:t xml:space="preserve">( </w:t>
      </w:r>
      <w:r>
        <w:rPr>
          <w:rFonts w:ascii="Times New Roman" w:hAnsi="Times New Roman" w:eastAsia="Times New Roman" w:cs="Times New Roman"/>
          <w:color w:val="231F20"/>
          <w:sz w:val="22"/>
          <w:szCs w:val="22"/>
        </w:rPr>
        <w:t>GB</w:t>
      </w:r>
      <w:r>
        <w:rPr>
          <w:rFonts w:ascii="Times New Roman" w:hAnsi="Times New Roman" w:eastAsia="Times New Roman" w:cs="Times New Roman"/>
          <w:color w:val="231F20"/>
          <w:spacing w:val="-1"/>
          <w:sz w:val="22"/>
          <w:szCs w:val="22"/>
        </w:rPr>
        <w:t xml:space="preserve"> 23350-2021 </w:t>
      </w:r>
      <w:r>
        <w:rPr>
          <w:rFonts w:ascii="微软雅黑" w:hAnsi="微软雅黑" w:eastAsia="微软雅黑" w:cs="微软雅黑"/>
          <w:color w:val="231F20"/>
          <w:spacing w:val="-1"/>
          <w:sz w:val="22"/>
          <w:szCs w:val="22"/>
        </w:rPr>
        <w:t xml:space="preserve">)  国家标准第 </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号修改单，提出了食品生</w:t>
      </w:r>
      <w:r>
        <w:rPr>
          <w:rFonts w:ascii="微软雅黑" w:hAnsi="微软雅黑" w:eastAsia="微软雅黑" w:cs="微软雅黑"/>
          <w:color w:val="231F20"/>
          <w:sz w:val="22"/>
          <w:szCs w:val="22"/>
        </w:rPr>
        <w:t xml:space="preserve">产减少包装层数、压缩包装 </w:t>
      </w:r>
      <w:r>
        <w:rPr>
          <w:rFonts w:ascii="微软雅黑" w:hAnsi="微软雅黑" w:eastAsia="微软雅黑" w:cs="微软雅黑"/>
          <w:color w:val="231F20"/>
          <w:spacing w:val="-6"/>
          <w:sz w:val="22"/>
          <w:szCs w:val="22"/>
        </w:rPr>
        <w:t>空隙、降低包装成本</w:t>
      </w:r>
      <w:r>
        <w:rPr>
          <w:rFonts w:ascii="微软雅黑" w:hAnsi="微软雅黑" w:eastAsia="微软雅黑" w:cs="微软雅黑"/>
          <w:color w:val="231F20"/>
          <w:spacing w:val="-3"/>
          <w:sz w:val="22"/>
          <w:szCs w:val="22"/>
        </w:rPr>
        <w:t>、严格混装要求。这些法规和标准的出台 ，一方面对外资食品企业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在华生产经营提出</w:t>
      </w:r>
      <w:r>
        <w:rPr>
          <w:rFonts w:ascii="微软雅黑" w:hAnsi="微软雅黑" w:eastAsia="微软雅黑" w:cs="微软雅黑"/>
          <w:color w:val="231F20"/>
          <w:spacing w:val="-3"/>
          <w:sz w:val="22"/>
          <w:szCs w:val="22"/>
        </w:rPr>
        <w:t>了更高的要求 ，另一方面也为外资食品企业高质量发展指明了方向。</w:t>
      </w:r>
    </w:p>
    <w:p>
      <w:pPr>
        <w:spacing w:before="180" w:line="214"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简化食品生产经营许可，促进外资食</w:t>
      </w:r>
      <w:r>
        <w:rPr>
          <w:rFonts w:ascii="KaiTi" w:hAnsi="KaiTi" w:eastAsia="KaiTi" w:cs="KaiTi"/>
          <w:color w:val="015DAC"/>
          <w:sz w:val="22"/>
          <w:szCs w:val="22"/>
        </w:rPr>
        <w:t>品企业投资便利化</w:t>
      </w:r>
    </w:p>
    <w:p>
      <w:pPr>
        <w:spacing w:line="263" w:lineRule="auto"/>
        <w:rPr>
          <w:rFonts w:ascii="Arial"/>
          <w:sz w:val="21"/>
        </w:rPr>
      </w:pPr>
    </w:p>
    <w:p>
      <w:pPr>
        <w:spacing w:before="94" w:line="259" w:lineRule="auto"/>
        <w:ind w:left="1990" w:right="1915" w:firstLine="456"/>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在新版《食品安全法》增加</w:t>
      </w:r>
      <w:r>
        <w:rPr>
          <w:rFonts w:ascii="微软雅黑" w:hAnsi="微软雅黑" w:eastAsia="微软雅黑" w:cs="微软雅黑"/>
          <w:color w:val="231F20"/>
          <w:spacing w:val="1"/>
          <w:sz w:val="22"/>
          <w:szCs w:val="22"/>
        </w:rPr>
        <w:t>“仅销售预包装食品的 ，不需要取得许可”的规定的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基础上，</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 xml:space="preserve">年 </w:t>
      </w:r>
      <w:r>
        <w:rPr>
          <w:rFonts w:ascii="Times New Roman" w:hAnsi="Times New Roman" w:eastAsia="Times New Roman" w:cs="Times New Roman"/>
          <w:color w:val="231F20"/>
          <w:spacing w:val="-3"/>
          <w:sz w:val="22"/>
          <w:szCs w:val="22"/>
        </w:rPr>
        <w:t xml:space="preserve">7 </w:t>
      </w:r>
      <w:r>
        <w:rPr>
          <w:rFonts w:ascii="微软雅黑" w:hAnsi="微软雅黑" w:eastAsia="微软雅黑" w:cs="微软雅黑"/>
          <w:color w:val="231F20"/>
          <w:spacing w:val="-3"/>
          <w:sz w:val="22"/>
          <w:szCs w:val="22"/>
        </w:rPr>
        <w:t xml:space="preserve">月 </w:t>
      </w:r>
      <w:r>
        <w:rPr>
          <w:rFonts w:ascii="Times New Roman" w:hAnsi="Times New Roman" w:eastAsia="Times New Roman" w:cs="Times New Roman"/>
          <w:color w:val="231F20"/>
          <w:spacing w:val="-3"/>
          <w:sz w:val="22"/>
          <w:szCs w:val="22"/>
        </w:rPr>
        <w:t xml:space="preserve">1 </w:t>
      </w:r>
      <w:r>
        <w:rPr>
          <w:rFonts w:ascii="微软雅黑" w:hAnsi="微软雅黑" w:eastAsia="微软雅黑" w:cs="微软雅黑"/>
          <w:color w:val="231F20"/>
          <w:spacing w:val="-3"/>
          <w:sz w:val="22"/>
          <w:szCs w:val="22"/>
        </w:rPr>
        <w:t>日起，  国务院在全国范围内深化“证照分离”改革 ，将许可</w:t>
      </w:r>
      <w:r>
        <w:rPr>
          <w:rFonts w:ascii="微软雅黑" w:hAnsi="微软雅黑" w:eastAsia="微软雅黑" w:cs="微软雅黑"/>
          <w:color w:val="231F20"/>
          <w:spacing w:val="-2"/>
          <w:sz w:val="22"/>
          <w:szCs w:val="22"/>
        </w:rPr>
        <w:t>类</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的</w:t>
      </w:r>
      <w:r>
        <w:rPr>
          <w:rFonts w:ascii="微软雅黑" w:hAnsi="微软雅黑" w:eastAsia="微软雅黑" w:cs="微软雅黑"/>
          <w:color w:val="231F20"/>
          <w:spacing w:val="3"/>
          <w:sz w:val="22"/>
          <w:szCs w:val="22"/>
        </w:rPr>
        <w:t xml:space="preserve">证分别采用直接取消审批、审批改为备案、实行告知承诺、优化准入服务等 </w:t>
      </w:r>
      <w:r>
        <w:rPr>
          <w:rFonts w:ascii="Times New Roman" w:hAnsi="Times New Roman" w:eastAsia="Times New Roman" w:cs="Times New Roman"/>
          <w:color w:val="231F20"/>
          <w:spacing w:val="3"/>
          <w:sz w:val="22"/>
          <w:szCs w:val="22"/>
        </w:rPr>
        <w:t xml:space="preserve">4 </w:t>
      </w:r>
      <w:r>
        <w:rPr>
          <w:rFonts w:ascii="微软雅黑" w:hAnsi="微软雅黑" w:eastAsia="微软雅黑" w:cs="微软雅黑"/>
          <w:color w:val="231F20"/>
          <w:spacing w:val="3"/>
          <w:sz w:val="22"/>
          <w:szCs w:val="22"/>
        </w:rPr>
        <w:t>种方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式分离出来 ，从而减少审批发证。其中， </w:t>
      </w:r>
      <w:r>
        <w:rPr>
          <w:rFonts w:ascii="微软雅黑" w:hAnsi="微软雅黑" w:eastAsia="微软雅黑" w:cs="微软雅黑"/>
          <w:color w:val="231F20"/>
          <w:sz w:val="22"/>
          <w:szCs w:val="22"/>
        </w:rPr>
        <w:t xml:space="preserve"> 涉企经营许可事项改革清单第 </w:t>
      </w:r>
      <w:r>
        <w:rPr>
          <w:rFonts w:ascii="Times New Roman" w:hAnsi="Times New Roman" w:eastAsia="Times New Roman" w:cs="Times New Roman"/>
          <w:color w:val="231F20"/>
          <w:sz w:val="22"/>
          <w:szCs w:val="22"/>
        </w:rPr>
        <w:t xml:space="preserve">76 </w:t>
      </w:r>
      <w:r>
        <w:rPr>
          <w:rFonts w:ascii="微软雅黑" w:hAnsi="微软雅黑" w:eastAsia="微软雅黑" w:cs="微软雅黑"/>
          <w:color w:val="231F20"/>
          <w:sz w:val="22"/>
          <w:szCs w:val="22"/>
        </w:rPr>
        <w:t>、</w:t>
      </w:r>
      <w:r>
        <w:rPr>
          <w:rFonts w:ascii="Times New Roman" w:hAnsi="Times New Roman" w:eastAsia="Times New Roman" w:cs="Times New Roman"/>
          <w:color w:val="231F20"/>
          <w:sz w:val="22"/>
          <w:szCs w:val="22"/>
        </w:rPr>
        <w:t xml:space="preserve">78 </w:t>
      </w:r>
      <w:r>
        <w:rPr>
          <w:rFonts w:ascii="微软雅黑" w:hAnsi="微软雅黑" w:eastAsia="微软雅黑" w:cs="微软雅黑"/>
          <w:color w:val="231F20"/>
          <w:sz w:val="22"/>
          <w:szCs w:val="22"/>
        </w:rPr>
        <w:t xml:space="preserve">项明 </w:t>
      </w:r>
      <w:r>
        <w:rPr>
          <w:rFonts w:ascii="微软雅黑" w:hAnsi="微软雅黑" w:eastAsia="微软雅黑" w:cs="微软雅黑"/>
          <w:color w:val="231F20"/>
          <w:spacing w:val="2"/>
          <w:sz w:val="22"/>
          <w:szCs w:val="22"/>
        </w:rPr>
        <w:t>确对食品预包装销售和报关企业实行“审批改为备案” ，</w:t>
      </w:r>
      <w:r>
        <w:rPr>
          <w:rFonts w:ascii="微软雅黑" w:hAnsi="微软雅黑" w:eastAsia="微软雅黑" w:cs="微软雅黑"/>
          <w:color w:val="231F20"/>
          <w:spacing w:val="1"/>
          <w:sz w:val="22"/>
          <w:szCs w:val="22"/>
        </w:rPr>
        <w:t>在企业登记注册环节一并办</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理备案手续 ，企业无需“再跑路再申请”备案。此项措施将预</w:t>
      </w:r>
      <w:r>
        <w:rPr>
          <w:rFonts w:ascii="微软雅黑" w:hAnsi="微软雅黑" w:eastAsia="微软雅黑" w:cs="微软雅黑"/>
          <w:color w:val="231F20"/>
          <w:spacing w:val="1"/>
          <w:sz w:val="22"/>
          <w:szCs w:val="22"/>
        </w:rPr>
        <w:t>包装食品销售或需要报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4"/>
          <w:sz w:val="22"/>
          <w:szCs w:val="22"/>
        </w:rPr>
        <w:t>关的外</w:t>
      </w:r>
      <w:r>
        <w:rPr>
          <w:rFonts w:ascii="微软雅黑" w:hAnsi="微软雅黑" w:eastAsia="微软雅黑" w:cs="微软雅黑"/>
          <w:color w:val="231F20"/>
          <w:spacing w:val="-12"/>
          <w:sz w:val="22"/>
          <w:szCs w:val="22"/>
        </w:rPr>
        <w:t>资</w:t>
      </w:r>
      <w:r>
        <w:rPr>
          <w:rFonts w:ascii="微软雅黑" w:hAnsi="微软雅黑" w:eastAsia="微软雅黑" w:cs="微软雅黑"/>
          <w:color w:val="231F20"/>
          <w:spacing w:val="-7"/>
          <w:sz w:val="22"/>
          <w:szCs w:val="22"/>
        </w:rPr>
        <w:t>企业纳入“多证合一 ”范围，大大节省了企业办理经营相关手续的流程和时间，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为外资食品企业在华投资和经营</w:t>
      </w:r>
      <w:r>
        <w:rPr>
          <w:rFonts w:ascii="微软雅黑" w:hAnsi="微软雅黑" w:eastAsia="微软雅黑" w:cs="微软雅黑"/>
          <w:color w:val="231F20"/>
          <w:sz w:val="22"/>
          <w:szCs w:val="22"/>
        </w:rPr>
        <w:t>提供了便利。</w:t>
      </w:r>
    </w:p>
    <w:p>
      <w:pPr>
        <w:spacing w:before="178"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0"/>
          <w:sz w:val="24"/>
          <w:szCs w:val="24"/>
        </w:rPr>
        <w:t>二) 利用外资情况</w:t>
      </w:r>
    </w:p>
    <w:p>
      <w:pPr>
        <w:spacing w:before="331" w:line="272" w:lineRule="auto"/>
        <w:ind w:left="1993" w:right="2024" w:firstLine="449"/>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202</w:t>
      </w:r>
      <w:r>
        <w:rPr>
          <w:rFonts w:ascii="Times New Roman" w:hAnsi="Times New Roman" w:eastAsia="Times New Roman" w:cs="Times New Roman"/>
          <w:color w:val="231F20"/>
          <w:spacing w:val="-1"/>
          <w:sz w:val="22"/>
          <w:szCs w:val="22"/>
        </w:rPr>
        <w:t xml:space="preserve">0 </w:t>
      </w:r>
      <w:r>
        <w:rPr>
          <w:rFonts w:ascii="微软雅黑" w:hAnsi="微软雅黑" w:eastAsia="微软雅黑" w:cs="微软雅黑"/>
          <w:color w:val="231F20"/>
          <w:spacing w:val="-1"/>
          <w:sz w:val="22"/>
          <w:szCs w:val="22"/>
        </w:rPr>
        <w:t>年以来 ，虽然受新冠肺炎疫情、粮食安全风险、全球贸易摩擦等因素影响，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食品制造业利用外资总体保持了较</w:t>
      </w:r>
      <w:r>
        <w:rPr>
          <w:rFonts w:ascii="微软雅黑" w:hAnsi="微软雅黑" w:eastAsia="微软雅黑" w:cs="微软雅黑"/>
          <w:color w:val="231F20"/>
          <w:sz w:val="22"/>
          <w:szCs w:val="22"/>
        </w:rPr>
        <w:t>为稳定的发展态势。</w:t>
      </w:r>
    </w:p>
    <w:p>
      <w:pPr>
        <w:spacing w:before="180" w:line="217" w:lineRule="auto"/>
        <w:ind w:left="2463"/>
        <w:rPr>
          <w:rFonts w:ascii="KaiTi" w:hAnsi="KaiTi" w:eastAsia="KaiTi" w:cs="KaiTi"/>
          <w:sz w:val="22"/>
          <w:szCs w:val="22"/>
        </w:rPr>
      </w:pPr>
      <w:r>
        <w:rPr>
          <w:rFonts w:ascii="Times New Roman" w:hAnsi="Times New Roman" w:eastAsia="Times New Roman" w:cs="Times New Roman"/>
          <w:color w:val="015DAC"/>
          <w:spacing w:val="-2"/>
          <w:sz w:val="22"/>
          <w:szCs w:val="22"/>
        </w:rPr>
        <w:t xml:space="preserve">1. </w:t>
      </w:r>
      <w:r>
        <w:rPr>
          <w:rFonts w:ascii="KaiTi" w:hAnsi="KaiTi" w:eastAsia="KaiTi" w:cs="KaiTi"/>
          <w:color w:val="015DAC"/>
          <w:spacing w:val="-2"/>
          <w:sz w:val="22"/>
          <w:szCs w:val="22"/>
        </w:rPr>
        <w:t>引</w:t>
      </w:r>
      <w:r>
        <w:rPr>
          <w:rFonts w:ascii="KaiTi" w:hAnsi="KaiTi" w:eastAsia="KaiTi" w:cs="KaiTi"/>
          <w:color w:val="015DAC"/>
          <w:spacing w:val="-1"/>
          <w:sz w:val="22"/>
          <w:szCs w:val="22"/>
        </w:rPr>
        <w:t>资规模持续增长</w:t>
      </w:r>
    </w:p>
    <w:p>
      <w:pPr>
        <w:spacing w:line="262" w:lineRule="auto"/>
        <w:rPr>
          <w:rFonts w:ascii="Arial"/>
          <w:sz w:val="21"/>
        </w:rPr>
      </w:pPr>
    </w:p>
    <w:p>
      <w:pPr>
        <w:spacing w:before="95" w:line="261" w:lineRule="auto"/>
        <w:ind w:left="1990" w:right="1981" w:firstLine="463"/>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近年来 ，在中国持续支持和规范食品制造业</w:t>
      </w:r>
      <w:r>
        <w:rPr>
          <w:rFonts w:ascii="微软雅黑" w:hAnsi="微软雅黑" w:eastAsia="微软雅黑" w:cs="微软雅黑"/>
          <w:color w:val="231F20"/>
          <w:sz w:val="22"/>
          <w:szCs w:val="22"/>
        </w:rPr>
        <w:t xml:space="preserve">发展政策推动下 ，食品制造业引资规 </w:t>
      </w:r>
      <w:r>
        <w:rPr>
          <w:rFonts w:ascii="微软雅黑" w:hAnsi="微软雅黑" w:eastAsia="微软雅黑" w:cs="微软雅黑"/>
          <w:color w:val="231F20"/>
          <w:spacing w:val="2"/>
          <w:sz w:val="22"/>
          <w:szCs w:val="22"/>
        </w:rPr>
        <w:t>模持续增长。</w:t>
      </w:r>
      <w:r>
        <w:rPr>
          <w:rFonts w:ascii="Times New Roman" w:hAnsi="Times New Roman" w:eastAsia="Times New Roman" w:cs="Times New Roman"/>
          <w:color w:val="231F20"/>
          <w:spacing w:val="2"/>
          <w:sz w:val="22"/>
          <w:szCs w:val="22"/>
        </w:rPr>
        <w:t xml:space="preserve">2017-2021 </w:t>
      </w:r>
      <w:r>
        <w:rPr>
          <w:rFonts w:ascii="微软雅黑" w:hAnsi="微软雅黑" w:eastAsia="微软雅黑" w:cs="微软雅黑"/>
          <w:color w:val="231F20"/>
          <w:spacing w:val="2"/>
          <w:sz w:val="22"/>
          <w:szCs w:val="22"/>
        </w:rPr>
        <w:t>年 ，食品制造业实际使用外资金额从</w:t>
      </w:r>
      <w:r>
        <w:rPr>
          <w:rFonts w:ascii="微软雅黑" w:hAnsi="微软雅黑" w:eastAsia="微软雅黑" w:cs="微软雅黑"/>
          <w:color w:val="231F20"/>
          <w:spacing w:val="1"/>
          <w:sz w:val="22"/>
          <w:szCs w:val="22"/>
        </w:rPr>
        <w:t xml:space="preserve"> </w:t>
      </w:r>
      <w:r>
        <w:rPr>
          <w:rFonts w:ascii="Times New Roman" w:hAnsi="Times New Roman" w:eastAsia="Times New Roman" w:cs="Times New Roman"/>
          <w:color w:val="231F20"/>
          <w:spacing w:val="1"/>
          <w:sz w:val="22"/>
          <w:szCs w:val="22"/>
        </w:rPr>
        <w:t xml:space="preserve">11.9 </w:t>
      </w:r>
      <w:r>
        <w:rPr>
          <w:rFonts w:ascii="微软雅黑" w:hAnsi="微软雅黑" w:eastAsia="微软雅黑" w:cs="微软雅黑"/>
          <w:color w:val="231F20"/>
          <w:spacing w:val="1"/>
          <w:sz w:val="22"/>
          <w:szCs w:val="22"/>
        </w:rPr>
        <w:t xml:space="preserve">亿美元增长到 </w:t>
      </w:r>
      <w:r>
        <w:rPr>
          <w:rFonts w:ascii="Times New Roman" w:hAnsi="Times New Roman" w:eastAsia="Times New Roman" w:cs="Times New Roman"/>
          <w:color w:val="231F20"/>
          <w:spacing w:val="1"/>
          <w:sz w:val="22"/>
          <w:szCs w:val="22"/>
        </w:rPr>
        <w:t>15.9</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1"/>
          <w:sz w:val="22"/>
          <w:szCs w:val="22"/>
        </w:rPr>
        <w:t xml:space="preserve">亿美元 ，增长了 </w:t>
      </w:r>
      <w:r>
        <w:rPr>
          <w:rFonts w:ascii="Times New Roman" w:hAnsi="Times New Roman" w:eastAsia="Times New Roman" w:cs="Times New Roman"/>
          <w:color w:val="231F20"/>
          <w:spacing w:val="1"/>
          <w:sz w:val="22"/>
          <w:szCs w:val="22"/>
        </w:rPr>
        <w:t>32.7%</w:t>
      </w:r>
      <w:r>
        <w:rPr>
          <w:rFonts w:ascii="微软雅黑" w:hAnsi="微软雅黑" w:eastAsia="微软雅黑" w:cs="微软雅黑"/>
          <w:color w:val="231F20"/>
          <w:spacing w:val="1"/>
          <w:sz w:val="22"/>
          <w:szCs w:val="22"/>
        </w:rPr>
        <w:t>。一批跨国食品企业持续加大</w:t>
      </w:r>
      <w:r>
        <w:rPr>
          <w:rFonts w:ascii="微软雅黑" w:hAnsi="微软雅黑" w:eastAsia="微软雅黑" w:cs="微软雅黑"/>
          <w:color w:val="231F20"/>
          <w:sz w:val="22"/>
          <w:szCs w:val="22"/>
        </w:rPr>
        <w:t xml:space="preserve">中国食品全产业链投资 ，加速在 </w:t>
      </w:r>
      <w:r>
        <w:rPr>
          <w:rFonts w:ascii="微软雅黑" w:hAnsi="微软雅黑" w:eastAsia="微软雅黑" w:cs="微软雅黑"/>
          <w:color w:val="231F20"/>
          <w:spacing w:val="-1"/>
          <w:sz w:val="22"/>
          <w:szCs w:val="22"/>
        </w:rPr>
        <w:t>中国食品制造</w:t>
      </w:r>
      <w:r>
        <w:rPr>
          <w:rFonts w:ascii="微软雅黑" w:hAnsi="微软雅黑" w:eastAsia="微软雅黑" w:cs="微软雅黑"/>
          <w:color w:val="231F20"/>
          <w:sz w:val="22"/>
          <w:szCs w:val="22"/>
        </w:rPr>
        <w:t>业的投资布局。</w:t>
      </w:r>
    </w:p>
    <w:p>
      <w:pPr>
        <w:sectPr>
          <w:pgSz w:w="12246" w:h="16498"/>
          <w:pgMar w:top="400" w:right="0" w:bottom="400" w:left="0" w:header="0" w:footer="0" w:gutter="0"/>
          <w:cols w:space="720" w:num="1"/>
        </w:sectPr>
      </w:pPr>
    </w:p>
    <w:p>
      <w:pPr>
        <w:spacing w:line="241" w:lineRule="auto"/>
        <w:rPr>
          <w:rFonts w:ascii="Arial"/>
          <w:sz w:val="21"/>
        </w:rPr>
      </w:pPr>
      <w:r>
        <w:pict>
          <v:rect id="_x0000_s1316" o:spid="_x0000_s1316" o:spt="1" style="position:absolute;left:0pt;margin-left:130.5pt;margin-top:141.15pt;height:155.35pt;width:0.3pt;mso-position-horizontal-relative:page;mso-position-vertical-relative:page;z-index:251974656;mso-width-relative:page;mso-height-relative:page;" fillcolor="#231F20" filled="t" stroked="f" coordsize="21600,21600" o:allowincell="f">
            <v:path/>
            <v:fill on="t" focussize="0,0"/>
            <v:stroke on="f"/>
            <v:imagedata o:title=""/>
            <o:lock v:ext="edit"/>
          </v:rect>
        </w:pict>
      </w:r>
      <w:r>
        <w:pict>
          <v:rect id="_x0000_s1317" o:spid="_x0000_s1317" o:spt="1" style="position:absolute;left:0pt;margin-left:133.05pt;margin-top:277.35pt;height:0.75pt;width:361.8pt;mso-position-horizontal-relative:page;mso-position-vertical-relative:page;z-index:251981824;mso-width-relative:page;mso-height-relative:page;" fillcolor="#CEE6ED" filled="t" stroked="f" coordsize="21600,21600" o:allowincell="f">
            <v:path/>
            <v:fill on="t" focussize="0,0"/>
            <v:stroke on="f"/>
            <v:imagedata o:title=""/>
            <o:lock v:ext="edit"/>
          </v:rect>
        </w:pict>
      </w:r>
      <w:r>
        <w:pict>
          <v:rect id="_x0000_s1318" o:spid="_x0000_s1318" o:spt="1" style="position:absolute;left:0pt;margin-left:133.05pt;margin-top:193.75pt;height:0.75pt;width:361.8pt;mso-position-horizontal-relative:page;mso-position-vertical-relative:page;z-index:251980800;mso-width-relative:page;mso-height-relative:page;" fillcolor="#CEE6ED" filled="t" stroked="f" coordsize="21600,21600" o:allowincell="f">
            <v:path/>
            <v:fill on="t" focussize="0,0"/>
            <v:stroke on="f"/>
            <v:imagedata o:title=""/>
            <o:lock v:ext="edit"/>
          </v:rect>
        </w:pict>
      </w:r>
      <w:r>
        <w:pict>
          <v:rect id="_x0000_s1319" o:spid="_x0000_s1319" o:spt="1" style="position:absolute;left:0pt;margin-left:133.05pt;margin-top:177pt;height:0.75pt;width:361.8pt;mso-position-horizontal-relative:page;mso-position-vertical-relative:page;z-index:251978752;mso-width-relative:page;mso-height-relative:page;" fillcolor="#CEE6ED" filled="t" stroked="f" coordsize="21600,21600" o:allowincell="f">
            <v:path/>
            <v:fill on="t" focussize="0,0"/>
            <v:stroke on="f"/>
            <v:imagedata o:title=""/>
            <o:lock v:ext="edit"/>
          </v:rect>
        </w:pict>
      </w:r>
      <w:r>
        <w:pict>
          <v:rect id="_x0000_s1320" o:spid="_x0000_s1320" o:spt="1" style="position:absolute;left:0pt;margin-left:133.05pt;margin-top:160.3pt;height:0.75pt;width:361.8pt;mso-position-horizontal-relative:page;mso-position-vertical-relative:page;z-index:251979776;mso-width-relative:page;mso-height-relative:page;" fillcolor="#CEE6ED" filled="t" stroked="f" coordsize="21600,21600" o:allowincell="f">
            <v:path/>
            <v:fill on="t" focussize="0,0"/>
            <v:stroke on="f"/>
            <v:imagedata o:title=""/>
            <o:lock v:ext="edit"/>
          </v:rect>
        </w:pict>
      </w:r>
      <w:r>
        <w:pict>
          <v:rect id="_x0000_s1321" o:spid="_x0000_s1321" o:spt="1" style="position:absolute;left:0pt;margin-left:133.05pt;margin-top:143.55pt;height:0.75pt;width:361.8pt;mso-position-horizontal-relative:page;mso-position-vertical-relative:page;z-index:251977728;mso-width-relative:page;mso-height-relative:page;" fillcolor="#CEE6ED" filled="t" stroked="f" coordsize="21600,21600" o:allowincell="f">
            <v:path/>
            <v:fill on="t" focussize="0,0"/>
            <v:stroke on="f"/>
            <v:imagedata o:title=""/>
            <o:lock v:ext="edit"/>
          </v:rect>
        </w:pict>
      </w:r>
      <w:r>
        <w:drawing>
          <wp:anchor distT="0" distB="0" distL="0" distR="0" simplePos="0" relativeHeight="25197158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57" name="IM 257"/>
            <wp:cNvGraphicFramePr/>
            <a:graphic xmlns:a="http://schemas.openxmlformats.org/drawingml/2006/main">
              <a:graphicData uri="http://schemas.openxmlformats.org/drawingml/2006/picture">
                <pic:pic xmlns:pic="http://schemas.openxmlformats.org/drawingml/2006/picture">
                  <pic:nvPicPr>
                    <pic:cNvPr id="257" name="IM 257"/>
                    <pic:cNvPicPr/>
                  </pic:nvPicPr>
                  <pic:blipFill>
                    <a:blip r:embed="rId43"/>
                    <a:stretch>
                      <a:fillRect/>
                    </a:stretch>
                  </pic:blipFill>
                  <pic:spPr>
                    <a:xfrm>
                      <a:off x="0" y="0"/>
                      <a:ext cx="7775994" cy="422998"/>
                    </a:xfrm>
                    <a:prstGeom prst="rect">
                      <a:avLst/>
                    </a:prstGeom>
                  </pic:spPr>
                </pic:pic>
              </a:graphicData>
            </a:graphic>
          </wp:anchor>
        </w:drawing>
      </w:r>
      <w:r>
        <w:pict>
          <v:shape id="_x0000_s1322" o:spid="_x0000_s1322" o:spt="202" type="#_x0000_t202" style="position:absolute;left:0pt;margin-left:116.3pt;margin-top:206.95pt;height:60.95pt;width:15.25pt;mso-position-horizontal-relative:page;mso-position-vertical-relative:page;z-index:251976704;mso-width-relative:page;mso-height-relative:page;" filled="f" stroked="f" coordsize="21600,21600" o:allowincell="f">
            <v:path/>
            <v:fill on="f" focussize="0,0"/>
            <v:stroke on="f"/>
            <v:imagedata o:title=""/>
            <o:lock v:ext="edit" aspectratio="f"/>
            <v:textbox inset="0mm,0mm,0mm,0mm">
              <w:txbxContent>
                <w:p>
                  <w:pPr>
                    <w:spacing w:before="19" w:line="182" w:lineRule="auto"/>
                    <w:ind w:left="20"/>
                    <w:rPr>
                      <w:rFonts w:ascii="Calibri" w:hAnsi="Calibri" w:eastAsia="Calibri" w:cs="Calibri"/>
                      <w:sz w:val="19"/>
                      <w:szCs w:val="19"/>
                    </w:rPr>
                  </w:pPr>
                  <w:r>
                    <w:rPr>
                      <w:rFonts w:ascii="Calibri" w:hAnsi="Calibri" w:eastAsia="Calibri" w:cs="Calibri"/>
                      <w:color w:val="030303"/>
                      <w:spacing w:val="-6"/>
                      <w:sz w:val="19"/>
                      <w:szCs w:val="19"/>
                    </w:rPr>
                    <w:t>1</w:t>
                  </w:r>
                  <w:r>
                    <w:rPr>
                      <w:rFonts w:ascii="Calibri" w:hAnsi="Calibri" w:eastAsia="Calibri" w:cs="Calibri"/>
                      <w:color w:val="030303"/>
                      <w:spacing w:val="-4"/>
                      <w:sz w:val="19"/>
                      <w:szCs w:val="19"/>
                    </w:rPr>
                    <w:t>0</w:t>
                  </w:r>
                  <w:r>
                    <w:rPr>
                      <w:rFonts w:ascii="Calibri" w:hAnsi="Calibri" w:eastAsia="Calibri" w:cs="Calibri"/>
                      <w:strike/>
                      <w:color w:val="030303"/>
                      <w:sz w:val="19"/>
                      <w:szCs w:val="19"/>
                    </w:rPr>
                    <w:t xml:space="preserve"> </w:t>
                  </w:r>
                </w:p>
                <w:p>
                  <w:pPr>
                    <w:spacing w:before="157" w:line="182" w:lineRule="auto"/>
                    <w:ind w:left="112"/>
                    <w:rPr>
                      <w:rFonts w:ascii="Calibri" w:hAnsi="Calibri" w:eastAsia="Calibri" w:cs="Calibri"/>
                      <w:sz w:val="19"/>
                      <w:szCs w:val="19"/>
                    </w:rPr>
                  </w:pPr>
                  <w:r>
                    <w:rPr>
                      <w:rFonts w:ascii="Calibri" w:hAnsi="Calibri" w:eastAsia="Calibri" w:cs="Calibri"/>
                      <w:color w:val="030303"/>
                      <w:spacing w:val="-6"/>
                      <w:sz w:val="19"/>
                      <w:szCs w:val="19"/>
                    </w:rPr>
                    <w:t>8</w:t>
                  </w:r>
                  <w:r>
                    <w:rPr>
                      <w:rFonts w:ascii="Calibri" w:hAnsi="Calibri" w:eastAsia="Calibri" w:cs="Calibri"/>
                      <w:strike/>
                      <w:color w:val="030303"/>
                      <w:sz w:val="19"/>
                      <w:szCs w:val="19"/>
                    </w:rPr>
                    <w:t xml:space="preserve"> </w:t>
                  </w:r>
                </w:p>
                <w:p>
                  <w:pPr>
                    <w:spacing w:before="158" w:line="182" w:lineRule="auto"/>
                    <w:ind w:left="114"/>
                    <w:rPr>
                      <w:rFonts w:ascii="Calibri" w:hAnsi="Calibri" w:eastAsia="Calibri" w:cs="Calibri"/>
                      <w:sz w:val="19"/>
                      <w:szCs w:val="19"/>
                    </w:rPr>
                  </w:pPr>
                  <w:r>
                    <w:rPr>
                      <w:rFonts w:ascii="Calibri" w:hAnsi="Calibri" w:eastAsia="Calibri" w:cs="Calibri"/>
                      <w:color w:val="030303"/>
                      <w:spacing w:val="-8"/>
                      <w:sz w:val="19"/>
                      <w:szCs w:val="19"/>
                    </w:rPr>
                    <w:t>6</w:t>
                  </w:r>
                  <w:r>
                    <w:rPr>
                      <w:rFonts w:ascii="Calibri" w:hAnsi="Calibri" w:eastAsia="Calibri" w:cs="Calibri"/>
                      <w:strike/>
                      <w:color w:val="030303"/>
                      <w:sz w:val="19"/>
                      <w:szCs w:val="19"/>
                    </w:rPr>
                    <w:t xml:space="preserve"> </w:t>
                  </w:r>
                </w:p>
                <w:p>
                  <w:pPr>
                    <w:spacing w:before="160" w:line="181" w:lineRule="auto"/>
                    <w:ind w:left="108"/>
                    <w:rPr>
                      <w:rFonts w:ascii="Calibri" w:hAnsi="Calibri" w:eastAsia="Calibri" w:cs="Calibri"/>
                      <w:sz w:val="19"/>
                      <w:szCs w:val="19"/>
                    </w:rPr>
                  </w:pPr>
                  <w:r>
                    <w:rPr>
                      <w:rFonts w:ascii="Calibri" w:hAnsi="Calibri" w:eastAsia="Calibri" w:cs="Calibri"/>
                      <w:color w:val="030303"/>
                      <w:spacing w:val="-3"/>
                      <w:sz w:val="19"/>
                      <w:szCs w:val="19"/>
                    </w:rPr>
                    <w:t>4</w:t>
                  </w:r>
                  <w:r>
                    <w:rPr>
                      <w:rFonts w:ascii="Calibri" w:hAnsi="Calibri" w:eastAsia="Calibri" w:cs="Calibri"/>
                      <w:strike/>
                      <w:color w:val="030303"/>
                      <w:sz w:val="19"/>
                      <w:szCs w:val="19"/>
                    </w:rPr>
                    <w:t xml:space="preserve"> </w:t>
                  </w:r>
                </w:p>
              </w:txbxContent>
            </v:textbox>
          </v:shape>
        </w:pict>
      </w:r>
      <w:r>
        <w:drawing>
          <wp:anchor distT="0" distB="0" distL="0" distR="0" simplePos="0" relativeHeight="251975680" behindDoc="0" locked="0" layoutInCell="0" allowOverlap="1">
            <wp:simplePos x="0" y="0"/>
            <wp:positionH relativeFrom="page">
              <wp:posOffset>1635760</wp:posOffset>
            </wp:positionH>
            <wp:positionV relativeFrom="page">
              <wp:posOffset>3721100</wp:posOffset>
            </wp:positionV>
            <wp:extent cx="4726940" cy="5715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16"/>
                    <a:stretch>
                      <a:fillRect/>
                    </a:stretch>
                  </pic:blipFill>
                  <pic:spPr>
                    <a:xfrm>
                      <a:off x="0" y="0"/>
                      <a:ext cx="4726799" cy="56999"/>
                    </a:xfrm>
                    <a:prstGeom prst="rect">
                      <a:avLst/>
                    </a:prstGeom>
                  </pic:spPr>
                </pic:pic>
              </a:graphicData>
            </a:graphic>
          </wp:anchor>
        </w:drawing>
      </w:r>
      <w:r>
        <w:pict>
          <v:shape id="_x0000_s1323" o:spid="_x0000_s1323" o:spt="202" type="#_x0000_t202" style="position:absolute;left:0pt;margin-left:456.75pt;margin-top:507.6pt;height:14.15pt;width:9.2pt;mso-position-horizontal-relative:page;mso-position-vertical-relative:page;z-index:251982848;mso-width-relative:page;mso-height-relative:page;" filled="f" stroked="f" coordsize="21600,21600" o:allowincell="f">
            <v:path/>
            <v:fill on="f" focussize="0,0"/>
            <v:stroke on="f"/>
            <v:imagedata o:title=""/>
            <o:lock v:ext="edit" aspectratio="f"/>
            <v:textbox inset="0mm,0mm,0mm,0mm">
              <w:txbxContent>
                <w:p>
                  <w:pPr>
                    <w:spacing w:before="20" w:line="242" w:lineRule="exact"/>
                    <w:ind w:left="20"/>
                    <w:rPr>
                      <w:rFonts w:ascii="Times New Roman" w:hAnsi="Times New Roman" w:eastAsia="Times New Roman" w:cs="Times New Roman"/>
                      <w:sz w:val="17"/>
                      <w:szCs w:val="17"/>
                    </w:rPr>
                  </w:pPr>
                  <w:r>
                    <w:rPr>
                      <w:rFonts w:ascii="Times New Roman" w:hAnsi="Times New Roman" w:eastAsia="Times New Roman" w:cs="Times New Roman"/>
                      <w:color w:val="030303"/>
                      <w:spacing w:val="1"/>
                      <w:position w:val="2"/>
                      <w:sz w:val="17"/>
                      <w:szCs w:val="17"/>
                    </w:rPr>
                    <w:t>%</w:t>
                  </w:r>
                </w:p>
              </w:txbxContent>
            </v:textbox>
          </v:shape>
        </w:pict>
      </w:r>
      <w:r>
        <w:pict>
          <v:shape id="_x0000_s1324" o:spid="_x0000_s1324" o:spt="202" type="#_x0000_t202" style="position:absolute;left:0pt;margin-left:134.15pt;margin-top:509.85pt;height:12.65pt;width:19.6pt;mso-position-horizontal-relative:page;mso-position-vertical-relative:page;z-index:-251343872;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7"/>
                      <w:szCs w:val="17"/>
                    </w:rPr>
                  </w:pPr>
                  <w:r>
                    <w:rPr>
                      <w:rFonts w:ascii="宋体" w:hAnsi="宋体" w:eastAsia="宋体" w:cs="宋体"/>
                      <w:color w:val="030303"/>
                      <w:spacing w:val="6"/>
                      <w:sz w:val="17"/>
                      <w:szCs w:val="17"/>
                    </w:rPr>
                    <w:t>亿</w:t>
                  </w:r>
                  <w:r>
                    <w:rPr>
                      <w:rFonts w:ascii="宋体" w:hAnsi="宋体" w:eastAsia="宋体" w:cs="宋体"/>
                      <w:color w:val="030303"/>
                      <w:spacing w:val="5"/>
                      <w:sz w:val="17"/>
                      <w:szCs w:val="17"/>
                    </w:rPr>
                    <w:t>元</w:t>
                  </w:r>
                </w:p>
              </w:txbxContent>
            </v:textbox>
          </v:shape>
        </w:pict>
      </w:r>
      <w:r>
        <w:pict>
          <v:shape id="_x0000_s1325" o:spid="_x0000_s1325" o:spt="202" type="#_x0000_t202" style="position:absolute;left:0pt;margin-left:137.9pt;margin-top:524.8pt;height:134.15pt;width:24pt;mso-position-horizontal-relative:page;mso-position-vertical-relative:page;z-index:251973632;mso-width-relative:page;mso-height-relative:page;" filled="f" stroked="f" coordsize="21600,21600" o:allowincell="f">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2"/>
                      <w:sz w:val="17"/>
                      <w:szCs w:val="17"/>
                    </w:rPr>
                    <w:t>180</w:t>
                  </w:r>
                  <w:r>
                    <w:rPr>
                      <w:rFonts w:ascii="Calibri" w:hAnsi="Calibri" w:eastAsia="Calibri" w:cs="Calibri"/>
                      <w:color w:val="030303"/>
                      <w:spacing w:val="1"/>
                      <w:sz w:val="17"/>
                      <w:szCs w:val="17"/>
                    </w:rPr>
                    <w:t>00</w:t>
                  </w:r>
                </w:p>
                <w:p>
                  <w:pPr>
                    <w:spacing w:before="114" w:line="186" w:lineRule="auto"/>
                    <w:ind w:left="20"/>
                    <w:rPr>
                      <w:rFonts w:ascii="Calibri" w:hAnsi="Calibri" w:eastAsia="Calibri" w:cs="Calibri"/>
                      <w:sz w:val="17"/>
                      <w:szCs w:val="17"/>
                    </w:rPr>
                  </w:pPr>
                  <w:r>
                    <w:rPr>
                      <w:rFonts w:ascii="Calibri" w:hAnsi="Calibri" w:eastAsia="Calibri" w:cs="Calibri"/>
                      <w:color w:val="030303"/>
                      <w:spacing w:val="2"/>
                      <w:sz w:val="17"/>
                      <w:szCs w:val="17"/>
                    </w:rPr>
                    <w:t>160</w:t>
                  </w:r>
                  <w:r>
                    <w:rPr>
                      <w:rFonts w:ascii="Calibri" w:hAnsi="Calibri" w:eastAsia="Calibri" w:cs="Calibri"/>
                      <w:color w:val="030303"/>
                      <w:spacing w:val="1"/>
                      <w:sz w:val="17"/>
                      <w:szCs w:val="17"/>
                    </w:rPr>
                    <w:t>00</w:t>
                  </w:r>
                </w:p>
                <w:p>
                  <w:pPr>
                    <w:spacing w:before="114" w:line="186" w:lineRule="auto"/>
                    <w:ind w:left="20"/>
                    <w:rPr>
                      <w:rFonts w:ascii="Calibri" w:hAnsi="Calibri" w:eastAsia="Calibri" w:cs="Calibri"/>
                      <w:sz w:val="17"/>
                      <w:szCs w:val="17"/>
                    </w:rPr>
                  </w:pPr>
                  <w:r>
                    <w:rPr>
                      <w:rFonts w:ascii="Calibri" w:hAnsi="Calibri" w:eastAsia="Calibri" w:cs="Calibri"/>
                      <w:color w:val="030303"/>
                      <w:spacing w:val="2"/>
                      <w:sz w:val="17"/>
                      <w:szCs w:val="17"/>
                    </w:rPr>
                    <w:t>140</w:t>
                  </w:r>
                  <w:r>
                    <w:rPr>
                      <w:rFonts w:ascii="Calibri" w:hAnsi="Calibri" w:eastAsia="Calibri" w:cs="Calibri"/>
                      <w:color w:val="030303"/>
                      <w:spacing w:val="1"/>
                      <w:sz w:val="17"/>
                      <w:szCs w:val="17"/>
                    </w:rPr>
                    <w:t>00</w:t>
                  </w:r>
                </w:p>
                <w:p>
                  <w:pPr>
                    <w:spacing w:before="115" w:line="186" w:lineRule="auto"/>
                    <w:ind w:left="20"/>
                    <w:rPr>
                      <w:rFonts w:ascii="Calibri" w:hAnsi="Calibri" w:eastAsia="Calibri" w:cs="Calibri"/>
                      <w:sz w:val="17"/>
                      <w:szCs w:val="17"/>
                    </w:rPr>
                  </w:pPr>
                  <w:r>
                    <w:rPr>
                      <w:rFonts w:ascii="Calibri" w:hAnsi="Calibri" w:eastAsia="Calibri" w:cs="Calibri"/>
                      <w:color w:val="030303"/>
                      <w:spacing w:val="2"/>
                      <w:sz w:val="17"/>
                      <w:szCs w:val="17"/>
                    </w:rPr>
                    <w:t>120</w:t>
                  </w:r>
                  <w:r>
                    <w:rPr>
                      <w:rFonts w:ascii="Calibri" w:hAnsi="Calibri" w:eastAsia="Calibri" w:cs="Calibri"/>
                      <w:color w:val="030303"/>
                      <w:spacing w:val="1"/>
                      <w:sz w:val="17"/>
                      <w:szCs w:val="17"/>
                    </w:rPr>
                    <w:t>00</w:t>
                  </w:r>
                </w:p>
                <w:p>
                  <w:pPr>
                    <w:spacing w:before="115" w:line="186" w:lineRule="auto"/>
                    <w:ind w:left="20"/>
                    <w:rPr>
                      <w:rFonts w:ascii="Calibri" w:hAnsi="Calibri" w:eastAsia="Calibri" w:cs="Calibri"/>
                      <w:sz w:val="17"/>
                      <w:szCs w:val="17"/>
                    </w:rPr>
                  </w:pPr>
                  <w:r>
                    <w:rPr>
                      <w:rFonts w:ascii="Calibri" w:hAnsi="Calibri" w:eastAsia="Calibri" w:cs="Calibri"/>
                      <w:color w:val="030303"/>
                      <w:spacing w:val="2"/>
                      <w:sz w:val="17"/>
                      <w:szCs w:val="17"/>
                    </w:rPr>
                    <w:t>100</w:t>
                  </w:r>
                  <w:r>
                    <w:rPr>
                      <w:rFonts w:ascii="Calibri" w:hAnsi="Calibri" w:eastAsia="Calibri" w:cs="Calibri"/>
                      <w:color w:val="030303"/>
                      <w:spacing w:val="1"/>
                      <w:sz w:val="17"/>
                      <w:szCs w:val="17"/>
                    </w:rPr>
                    <w:t>00</w:t>
                  </w:r>
                </w:p>
                <w:p>
                  <w:pPr>
                    <w:spacing w:before="115" w:line="186" w:lineRule="auto"/>
                    <w:ind w:left="102"/>
                    <w:rPr>
                      <w:rFonts w:ascii="Calibri" w:hAnsi="Calibri" w:eastAsia="Calibri" w:cs="Calibri"/>
                      <w:sz w:val="17"/>
                      <w:szCs w:val="17"/>
                    </w:rPr>
                  </w:pPr>
                  <w:r>
                    <w:rPr>
                      <w:rFonts w:ascii="Calibri" w:hAnsi="Calibri" w:eastAsia="Calibri" w:cs="Calibri"/>
                      <w:color w:val="030303"/>
                      <w:spacing w:val="3"/>
                      <w:sz w:val="17"/>
                      <w:szCs w:val="17"/>
                    </w:rPr>
                    <w:t>8000</w:t>
                  </w:r>
                </w:p>
                <w:p>
                  <w:pPr>
                    <w:spacing w:before="115" w:line="186" w:lineRule="auto"/>
                    <w:ind w:left="104"/>
                    <w:rPr>
                      <w:rFonts w:ascii="Calibri" w:hAnsi="Calibri" w:eastAsia="Calibri" w:cs="Calibri"/>
                      <w:sz w:val="17"/>
                      <w:szCs w:val="17"/>
                    </w:rPr>
                  </w:pPr>
                  <w:r>
                    <w:rPr>
                      <w:rFonts w:ascii="Calibri" w:hAnsi="Calibri" w:eastAsia="Calibri" w:cs="Calibri"/>
                      <w:color w:val="030303"/>
                      <w:spacing w:val="3"/>
                      <w:sz w:val="17"/>
                      <w:szCs w:val="17"/>
                    </w:rPr>
                    <w:t>6</w:t>
                  </w:r>
                  <w:r>
                    <w:rPr>
                      <w:rFonts w:ascii="Calibri" w:hAnsi="Calibri" w:eastAsia="Calibri" w:cs="Calibri"/>
                      <w:color w:val="030303"/>
                      <w:spacing w:val="2"/>
                      <w:sz w:val="17"/>
                      <w:szCs w:val="17"/>
                    </w:rPr>
                    <w:t>000</w:t>
                  </w:r>
                </w:p>
                <w:p>
                  <w:pPr>
                    <w:spacing w:before="115" w:line="186" w:lineRule="auto"/>
                    <w:ind w:left="99"/>
                    <w:rPr>
                      <w:rFonts w:ascii="Calibri" w:hAnsi="Calibri" w:eastAsia="Calibri" w:cs="Calibri"/>
                      <w:sz w:val="17"/>
                      <w:szCs w:val="17"/>
                    </w:rPr>
                  </w:pPr>
                  <w:r>
                    <w:rPr>
                      <w:rFonts w:ascii="Calibri" w:hAnsi="Calibri" w:eastAsia="Calibri" w:cs="Calibri"/>
                      <w:color w:val="030303"/>
                      <w:spacing w:val="6"/>
                      <w:sz w:val="17"/>
                      <w:szCs w:val="17"/>
                    </w:rPr>
                    <w:t>4</w:t>
                  </w:r>
                  <w:r>
                    <w:rPr>
                      <w:rFonts w:ascii="Calibri" w:hAnsi="Calibri" w:eastAsia="Calibri" w:cs="Calibri"/>
                      <w:color w:val="030303"/>
                      <w:spacing w:val="3"/>
                      <w:sz w:val="17"/>
                      <w:szCs w:val="17"/>
                    </w:rPr>
                    <w:t>000</w:t>
                  </w:r>
                </w:p>
                <w:p>
                  <w:pPr>
                    <w:spacing w:before="115" w:line="186" w:lineRule="auto"/>
                    <w:ind w:left="105"/>
                    <w:rPr>
                      <w:rFonts w:ascii="Calibri" w:hAnsi="Calibri" w:eastAsia="Calibri" w:cs="Calibri"/>
                      <w:sz w:val="17"/>
                      <w:szCs w:val="17"/>
                    </w:rPr>
                  </w:pPr>
                  <w:r>
                    <w:rPr>
                      <w:rFonts w:ascii="Calibri" w:hAnsi="Calibri" w:eastAsia="Calibri" w:cs="Calibri"/>
                      <w:color w:val="030303"/>
                      <w:spacing w:val="3"/>
                      <w:sz w:val="17"/>
                      <w:szCs w:val="17"/>
                    </w:rPr>
                    <w:t>2</w:t>
                  </w:r>
                  <w:r>
                    <w:rPr>
                      <w:rFonts w:ascii="Calibri" w:hAnsi="Calibri" w:eastAsia="Calibri" w:cs="Calibri"/>
                      <w:color w:val="030303"/>
                      <w:spacing w:val="2"/>
                      <w:sz w:val="17"/>
                      <w:szCs w:val="17"/>
                    </w:rPr>
                    <w:t>000</w:t>
                  </w:r>
                </w:p>
                <w:p>
                  <w:pPr>
                    <w:spacing w:before="115" w:line="186" w:lineRule="auto"/>
                    <w:ind w:left="374"/>
                    <w:rPr>
                      <w:rFonts w:ascii="Calibri" w:hAnsi="Calibri" w:eastAsia="Calibri" w:cs="Calibri"/>
                      <w:sz w:val="17"/>
                      <w:szCs w:val="17"/>
                    </w:rPr>
                  </w:pPr>
                  <w:r>
                    <w:rPr>
                      <w:rFonts w:ascii="Calibri" w:hAnsi="Calibri" w:eastAsia="Calibri" w:cs="Calibri"/>
                      <w:color w:val="030303"/>
                      <w:sz w:val="17"/>
                      <w:szCs w:val="17"/>
                    </w:rPr>
                    <w:t>0</w:t>
                  </w:r>
                </w:p>
              </w:txbxContent>
            </v:textbox>
          </v:shape>
        </w:pict>
      </w:r>
      <w:r>
        <w:pict>
          <v:shape id="_x0000_s1326" o:spid="_x0000_s1326" o:spt="202" type="#_x0000_t202" style="position:absolute;left:0pt;margin-left:434.8pt;margin-top:537.55pt;height:17.2pt;width:9.5pt;mso-position-horizontal-relative:page;mso-position-vertical-relative:page;z-index:251986944;mso-width-relative:page;mso-height-relative:page;" filled="f" stroked="f" coordsize="21600,21600" o:allowincell="f">
            <v:path/>
            <v:fill on="f" focussize="0,0"/>
            <v:stroke on="f"/>
            <v:imagedata o:title=""/>
            <o:lock v:ext="edit" aspectratio="f"/>
            <v:textbox inset="0mm,0mm,0mm,0mm">
              <w:txbxContent>
                <w:p>
                  <w:pPr>
                    <w:spacing w:before="20" w:line="303" w:lineRule="exact"/>
                    <w:ind w:left="20"/>
                    <w:rPr>
                      <w:rFonts w:ascii="微软雅黑" w:hAnsi="微软雅黑" w:eastAsia="微软雅黑" w:cs="微软雅黑"/>
                      <w:sz w:val="17"/>
                      <w:szCs w:val="17"/>
                    </w:rPr>
                  </w:pPr>
                  <w:r>
                    <w:rPr>
                      <w:rFonts w:ascii="微软雅黑" w:hAnsi="微软雅黑" w:eastAsia="微软雅黑" w:cs="微软雅黑"/>
                      <w:color w:val="231F20"/>
                      <w:position w:val="3"/>
                      <w:sz w:val="17"/>
                      <w:szCs w:val="17"/>
                    </w:rPr>
                    <w:t>%</w:t>
                  </w:r>
                </w:p>
              </w:txbxContent>
            </v:textbox>
          </v:shape>
        </w:pict>
      </w:r>
      <w:r>
        <w:pict>
          <v:shape id="_x0000_s1327" o:spid="_x0000_s1327" o:spt="202" type="#_x0000_t202" style="position:absolute;left:0pt;margin-left:199.5pt;margin-top:577.8pt;height:17.2pt;width:9.5pt;mso-position-horizontal-relative:page;mso-position-vertical-relative:page;z-index:251988992;mso-width-relative:page;mso-height-relative:page;" filled="f" stroked="f" coordsize="21600,21600" o:allowincell="f">
            <v:path/>
            <v:fill on="f" focussize="0,0"/>
            <v:stroke on="f"/>
            <v:imagedata o:title=""/>
            <o:lock v:ext="edit" aspectratio="f"/>
            <v:textbox inset="0mm,0mm,0mm,0mm">
              <w:txbxContent>
                <w:p>
                  <w:pPr>
                    <w:spacing w:before="20" w:line="303" w:lineRule="exact"/>
                    <w:ind w:left="20"/>
                    <w:rPr>
                      <w:rFonts w:ascii="微软雅黑" w:hAnsi="微软雅黑" w:eastAsia="微软雅黑" w:cs="微软雅黑"/>
                      <w:sz w:val="17"/>
                      <w:szCs w:val="17"/>
                    </w:rPr>
                  </w:pPr>
                  <w:r>
                    <w:rPr>
                      <w:rFonts w:ascii="微软雅黑" w:hAnsi="微软雅黑" w:eastAsia="微软雅黑" w:cs="微软雅黑"/>
                      <w:color w:val="231F20"/>
                      <w:position w:val="3"/>
                      <w:sz w:val="17"/>
                      <w:szCs w:val="17"/>
                    </w:rPr>
                    <w:t>%</w:t>
                  </w:r>
                </w:p>
              </w:txbxContent>
            </v:textbox>
          </v:shape>
        </w:pict>
      </w:r>
      <w:r>
        <w:pict>
          <v:shape id="_x0000_s1328" o:spid="_x0000_s1328" o:spt="202" type="#_x0000_t202" style="position:absolute;left:0pt;margin-left:182.05pt;margin-top:579.75pt;height:12.85pt;width:19.4pt;mso-position-horizontal-relative:page;mso-position-vertical-relative:page;z-index:251995136;mso-width-relative:page;mso-height-relative:page;" filled="f" stroked="f" coordsize="21600,21600" o:allowincell="f">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30.</w:t>
                  </w:r>
                  <w:r>
                    <w:rPr>
                      <w:rFonts w:ascii="微软雅黑" w:hAnsi="微软雅黑" w:eastAsia="微软雅黑" w:cs="微软雅黑"/>
                      <w:color w:val="030303"/>
                      <w:spacing w:val="1"/>
                      <w:sz w:val="17"/>
                      <w:szCs w:val="17"/>
                    </w:rPr>
                    <w:t>3</w:t>
                  </w:r>
                </w:p>
              </w:txbxContent>
            </v:textbox>
          </v:shape>
        </w:pict>
      </w:r>
      <w:r>
        <w:pict>
          <v:shape id="_x0000_s1329" o:spid="_x0000_s1329" o:spt="202" type="#_x0000_t202" style="position:absolute;left:0pt;margin-left:190.95pt;margin-top:591.3pt;height:12.9pt;width:27.55pt;mso-position-horizontal-relative:page;mso-position-vertical-relative:page;z-index:251993088;mso-width-relative:page;mso-height-relative:page;" filled="f" stroked="f" coordsize="21600,21600" o:allowincell="f">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1</w:t>
                  </w:r>
                  <w:r>
                    <w:rPr>
                      <w:rFonts w:ascii="微软雅黑" w:hAnsi="微软雅黑" w:eastAsia="微软雅黑" w:cs="微软雅黑"/>
                      <w:color w:val="030303"/>
                      <w:spacing w:val="2"/>
                      <w:sz w:val="17"/>
                      <w:szCs w:val="17"/>
                    </w:rPr>
                    <w:t>5497</w:t>
                  </w:r>
                </w:p>
              </w:txbxContent>
            </v:textbox>
          </v:shape>
        </w:pict>
      </w:r>
      <w:r>
        <w:pict>
          <v:shape id="_x0000_s1330" o:spid="_x0000_s1330" o:spt="202" type="#_x0000_t202" style="position:absolute;left:0pt;margin-left:290.1pt;margin-top:632.45pt;height:12.85pt;width:23.1pt;mso-position-horizontal-relative:page;mso-position-vertical-relative:page;z-index:251992064;mso-width-relative:page;mso-height-relative:page;" filled="f" stroked="f" coordsize="21600,21600" o:allowincell="f">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7"/>
                      <w:sz w:val="17"/>
                      <w:szCs w:val="17"/>
                    </w:rPr>
                    <w:t>4</w:t>
                  </w:r>
                  <w:r>
                    <w:rPr>
                      <w:rFonts w:ascii="微软雅黑" w:hAnsi="微软雅黑" w:eastAsia="微软雅黑" w:cs="微软雅黑"/>
                      <w:color w:val="030303"/>
                      <w:spacing w:val="5"/>
                      <w:sz w:val="17"/>
                      <w:szCs w:val="17"/>
                    </w:rPr>
                    <w:t>380</w:t>
                  </w:r>
                </w:p>
              </w:txbxContent>
            </v:textbox>
          </v:shape>
        </w:pict>
      </w:r>
      <w:r>
        <w:pict>
          <v:shape id="_x0000_s1331" o:spid="_x0000_s1331" o:spt="202" type="#_x0000_t202" style="position:absolute;left:0pt;margin-left:232.25pt;margin-top:632.75pt;height:12.85pt;width:23.1pt;mso-position-horizontal-relative:page;mso-position-vertical-relative:page;z-index:251994112;mso-width-relative:page;mso-height-relative:page;" filled="f" stroked="f" coordsize="21600,21600" o:allowincell="f">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7"/>
                      <w:sz w:val="17"/>
                      <w:szCs w:val="17"/>
                    </w:rPr>
                    <w:t>4</w:t>
                  </w:r>
                  <w:r>
                    <w:rPr>
                      <w:rFonts w:ascii="微软雅黑" w:hAnsi="微软雅黑" w:eastAsia="微软雅黑" w:cs="微软雅黑"/>
                      <w:color w:val="030303"/>
                      <w:spacing w:val="5"/>
                      <w:sz w:val="17"/>
                      <w:szCs w:val="17"/>
                    </w:rPr>
                    <w:t>347</w:t>
                  </w:r>
                </w:p>
              </w:txbxContent>
            </v:textbox>
          </v:shape>
        </w:pict>
      </w:r>
      <w:r>
        <w:drawing>
          <wp:anchor distT="0" distB="0" distL="0" distR="0" simplePos="0" relativeHeight="251990016" behindDoc="0" locked="0" layoutInCell="0" allowOverlap="1">
            <wp:simplePos x="0" y="0"/>
            <wp:positionH relativeFrom="page">
              <wp:posOffset>3162935</wp:posOffset>
            </wp:positionH>
            <wp:positionV relativeFrom="page">
              <wp:posOffset>7717155</wp:posOffset>
            </wp:positionV>
            <wp:extent cx="811530" cy="78105"/>
            <wp:effectExtent l="0" t="0" r="0" b="0"/>
            <wp:wrapNone/>
            <wp:docPr id="259" name="IM 259"/>
            <wp:cNvGraphicFramePr/>
            <a:graphic xmlns:a="http://schemas.openxmlformats.org/drawingml/2006/main">
              <a:graphicData uri="http://schemas.openxmlformats.org/drawingml/2006/picture">
                <pic:pic xmlns:pic="http://schemas.openxmlformats.org/drawingml/2006/picture">
                  <pic:nvPicPr>
                    <pic:cNvPr id="259" name="IM 259"/>
                    <pic:cNvPicPr/>
                  </pic:nvPicPr>
                  <pic:blipFill>
                    <a:blip r:embed="rId117"/>
                    <a:stretch>
                      <a:fillRect/>
                    </a:stretch>
                  </pic:blipFill>
                  <pic:spPr>
                    <a:xfrm>
                      <a:off x="0" y="0"/>
                      <a:ext cx="811324" cy="7783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bookmarkStart w:id="49" w:name="_bookmark32"/>
      <w:bookmarkEnd w:id="49"/>
      <w:r>
        <w:rPr>
          <w:rFonts w:ascii="SimHei" w:hAnsi="SimHei" w:eastAsia="SimHei" w:cs="SimHei"/>
          <w:color w:val="1A67B3"/>
          <w:spacing w:val="39"/>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261" name="IM 261"/>
            <wp:cNvGraphicFramePr/>
            <a:graphic xmlns:a="http://schemas.openxmlformats.org/drawingml/2006/main">
              <a:graphicData uri="http://schemas.openxmlformats.org/drawingml/2006/picture">
                <pic:pic xmlns:pic="http://schemas.openxmlformats.org/drawingml/2006/picture">
                  <pic:nvPicPr>
                    <pic:cNvPr id="261" name="IM 261"/>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51</w:t>
      </w:r>
    </w:p>
    <w:p>
      <w:pPr>
        <w:spacing w:line="303" w:lineRule="auto"/>
        <w:rPr>
          <w:rFonts w:ascii="Arial"/>
          <w:sz w:val="21"/>
        </w:rPr>
      </w:pPr>
    </w:p>
    <w:p>
      <w:pPr>
        <w:spacing w:line="304" w:lineRule="auto"/>
        <w:rPr>
          <w:rFonts w:ascii="Arial"/>
          <w:sz w:val="21"/>
        </w:rPr>
      </w:pPr>
    </w:p>
    <w:p>
      <w:pPr>
        <w:spacing w:line="304" w:lineRule="auto"/>
        <w:rPr>
          <w:rFonts w:ascii="Arial"/>
          <w:sz w:val="21"/>
        </w:rPr>
      </w:pPr>
    </w:p>
    <w:p>
      <w:pPr>
        <w:spacing w:before="59" w:line="227" w:lineRule="auto"/>
        <w:ind w:left="2341"/>
        <w:rPr>
          <w:rFonts w:ascii="宋体" w:hAnsi="宋体" w:eastAsia="宋体" w:cs="宋体"/>
          <w:sz w:val="18"/>
          <w:szCs w:val="18"/>
        </w:rPr>
      </w:pPr>
      <w:r>
        <w:rPr>
          <w:rFonts w:ascii="宋体" w:hAnsi="宋体" w:eastAsia="宋体" w:cs="宋体"/>
          <w:color w:val="030303"/>
          <w:spacing w:val="1"/>
          <w:sz w:val="18"/>
          <w:szCs w:val="18"/>
        </w:rPr>
        <w:t>亿美</w:t>
      </w:r>
      <w:r>
        <w:rPr>
          <w:rFonts w:ascii="宋体" w:hAnsi="宋体" w:eastAsia="宋体" w:cs="宋体"/>
          <w:color w:val="030303"/>
          <w:sz w:val="18"/>
          <w:szCs w:val="18"/>
        </w:rPr>
        <w:t>元</w:t>
      </w:r>
    </w:p>
    <w:p>
      <w:pPr>
        <w:spacing w:before="145" w:line="182" w:lineRule="auto"/>
        <w:ind w:left="2346"/>
        <w:rPr>
          <w:rFonts w:ascii="Calibri" w:hAnsi="Calibri" w:eastAsia="Calibri" w:cs="Calibri"/>
          <w:sz w:val="19"/>
          <w:szCs w:val="19"/>
        </w:rPr>
      </w:pPr>
      <w:r>
        <w:rPr>
          <w:rFonts w:ascii="Calibri" w:hAnsi="Calibri" w:eastAsia="Calibri" w:cs="Calibri"/>
          <w:color w:val="030303"/>
          <w:spacing w:val="-6"/>
          <w:sz w:val="19"/>
          <w:szCs w:val="19"/>
        </w:rPr>
        <w:t>1</w:t>
      </w:r>
      <w:r>
        <w:rPr>
          <w:rFonts w:ascii="Calibri" w:hAnsi="Calibri" w:eastAsia="Calibri" w:cs="Calibri"/>
          <w:color w:val="030303"/>
          <w:spacing w:val="-4"/>
          <w:sz w:val="19"/>
          <w:szCs w:val="19"/>
        </w:rPr>
        <w:t>8</w:t>
      </w:r>
      <w:r>
        <w:rPr>
          <w:rFonts w:ascii="Calibri" w:hAnsi="Calibri" w:eastAsia="Calibri" w:cs="Calibri"/>
          <w:strike/>
          <w:color w:val="030303"/>
          <w:sz w:val="19"/>
          <w:szCs w:val="19"/>
        </w:rPr>
        <w:t xml:space="preserve"> </w:t>
      </w:r>
    </w:p>
    <w:p>
      <w:pPr>
        <w:spacing w:before="157" w:line="182" w:lineRule="auto"/>
        <w:ind w:left="2346"/>
        <w:rPr>
          <w:rFonts w:ascii="Calibri" w:hAnsi="Calibri" w:eastAsia="Calibri" w:cs="Calibri"/>
          <w:sz w:val="19"/>
          <w:szCs w:val="19"/>
        </w:rPr>
      </w:pPr>
      <w:r>
        <w:rPr>
          <w:rFonts w:ascii="Calibri" w:hAnsi="Calibri" w:eastAsia="Calibri" w:cs="Calibri"/>
          <w:color w:val="030303"/>
          <w:spacing w:val="-6"/>
          <w:sz w:val="19"/>
          <w:szCs w:val="19"/>
        </w:rPr>
        <w:t>1</w:t>
      </w:r>
      <w:r>
        <w:rPr>
          <w:rFonts w:ascii="Calibri" w:hAnsi="Calibri" w:eastAsia="Calibri" w:cs="Calibri"/>
          <w:color w:val="030303"/>
          <w:spacing w:val="-4"/>
          <w:sz w:val="19"/>
          <w:szCs w:val="19"/>
        </w:rPr>
        <w:t>6</w:t>
      </w:r>
      <w:r>
        <w:rPr>
          <w:rFonts w:ascii="Calibri" w:hAnsi="Calibri" w:eastAsia="Calibri" w:cs="Calibri"/>
          <w:strike/>
          <w:color w:val="030303"/>
          <w:sz w:val="19"/>
          <w:szCs w:val="19"/>
        </w:rPr>
        <w:t xml:space="preserve"> </w:t>
      </w:r>
    </w:p>
    <w:p>
      <w:pPr>
        <w:spacing w:before="159" w:line="181" w:lineRule="auto"/>
        <w:ind w:left="2346"/>
        <w:rPr>
          <w:rFonts w:ascii="Calibri" w:hAnsi="Calibri" w:eastAsia="Calibri" w:cs="Calibri"/>
          <w:sz w:val="19"/>
          <w:szCs w:val="19"/>
        </w:rPr>
      </w:pPr>
      <w:r>
        <w:rPr>
          <w:rFonts w:ascii="Calibri" w:hAnsi="Calibri" w:eastAsia="Calibri" w:cs="Calibri"/>
          <w:color w:val="030303"/>
          <w:spacing w:val="-6"/>
          <w:sz w:val="19"/>
          <w:szCs w:val="19"/>
        </w:rPr>
        <w:t>1</w:t>
      </w:r>
      <w:r>
        <w:rPr>
          <w:rFonts w:ascii="Calibri" w:hAnsi="Calibri" w:eastAsia="Calibri" w:cs="Calibri"/>
          <w:color w:val="030303"/>
          <w:spacing w:val="-4"/>
          <w:sz w:val="19"/>
          <w:szCs w:val="19"/>
        </w:rPr>
        <w:t>4</w:t>
      </w:r>
      <w:r>
        <w:rPr>
          <w:rFonts w:ascii="Calibri" w:hAnsi="Calibri" w:eastAsia="Calibri" w:cs="Calibri"/>
          <w:strike/>
          <w:color w:val="030303"/>
          <w:sz w:val="19"/>
          <w:szCs w:val="19"/>
        </w:rPr>
        <w:t xml:space="preserve"> </w:t>
      </w:r>
    </w:p>
    <w:p>
      <w:pPr>
        <w:spacing w:before="159" w:line="182" w:lineRule="auto"/>
        <w:ind w:left="2346"/>
        <w:rPr>
          <w:rFonts w:ascii="Calibri" w:hAnsi="Calibri" w:eastAsia="Calibri" w:cs="Calibri"/>
          <w:sz w:val="19"/>
          <w:szCs w:val="19"/>
        </w:rPr>
      </w:pPr>
      <w:r>
        <w:rPr>
          <w:rFonts w:ascii="Calibri" w:hAnsi="Calibri" w:eastAsia="Calibri" w:cs="Calibri"/>
          <w:color w:val="030303"/>
          <w:spacing w:val="-6"/>
          <w:sz w:val="19"/>
          <w:szCs w:val="19"/>
        </w:rPr>
        <w:t>1</w:t>
      </w:r>
      <w:r>
        <w:rPr>
          <w:rFonts w:ascii="Calibri" w:hAnsi="Calibri" w:eastAsia="Calibri" w:cs="Calibri"/>
          <w:color w:val="030303"/>
          <w:spacing w:val="-4"/>
          <w:sz w:val="19"/>
          <w:szCs w:val="19"/>
        </w:rPr>
        <w:t>2</w:t>
      </w:r>
      <w:r>
        <w:rPr>
          <w:rFonts w:ascii="Calibri" w:hAnsi="Calibri" w:eastAsia="Calibri" w:cs="Calibri"/>
          <w:strike/>
          <w:color w:val="030303"/>
          <w:sz w:val="19"/>
          <w:szCs w:val="19"/>
        </w:rPr>
        <w:t xml:space="preserve"> </w:t>
      </w:r>
    </w:p>
    <w:p>
      <w:pPr>
        <w:spacing w:line="209" w:lineRule="exact"/>
      </w:pPr>
    </w:p>
    <w:tbl>
      <w:tblPr>
        <w:tblStyle w:val="4"/>
        <w:tblW w:w="7235" w:type="dxa"/>
        <w:tblInd w:w="2661" w:type="dxa"/>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Layout w:type="fixed"/>
        <w:tblCellMar>
          <w:top w:w="0" w:type="dxa"/>
          <w:left w:w="0" w:type="dxa"/>
          <w:bottom w:w="0" w:type="dxa"/>
          <w:right w:w="0" w:type="dxa"/>
        </w:tblCellMar>
      </w:tblPr>
      <w:tblGrid>
        <w:gridCol w:w="2931"/>
        <w:gridCol w:w="4304"/>
      </w:tblGrid>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35" w:hRule="atLeast"/>
        </w:trPr>
        <w:tc>
          <w:tcPr>
            <w:tcW w:w="7235" w:type="dxa"/>
            <w:gridSpan w:val="2"/>
            <w:tcBorders>
              <w:left w:val="nil"/>
              <w:right w:val="nil"/>
            </w:tcBorders>
            <w:vAlign w:val="top"/>
          </w:tcPr>
          <w:p>
            <w:pPr>
              <w:spacing w:before="113" w:line="163" w:lineRule="auto"/>
              <w:ind w:left="6332"/>
              <w:rPr>
                <w:rFonts w:ascii="微软雅黑" w:hAnsi="微软雅黑" w:eastAsia="微软雅黑" w:cs="微软雅黑"/>
                <w:sz w:val="19"/>
                <w:szCs w:val="19"/>
              </w:rPr>
            </w:pPr>
            <w:r>
              <w:rPr>
                <w:rFonts w:ascii="微软雅黑" w:hAnsi="微软雅黑" w:eastAsia="微软雅黑" w:cs="微软雅黑"/>
                <w:color w:val="030303"/>
                <w:spacing w:val="-2"/>
                <w:sz w:val="19"/>
                <w:szCs w:val="19"/>
              </w:rPr>
              <w:t>1</w:t>
            </w:r>
            <w:r>
              <w:rPr>
                <w:rFonts w:ascii="微软雅黑" w:hAnsi="微软雅黑" w:eastAsia="微软雅黑" w:cs="微软雅黑"/>
                <w:color w:val="030303"/>
                <w:spacing w:val="-1"/>
                <w:sz w:val="19"/>
                <w:szCs w:val="19"/>
              </w:rPr>
              <w:t>5.9</w:t>
            </w: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28" w:hRule="atLeast"/>
        </w:trPr>
        <w:tc>
          <w:tcPr>
            <w:tcW w:w="7235" w:type="dxa"/>
            <w:gridSpan w:val="2"/>
            <w:tcBorders>
              <w:left w:val="nil"/>
              <w:right w:val="nil"/>
            </w:tcBorders>
            <w:vAlign w:val="top"/>
          </w:tcPr>
          <w:p>
            <w:pPr>
              <w:spacing w:before="51" w:line="153" w:lineRule="exact"/>
              <w:ind w:left="4894"/>
              <w:rPr>
                <w:rFonts w:ascii="微软雅黑" w:hAnsi="微软雅黑" w:eastAsia="微软雅黑" w:cs="微软雅黑"/>
                <w:sz w:val="19"/>
                <w:szCs w:val="19"/>
              </w:rPr>
            </w:pPr>
            <w:r>
              <w:rPr>
                <w:rFonts w:ascii="微软雅黑" w:hAnsi="微软雅黑" w:eastAsia="微软雅黑" w:cs="微软雅黑"/>
                <w:color w:val="030303"/>
                <w:spacing w:val="-2"/>
                <w:position w:val="-3"/>
                <w:sz w:val="19"/>
                <w:szCs w:val="19"/>
              </w:rPr>
              <w:t>1</w:t>
            </w:r>
            <w:r>
              <w:rPr>
                <w:rFonts w:ascii="微软雅黑" w:hAnsi="微软雅黑" w:eastAsia="微软雅黑" w:cs="微软雅黑"/>
                <w:color w:val="030303"/>
                <w:spacing w:val="-1"/>
                <w:position w:val="-3"/>
                <w:sz w:val="19"/>
                <w:szCs w:val="19"/>
              </w:rPr>
              <w:t>3.5</w:t>
            </w:r>
          </w:p>
          <w:p>
            <w:pPr>
              <w:spacing w:line="123" w:lineRule="exact"/>
              <w:ind w:left="544"/>
              <w:rPr>
                <w:rFonts w:ascii="微软雅黑" w:hAnsi="微软雅黑" w:eastAsia="微软雅黑" w:cs="微软雅黑"/>
                <w:sz w:val="15"/>
                <w:szCs w:val="15"/>
              </w:rPr>
            </w:pPr>
            <w:r>
              <w:rPr>
                <w:rFonts w:ascii="微软雅黑" w:hAnsi="微软雅黑" w:eastAsia="微软雅黑" w:cs="微软雅黑"/>
                <w:color w:val="030303"/>
                <w:spacing w:val="19"/>
                <w:position w:val="-2"/>
                <w:sz w:val="15"/>
                <w:szCs w:val="15"/>
              </w:rPr>
              <w:t>11.</w:t>
            </w:r>
            <w:r>
              <w:rPr>
                <w:rFonts w:ascii="微软雅黑" w:hAnsi="微软雅黑" w:eastAsia="微软雅黑" w:cs="微软雅黑"/>
                <w:color w:val="030303"/>
                <w:spacing w:val="18"/>
                <w:position w:val="-2"/>
                <w:sz w:val="15"/>
                <w:szCs w:val="15"/>
              </w:rPr>
              <w:t>9</w:t>
            </w:r>
          </w:p>
        </w:tc>
      </w:tr>
      <w:tr>
        <w:tblPrEx>
          <w:tblBorders>
            <w:top w:val="dashed" w:color="CEE6ED" w:sz="2" w:space="0"/>
            <w:left w:val="dashed" w:color="CEE6ED" w:sz="2" w:space="0"/>
            <w:bottom w:val="dashed" w:color="CEE6ED" w:sz="2" w:space="0"/>
            <w:right w:val="dashed" w:color="CEE6ED" w:sz="2" w:space="0"/>
            <w:insideH w:val="dashed" w:color="CEE6ED" w:sz="2" w:space="0"/>
            <w:insideV w:val="dashed" w:color="CEE6ED" w:sz="2" w:space="0"/>
          </w:tblBorders>
          <w:tblCellMar>
            <w:top w:w="0" w:type="dxa"/>
            <w:left w:w="0" w:type="dxa"/>
            <w:bottom w:w="0" w:type="dxa"/>
            <w:right w:w="0" w:type="dxa"/>
          </w:tblCellMar>
        </w:tblPrEx>
        <w:trPr>
          <w:trHeight w:val="360" w:hRule="atLeast"/>
        </w:trPr>
        <w:tc>
          <w:tcPr>
            <w:tcW w:w="2931" w:type="dxa"/>
            <w:tcBorders>
              <w:left w:val="nil"/>
              <w:right w:val="nil"/>
            </w:tcBorders>
            <w:vAlign w:val="top"/>
          </w:tcPr>
          <w:p>
            <w:pPr>
              <w:spacing w:before="103" w:line="175" w:lineRule="auto"/>
              <w:ind w:left="2000"/>
              <w:rPr>
                <w:rFonts w:ascii="微软雅黑" w:hAnsi="微软雅黑" w:eastAsia="微软雅黑" w:cs="微软雅黑"/>
                <w:sz w:val="19"/>
                <w:szCs w:val="19"/>
              </w:rPr>
            </w:pPr>
            <w:r>
              <w:rPr>
                <w:rFonts w:ascii="微软雅黑" w:hAnsi="微软雅黑" w:eastAsia="微软雅黑" w:cs="微软雅黑"/>
                <w:color w:val="030303"/>
                <w:spacing w:val="-2"/>
                <w:sz w:val="19"/>
                <w:szCs w:val="19"/>
              </w:rPr>
              <w:t>1</w:t>
            </w:r>
            <w:r>
              <w:rPr>
                <w:rFonts w:ascii="微软雅黑" w:hAnsi="微软雅黑" w:eastAsia="微软雅黑" w:cs="微软雅黑"/>
                <w:color w:val="030303"/>
                <w:spacing w:val="-1"/>
                <w:sz w:val="19"/>
                <w:szCs w:val="19"/>
              </w:rPr>
              <w:t>0.2</w:t>
            </w:r>
          </w:p>
        </w:tc>
        <w:tc>
          <w:tcPr>
            <w:tcW w:w="4304" w:type="dxa"/>
            <w:tcBorders>
              <w:left w:val="nil"/>
              <w:right w:val="nil"/>
            </w:tcBorders>
            <w:vAlign w:val="top"/>
          </w:tcPr>
          <w:p>
            <w:pPr>
              <w:spacing w:before="213" w:line="146" w:lineRule="exact"/>
              <w:ind w:left="555"/>
              <w:rPr>
                <w:rFonts w:ascii="微软雅黑" w:hAnsi="微软雅黑" w:eastAsia="微软雅黑" w:cs="微软雅黑"/>
                <w:sz w:val="18"/>
                <w:szCs w:val="18"/>
              </w:rPr>
            </w:pPr>
            <w:r>
              <w:rPr>
                <w:rFonts w:ascii="微软雅黑" w:hAnsi="微软雅黑" w:eastAsia="微软雅黑" w:cs="微软雅黑"/>
                <w:color w:val="030303"/>
                <w:spacing w:val="5"/>
                <w:position w:val="-2"/>
                <w:sz w:val="18"/>
                <w:szCs w:val="18"/>
              </w:rPr>
              <w:t>9.</w:t>
            </w:r>
            <w:r>
              <w:rPr>
                <w:rFonts w:ascii="微软雅黑" w:hAnsi="微软雅黑" w:eastAsia="微软雅黑" w:cs="微软雅黑"/>
                <w:color w:val="030303"/>
                <w:spacing w:val="4"/>
                <w:position w:val="-2"/>
                <w:sz w:val="18"/>
                <w:szCs w:val="18"/>
              </w:rPr>
              <w:t>8</w:t>
            </w:r>
          </w:p>
        </w:tc>
      </w:tr>
    </w:tbl>
    <w:p>
      <w:pPr>
        <w:spacing w:before="244" w:line="182" w:lineRule="auto"/>
        <w:ind w:left="2441"/>
        <w:rPr>
          <w:rFonts w:ascii="Calibri" w:hAnsi="Calibri" w:eastAsia="Calibri" w:cs="Calibri"/>
          <w:sz w:val="19"/>
          <w:szCs w:val="19"/>
        </w:rPr>
      </w:pPr>
      <w:r>
        <w:rPr>
          <w:rFonts w:ascii="Calibri" w:hAnsi="Calibri" w:eastAsia="Calibri" w:cs="Calibri"/>
          <w:color w:val="030303"/>
          <w:spacing w:val="-9"/>
          <w:sz w:val="19"/>
          <w:szCs w:val="19"/>
        </w:rPr>
        <w:t>2</w:t>
      </w:r>
      <w:r>
        <w:rPr>
          <w:rFonts w:ascii="Calibri" w:hAnsi="Calibri" w:eastAsia="Calibri" w:cs="Calibri"/>
          <w:strike/>
          <w:color w:val="030303"/>
          <w:sz w:val="19"/>
          <w:szCs w:val="19"/>
        </w:rPr>
        <w:t xml:space="preserve"> </w:t>
      </w:r>
    </w:p>
    <w:p>
      <w:pPr>
        <w:spacing w:before="159" w:line="182" w:lineRule="auto"/>
        <w:ind w:left="2437"/>
        <w:rPr>
          <w:rFonts w:ascii="Calibri" w:hAnsi="Calibri" w:eastAsia="Calibri" w:cs="Calibri"/>
          <w:sz w:val="19"/>
          <w:szCs w:val="19"/>
        </w:rPr>
      </w:pPr>
      <w:r>
        <w:rPr>
          <w:rFonts w:ascii="Calibri" w:hAnsi="Calibri" w:eastAsia="Calibri" w:cs="Calibri"/>
          <w:color w:val="030303"/>
          <w:sz w:val="19"/>
          <w:szCs w:val="19"/>
        </w:rPr>
        <w:t>0</w:t>
      </w:r>
    </w:p>
    <w:p>
      <w:pPr>
        <w:spacing w:before="75" w:line="182" w:lineRule="auto"/>
        <w:ind w:left="3193"/>
        <w:rPr>
          <w:rFonts w:ascii="Calibri" w:hAnsi="Calibri" w:eastAsia="Calibri" w:cs="Calibri"/>
          <w:sz w:val="19"/>
          <w:szCs w:val="19"/>
        </w:rPr>
      </w:pPr>
      <w:r>
        <w:rPr>
          <w:rFonts w:ascii="Calibri" w:hAnsi="Calibri" w:eastAsia="Calibri" w:cs="Calibri"/>
          <w:color w:val="030303"/>
          <w:spacing w:val="2"/>
          <w:sz w:val="19"/>
          <w:szCs w:val="19"/>
        </w:rPr>
        <w:t xml:space="preserve">2017         </w:t>
      </w:r>
      <w:r>
        <w:rPr>
          <w:rFonts w:ascii="Calibri" w:hAnsi="Calibri" w:eastAsia="Calibri" w:cs="Calibri"/>
          <w:color w:val="030303"/>
          <w:spacing w:val="1"/>
          <w:sz w:val="19"/>
          <w:szCs w:val="19"/>
        </w:rPr>
        <w:t xml:space="preserve">               2018                        2019                        2020                        2021</w:t>
      </w:r>
    </w:p>
    <w:p>
      <w:pPr>
        <w:spacing w:before="213" w:line="382" w:lineRule="exact"/>
        <w:ind w:left="3923"/>
        <w:rPr>
          <w:rFonts w:ascii="SimHei" w:hAnsi="SimHei" w:eastAsia="SimHei" w:cs="SimHei"/>
          <w:sz w:val="20"/>
          <w:szCs w:val="20"/>
        </w:rPr>
      </w:pPr>
      <w:r>
        <w:rPr>
          <w:rFonts w:ascii="SimHei" w:hAnsi="SimHei" w:eastAsia="SimHei" w:cs="SimHei"/>
          <w:color w:val="231F20"/>
          <w:spacing w:val="3"/>
          <w:position w:val="13"/>
          <w:sz w:val="20"/>
          <w:szCs w:val="20"/>
        </w:rPr>
        <w:t xml:space="preserve">图 </w:t>
      </w:r>
      <w:r>
        <w:rPr>
          <w:rFonts w:ascii="Times New Roman" w:hAnsi="Times New Roman" w:eastAsia="Times New Roman" w:cs="Times New Roman"/>
          <w:color w:val="231F20"/>
          <w:spacing w:val="3"/>
          <w:position w:val="13"/>
          <w:sz w:val="20"/>
          <w:szCs w:val="20"/>
        </w:rPr>
        <w:t xml:space="preserve">2-9 2017-2021 </w:t>
      </w:r>
      <w:r>
        <w:rPr>
          <w:rFonts w:ascii="SimHei" w:hAnsi="SimHei" w:eastAsia="SimHei" w:cs="SimHei"/>
          <w:color w:val="231F20"/>
          <w:spacing w:val="3"/>
          <w:position w:val="13"/>
          <w:sz w:val="20"/>
          <w:szCs w:val="20"/>
        </w:rPr>
        <w:t>年食品制造业实际使用外资</w:t>
      </w:r>
      <w:r>
        <w:rPr>
          <w:rFonts w:ascii="SimHei" w:hAnsi="SimHei" w:eastAsia="SimHei" w:cs="SimHei"/>
          <w:color w:val="231F20"/>
          <w:spacing w:val="2"/>
          <w:position w:val="13"/>
          <w:sz w:val="20"/>
          <w:szCs w:val="20"/>
        </w:rPr>
        <w:t>情</w:t>
      </w:r>
      <w:r>
        <w:rPr>
          <w:rFonts w:ascii="SimHei" w:hAnsi="SimHei" w:eastAsia="SimHei" w:cs="SimHei"/>
          <w:color w:val="231F20"/>
          <w:position w:val="13"/>
          <w:sz w:val="20"/>
          <w:szCs w:val="20"/>
        </w:rPr>
        <w:t>况</w:t>
      </w:r>
    </w:p>
    <w:p>
      <w:pPr>
        <w:spacing w:before="1" w:line="222" w:lineRule="auto"/>
        <w:ind w:left="2122"/>
        <w:rPr>
          <w:rFonts w:ascii="KaiTi" w:hAnsi="KaiTi" w:eastAsia="KaiTi" w:cs="KaiTi"/>
          <w:sz w:val="17"/>
          <w:szCs w:val="17"/>
        </w:rPr>
      </w:pPr>
      <w:r>
        <w:rPr>
          <w:rFonts w:ascii="KaiTi" w:hAnsi="KaiTi" w:eastAsia="KaiTi" w:cs="KaiTi"/>
          <w:color w:val="231F20"/>
          <w:spacing w:val="6"/>
          <w:sz w:val="17"/>
          <w:szCs w:val="17"/>
        </w:rPr>
        <w:t>数据来源：商务部外资统计。</w:t>
      </w:r>
    </w:p>
    <w:p>
      <w:pPr>
        <w:spacing w:line="246" w:lineRule="auto"/>
        <w:rPr>
          <w:rFonts w:ascii="Arial"/>
          <w:sz w:val="21"/>
        </w:rPr>
      </w:pPr>
    </w:p>
    <w:p>
      <w:pPr>
        <w:spacing w:line="246" w:lineRule="auto"/>
        <w:rPr>
          <w:rFonts w:ascii="Arial"/>
          <w:sz w:val="21"/>
        </w:rPr>
      </w:pPr>
    </w:p>
    <w:p>
      <w:pPr>
        <w:spacing w:before="72" w:line="217"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存续投</w:t>
      </w:r>
      <w:r>
        <w:rPr>
          <w:rFonts w:ascii="KaiTi" w:hAnsi="KaiTi" w:eastAsia="KaiTi" w:cs="KaiTi"/>
          <w:color w:val="015DAC"/>
          <w:sz w:val="22"/>
          <w:szCs w:val="22"/>
        </w:rPr>
        <w:t>资较为稳定</w:t>
      </w:r>
    </w:p>
    <w:p>
      <w:pPr>
        <w:spacing w:line="266" w:lineRule="auto"/>
        <w:rPr>
          <w:rFonts w:ascii="Arial"/>
          <w:sz w:val="21"/>
        </w:rPr>
      </w:pPr>
    </w:p>
    <w:p>
      <w:pPr>
        <w:spacing w:before="96" w:line="258" w:lineRule="auto"/>
        <w:ind w:left="1989" w:right="1982" w:firstLine="452"/>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 xml:space="preserve">从总资产来看 ，外资食品制造企业总资产波动式增长，从 </w:t>
      </w:r>
      <w:r>
        <w:rPr>
          <w:rFonts w:ascii="Times New Roman" w:hAnsi="Times New Roman" w:eastAsia="Times New Roman" w:cs="Times New Roman"/>
          <w:color w:val="231F20"/>
          <w:spacing w:val="1"/>
          <w:sz w:val="22"/>
          <w:szCs w:val="22"/>
        </w:rPr>
        <w:t xml:space="preserve">2016 </w:t>
      </w:r>
      <w:r>
        <w:rPr>
          <w:rFonts w:ascii="微软雅黑" w:hAnsi="微软雅黑" w:eastAsia="微软雅黑" w:cs="微软雅黑"/>
          <w:color w:val="231F20"/>
          <w:spacing w:val="1"/>
          <w:sz w:val="22"/>
          <w:szCs w:val="22"/>
        </w:rPr>
        <w:t xml:space="preserve">年的 </w:t>
      </w:r>
      <w:r>
        <w:rPr>
          <w:rFonts w:ascii="Times New Roman" w:hAnsi="Times New Roman" w:eastAsia="Times New Roman" w:cs="Times New Roman"/>
          <w:color w:val="231F20"/>
          <w:sz w:val="22"/>
          <w:szCs w:val="22"/>
        </w:rPr>
        <w:t xml:space="preserve">4693 </w:t>
      </w:r>
      <w:r>
        <w:rPr>
          <w:rFonts w:ascii="微软雅黑" w:hAnsi="微软雅黑" w:eastAsia="微软雅黑" w:cs="微软雅黑"/>
          <w:color w:val="231F20"/>
          <w:sz w:val="22"/>
          <w:szCs w:val="22"/>
        </w:rPr>
        <w:t xml:space="preserve">亿元增 </w:t>
      </w:r>
      <w:r>
        <w:rPr>
          <w:rFonts w:ascii="微软雅黑" w:hAnsi="微软雅黑" w:eastAsia="微软雅黑" w:cs="微软雅黑"/>
          <w:color w:val="231F20"/>
          <w:spacing w:val="-1"/>
          <w:sz w:val="22"/>
          <w:szCs w:val="22"/>
        </w:rPr>
        <w:t xml:space="preserve">长到 </w:t>
      </w:r>
      <w:r>
        <w:rPr>
          <w:rFonts w:ascii="Times New Roman" w:hAnsi="Times New Roman" w:eastAsia="Times New Roman" w:cs="Times New Roman"/>
          <w:color w:val="231F20"/>
          <w:spacing w:val="-1"/>
          <w:sz w:val="22"/>
          <w:szCs w:val="22"/>
        </w:rPr>
        <w:t xml:space="preserve">2020 </w:t>
      </w:r>
      <w:r>
        <w:rPr>
          <w:rFonts w:ascii="微软雅黑" w:hAnsi="微软雅黑" w:eastAsia="微软雅黑" w:cs="微软雅黑"/>
          <w:color w:val="231F20"/>
          <w:spacing w:val="-1"/>
          <w:sz w:val="22"/>
          <w:szCs w:val="22"/>
        </w:rPr>
        <w:t xml:space="preserve">年的 </w:t>
      </w:r>
      <w:r>
        <w:rPr>
          <w:rFonts w:ascii="Times New Roman" w:hAnsi="Times New Roman" w:eastAsia="Times New Roman" w:cs="Times New Roman"/>
          <w:color w:val="231F20"/>
          <w:spacing w:val="-1"/>
          <w:sz w:val="22"/>
          <w:szCs w:val="22"/>
        </w:rPr>
        <w:t xml:space="preserve">5752 </w:t>
      </w:r>
      <w:r>
        <w:rPr>
          <w:rFonts w:ascii="微软雅黑" w:hAnsi="微软雅黑" w:eastAsia="微软雅黑" w:cs="微软雅黑"/>
          <w:color w:val="231F20"/>
          <w:spacing w:val="-1"/>
          <w:sz w:val="22"/>
          <w:szCs w:val="22"/>
        </w:rPr>
        <w:t xml:space="preserve">亿元 ，年均增幅为 </w:t>
      </w:r>
      <w:r>
        <w:rPr>
          <w:rFonts w:ascii="Times New Roman" w:hAnsi="Times New Roman" w:eastAsia="Times New Roman" w:cs="Times New Roman"/>
          <w:color w:val="231F20"/>
          <w:spacing w:val="-1"/>
          <w:sz w:val="22"/>
          <w:szCs w:val="22"/>
        </w:rPr>
        <w:t>4.2%</w:t>
      </w:r>
      <w:r>
        <w:rPr>
          <w:rFonts w:ascii="微软雅黑" w:hAnsi="微软雅黑" w:eastAsia="微软雅黑" w:cs="微软雅黑"/>
          <w:color w:val="231F20"/>
          <w:spacing w:val="-1"/>
          <w:sz w:val="22"/>
          <w:szCs w:val="22"/>
        </w:rPr>
        <w:t>。而全国规模</w:t>
      </w:r>
      <w:r>
        <w:rPr>
          <w:rFonts w:ascii="微软雅黑" w:hAnsi="微软雅黑" w:eastAsia="微软雅黑" w:cs="微软雅黑"/>
          <w:color w:val="231F20"/>
          <w:sz w:val="22"/>
          <w:szCs w:val="22"/>
        </w:rPr>
        <w:t xml:space="preserve">以上食品制造企业资产总额 </w:t>
      </w:r>
      <w:r>
        <w:rPr>
          <w:rFonts w:ascii="微软雅黑" w:hAnsi="微软雅黑" w:eastAsia="微软雅黑" w:cs="微软雅黑"/>
          <w:color w:val="231F20"/>
          <w:spacing w:val="-1"/>
          <w:sz w:val="22"/>
          <w:szCs w:val="22"/>
        </w:rPr>
        <w:t xml:space="preserve">则从 </w:t>
      </w:r>
      <w:r>
        <w:rPr>
          <w:rFonts w:ascii="Times New Roman" w:hAnsi="Times New Roman" w:eastAsia="Times New Roman" w:cs="Times New Roman"/>
          <w:color w:val="231F20"/>
          <w:spacing w:val="-1"/>
          <w:sz w:val="22"/>
          <w:szCs w:val="22"/>
        </w:rPr>
        <w:t xml:space="preserve">15497 </w:t>
      </w:r>
      <w:r>
        <w:rPr>
          <w:rFonts w:ascii="微软雅黑" w:hAnsi="微软雅黑" w:eastAsia="微软雅黑" w:cs="微软雅黑"/>
          <w:color w:val="231F20"/>
          <w:spacing w:val="-1"/>
          <w:sz w:val="22"/>
          <w:szCs w:val="22"/>
        </w:rPr>
        <w:t xml:space="preserve">亿元增长至 </w:t>
      </w:r>
      <w:r>
        <w:rPr>
          <w:rFonts w:ascii="Times New Roman" w:hAnsi="Times New Roman" w:eastAsia="Times New Roman" w:cs="Times New Roman"/>
          <w:color w:val="231F20"/>
          <w:spacing w:val="-1"/>
          <w:sz w:val="22"/>
          <w:szCs w:val="22"/>
        </w:rPr>
        <w:t xml:space="preserve">17291 </w:t>
      </w:r>
      <w:r>
        <w:rPr>
          <w:rFonts w:ascii="微软雅黑" w:hAnsi="微软雅黑" w:eastAsia="微软雅黑" w:cs="微软雅黑"/>
          <w:color w:val="231F20"/>
          <w:spacing w:val="-1"/>
          <w:sz w:val="22"/>
          <w:szCs w:val="22"/>
        </w:rPr>
        <w:t xml:space="preserve">亿元 ，年均增幅仅为 </w:t>
      </w:r>
      <w:r>
        <w:rPr>
          <w:rFonts w:ascii="Times New Roman" w:hAnsi="Times New Roman" w:eastAsia="Times New Roman" w:cs="Times New Roman"/>
          <w:color w:val="231F20"/>
          <w:spacing w:val="-1"/>
          <w:sz w:val="22"/>
          <w:szCs w:val="22"/>
        </w:rPr>
        <w:t>2.2%</w:t>
      </w:r>
      <w:r>
        <w:rPr>
          <w:rFonts w:ascii="微软雅黑" w:hAnsi="微软雅黑" w:eastAsia="微软雅黑" w:cs="微软雅黑"/>
          <w:color w:val="231F20"/>
          <w:spacing w:val="-1"/>
          <w:sz w:val="22"/>
          <w:szCs w:val="22"/>
        </w:rPr>
        <w:t>。</w:t>
      </w:r>
      <w:r>
        <w:rPr>
          <w:rFonts w:ascii="微软雅黑" w:hAnsi="微软雅黑" w:eastAsia="微软雅黑" w:cs="微软雅黑"/>
          <w:color w:val="231F20"/>
          <w:sz w:val="22"/>
          <w:szCs w:val="22"/>
        </w:rPr>
        <w:t>外资食品制造企业资产扩张 规模相对较快。</w:t>
      </w:r>
    </w:p>
    <w:p>
      <w:pPr>
        <w:spacing w:line="277" w:lineRule="auto"/>
        <w:rPr>
          <w:rFonts w:ascii="Arial"/>
          <w:sz w:val="21"/>
        </w:rPr>
      </w:pPr>
    </w:p>
    <w:p>
      <w:pPr>
        <w:spacing w:line="307" w:lineRule="exact"/>
        <w:ind w:firstLine="2551"/>
        <w:textAlignment w:val="center"/>
      </w:pPr>
      <w:r>
        <w:pict>
          <v:shape id="_x0000_s1332" o:spid="_x0000_s1332" o:spt="202" type="#_x0000_t202" style="height:15.4pt;width:37.8pt;" fillcolor="#FFFFFF" filled="t" stroked="f" coordsize="21600,21600">
            <v:path/>
            <v:fill on="t" focussize="0,0"/>
            <v:stroke on="f"/>
            <v:imagedata o:title=""/>
            <o:lock v:ext="edit" aspectratio="f"/>
            <v:textbox inset="0mm,0mm,0mm,0mm">
              <w:txbxContent>
                <w:p>
                  <w:pPr>
                    <w:spacing w:before="13" w:line="231" w:lineRule="auto"/>
                    <w:ind w:left="217"/>
                    <w:rPr>
                      <w:rFonts w:ascii="宋体" w:hAnsi="宋体" w:eastAsia="宋体" w:cs="宋体"/>
                      <w:sz w:val="17"/>
                      <w:szCs w:val="17"/>
                    </w:rPr>
                  </w:pPr>
                  <w:r>
                    <w:rPr>
                      <w:rFonts w:ascii="宋体" w:hAnsi="宋体" w:eastAsia="宋体" w:cs="宋体"/>
                      <w:color w:val="030303"/>
                      <w:spacing w:val="6"/>
                      <w:sz w:val="17"/>
                      <w:szCs w:val="17"/>
                    </w:rPr>
                    <w:t>亿</w:t>
                  </w:r>
                  <w:r>
                    <w:rPr>
                      <w:rFonts w:ascii="宋体" w:hAnsi="宋体" w:eastAsia="宋体" w:cs="宋体"/>
                      <w:color w:val="030303"/>
                      <w:spacing w:val="5"/>
                      <w:sz w:val="17"/>
                      <w:szCs w:val="17"/>
                    </w:rPr>
                    <w:t>元</w:t>
                  </w:r>
                </w:p>
              </w:txbxContent>
            </v:textbox>
            <w10:wrap type="none"/>
            <w10:anchorlock/>
          </v:shape>
        </w:pict>
      </w:r>
    </w:p>
    <w:p>
      <w:pPr>
        <w:spacing w:line="22" w:lineRule="exact"/>
      </w:pPr>
    </w:p>
    <w:tbl>
      <w:tblPr>
        <w:tblStyle w:val="4"/>
        <w:tblW w:w="6074" w:type="dxa"/>
        <w:tblInd w:w="3257" w:type="dxa"/>
        <w:tblBorders>
          <w:top w:val="single" w:color="CEE6ED" w:sz="2" w:space="0"/>
          <w:left w:val="single" w:color="CEE6ED" w:sz="2" w:space="0"/>
          <w:bottom w:val="single" w:color="CEE6ED" w:sz="2" w:space="0"/>
          <w:right w:val="single" w:color="CEE6ED" w:sz="2" w:space="0"/>
          <w:insideH w:val="single" w:color="CEE6ED" w:sz="2" w:space="0"/>
          <w:insideV w:val="single" w:color="CEE6ED" w:sz="2" w:space="0"/>
        </w:tblBorders>
        <w:tblLayout w:type="fixed"/>
        <w:tblCellMar>
          <w:top w:w="0" w:type="dxa"/>
          <w:left w:w="0" w:type="dxa"/>
          <w:bottom w:w="0" w:type="dxa"/>
          <w:right w:w="0" w:type="dxa"/>
        </w:tblCellMar>
      </w:tblPr>
      <w:tblGrid>
        <w:gridCol w:w="2477"/>
        <w:gridCol w:w="1168"/>
        <w:gridCol w:w="1172"/>
        <w:gridCol w:w="1017"/>
        <w:gridCol w:w="240"/>
      </w:tblGrid>
      <w:tr>
        <w:tblPrEx>
          <w:tblBorders>
            <w:top w:val="single" w:color="CEE6ED" w:sz="2" w:space="0"/>
            <w:left w:val="single" w:color="CEE6ED" w:sz="2" w:space="0"/>
            <w:bottom w:val="single" w:color="CEE6ED" w:sz="2" w:space="0"/>
            <w:right w:val="single" w:color="CEE6ED" w:sz="2" w:space="0"/>
            <w:insideH w:val="single" w:color="CEE6ED" w:sz="2" w:space="0"/>
            <w:insideV w:val="single" w:color="CEE6ED" w:sz="2" w:space="0"/>
          </w:tblBorders>
          <w:tblCellMar>
            <w:top w:w="0" w:type="dxa"/>
            <w:left w:w="0" w:type="dxa"/>
            <w:bottom w:w="0" w:type="dxa"/>
            <w:right w:w="0" w:type="dxa"/>
          </w:tblCellMar>
        </w:tblPrEx>
        <w:trPr>
          <w:trHeight w:val="361" w:hRule="atLeast"/>
        </w:trPr>
        <w:tc>
          <w:tcPr>
            <w:tcW w:w="5834" w:type="dxa"/>
            <w:gridSpan w:val="4"/>
            <w:tcBorders>
              <w:left w:val="single" w:color="231F20" w:sz="2" w:space="0"/>
              <w:right w:val="single" w:color="231F20" w:sz="2" w:space="0"/>
            </w:tcBorders>
            <w:vAlign w:val="top"/>
          </w:tcPr>
          <w:p>
            <w:pPr>
              <w:spacing w:before="206" w:line="123" w:lineRule="exact"/>
              <w:ind w:firstLine="5148"/>
              <w:textAlignment w:val="center"/>
            </w:pPr>
            <w:r>
              <w:drawing>
                <wp:inline distT="0" distB="0" distL="0" distR="0">
                  <wp:extent cx="77470" cy="7747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18"/>
                          <a:stretch>
                            <a:fillRect/>
                          </a:stretch>
                        </pic:blipFill>
                        <pic:spPr>
                          <a:xfrm>
                            <a:off x="0" y="0"/>
                            <a:ext cx="77825" cy="77838"/>
                          </a:xfrm>
                          <a:prstGeom prst="rect">
                            <a:avLst/>
                          </a:prstGeom>
                        </pic:spPr>
                      </pic:pic>
                    </a:graphicData>
                  </a:graphic>
                </wp:inline>
              </w:drawing>
            </w:r>
          </w:p>
        </w:tc>
        <w:tc>
          <w:tcPr>
            <w:tcW w:w="240" w:type="dxa"/>
            <w:vMerge w:val="restart"/>
            <w:tcBorders>
              <w:top w:val="nil"/>
              <w:left w:val="single" w:color="231F20" w:sz="2" w:space="0"/>
              <w:bottom w:val="nil"/>
              <w:right w:val="nil"/>
            </w:tcBorders>
            <w:vAlign w:val="top"/>
          </w:tcPr>
          <w:p>
            <w:pPr>
              <w:spacing w:before="31" w:line="186" w:lineRule="auto"/>
              <w:ind w:left="64"/>
              <w:rPr>
                <w:rFonts w:ascii="Calibri" w:hAnsi="Calibri" w:eastAsia="Calibri" w:cs="Calibri"/>
                <w:sz w:val="17"/>
                <w:szCs w:val="17"/>
              </w:rPr>
            </w:pPr>
            <w:r>
              <w:pict>
                <v:shape id="_x0000_s1333" o:spid="_x0000_s1333" o:spt="202" type="#_x0000_t202" style="position:absolute;left:0pt;margin-left:2.45pt;margin-top:124.9pt;height:10.05pt;width:10.65pt;mso-position-horizontal-relative:page;mso-position-vertical-relative:page;z-index:251987968;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1"/>
                            <w:sz w:val="17"/>
                            <w:szCs w:val="17"/>
                          </w:rPr>
                          <w:t>2</w:t>
                        </w:r>
                        <w:r>
                          <w:rPr>
                            <w:rFonts w:ascii="Calibri" w:hAnsi="Calibri" w:eastAsia="Calibri" w:cs="Calibri"/>
                            <w:color w:val="030303"/>
                            <w:sz w:val="17"/>
                            <w:szCs w:val="17"/>
                          </w:rPr>
                          <w:t>5</w:t>
                        </w:r>
                      </w:p>
                    </w:txbxContent>
                  </v:textbox>
                </v:shape>
              </w:pict>
            </w:r>
            <w:r>
              <w:rPr>
                <w:rFonts w:ascii="Calibri" w:hAnsi="Calibri" w:eastAsia="Calibri" w:cs="Calibri"/>
                <w:color w:val="030303"/>
                <w:sz w:val="17"/>
                <w:szCs w:val="17"/>
              </w:rPr>
              <w:t>34</w:t>
            </w:r>
          </w:p>
          <w:p>
            <w:pPr>
              <w:spacing w:before="114" w:line="186" w:lineRule="auto"/>
              <w:ind w:left="64"/>
              <w:rPr>
                <w:rFonts w:ascii="Calibri" w:hAnsi="Calibri" w:eastAsia="Calibri" w:cs="Calibri"/>
                <w:sz w:val="17"/>
                <w:szCs w:val="17"/>
              </w:rPr>
            </w:pPr>
            <w:r>
              <w:rPr>
                <w:rFonts w:ascii="Calibri" w:hAnsi="Calibri" w:eastAsia="Calibri" w:cs="Calibri"/>
                <w:color w:val="030303"/>
                <w:sz w:val="17"/>
                <w:szCs w:val="17"/>
              </w:rPr>
              <w:t>33</w:t>
            </w:r>
          </w:p>
          <w:p>
            <w:pPr>
              <w:spacing w:before="114" w:line="186" w:lineRule="auto"/>
              <w:ind w:left="64"/>
              <w:rPr>
                <w:rFonts w:ascii="Calibri" w:hAnsi="Calibri" w:eastAsia="Calibri" w:cs="Calibri"/>
                <w:sz w:val="17"/>
                <w:szCs w:val="17"/>
              </w:rPr>
            </w:pPr>
            <w:r>
              <w:rPr>
                <w:rFonts w:ascii="Calibri" w:hAnsi="Calibri" w:eastAsia="Calibri" w:cs="Calibri"/>
                <w:color w:val="030303"/>
                <w:sz w:val="17"/>
                <w:szCs w:val="17"/>
              </w:rPr>
              <w:t>32</w:t>
            </w:r>
          </w:p>
          <w:p>
            <w:pPr>
              <w:spacing w:before="115" w:line="186" w:lineRule="auto"/>
              <w:ind w:left="64"/>
              <w:rPr>
                <w:rFonts w:ascii="Calibri" w:hAnsi="Calibri" w:eastAsia="Calibri" w:cs="Calibri"/>
                <w:sz w:val="17"/>
                <w:szCs w:val="17"/>
              </w:rPr>
            </w:pPr>
            <w:r>
              <w:rPr>
                <w:rFonts w:ascii="Calibri" w:hAnsi="Calibri" w:eastAsia="Calibri" w:cs="Calibri"/>
                <w:color w:val="030303"/>
                <w:sz w:val="17"/>
                <w:szCs w:val="17"/>
              </w:rPr>
              <w:t>31</w:t>
            </w:r>
          </w:p>
          <w:p>
            <w:pPr>
              <w:spacing w:before="115" w:line="186" w:lineRule="auto"/>
              <w:ind w:left="64"/>
              <w:rPr>
                <w:rFonts w:ascii="Calibri" w:hAnsi="Calibri" w:eastAsia="Calibri" w:cs="Calibri"/>
                <w:sz w:val="17"/>
                <w:szCs w:val="17"/>
              </w:rPr>
            </w:pPr>
            <w:r>
              <w:rPr>
                <w:rFonts w:ascii="Calibri" w:hAnsi="Calibri" w:eastAsia="Calibri" w:cs="Calibri"/>
                <w:color w:val="030303"/>
                <w:sz w:val="17"/>
                <w:szCs w:val="17"/>
              </w:rPr>
              <w:t>30</w:t>
            </w:r>
          </w:p>
          <w:p>
            <w:pPr>
              <w:spacing w:before="114" w:line="186" w:lineRule="auto"/>
              <w:ind w:left="65"/>
              <w:rPr>
                <w:rFonts w:ascii="Calibri" w:hAnsi="Calibri" w:eastAsia="Calibri" w:cs="Calibri"/>
                <w:sz w:val="17"/>
                <w:szCs w:val="17"/>
              </w:rPr>
            </w:pPr>
            <w:r>
              <w:rPr>
                <w:rFonts w:ascii="Calibri" w:hAnsi="Calibri" w:eastAsia="Calibri" w:cs="Calibri"/>
                <w:color w:val="030303"/>
                <w:spacing w:val="-1"/>
                <w:sz w:val="17"/>
                <w:szCs w:val="17"/>
              </w:rPr>
              <w:t>2</w:t>
            </w:r>
            <w:r>
              <w:rPr>
                <w:rFonts w:ascii="Calibri" w:hAnsi="Calibri" w:eastAsia="Calibri" w:cs="Calibri"/>
                <w:color w:val="030303"/>
                <w:sz w:val="17"/>
                <w:szCs w:val="17"/>
              </w:rPr>
              <w:t>9</w:t>
            </w:r>
          </w:p>
          <w:p>
            <w:pPr>
              <w:spacing w:before="115" w:line="186" w:lineRule="auto"/>
              <w:ind w:left="65"/>
              <w:rPr>
                <w:rFonts w:ascii="Calibri" w:hAnsi="Calibri" w:eastAsia="Calibri" w:cs="Calibri"/>
                <w:sz w:val="17"/>
                <w:szCs w:val="17"/>
              </w:rPr>
            </w:pPr>
            <w:r>
              <w:rPr>
                <w:rFonts w:ascii="Calibri" w:hAnsi="Calibri" w:eastAsia="Calibri" w:cs="Calibri"/>
                <w:color w:val="030303"/>
                <w:spacing w:val="-1"/>
                <w:sz w:val="17"/>
                <w:szCs w:val="17"/>
              </w:rPr>
              <w:t>2</w:t>
            </w:r>
            <w:r>
              <w:rPr>
                <w:rFonts w:ascii="Calibri" w:hAnsi="Calibri" w:eastAsia="Calibri" w:cs="Calibri"/>
                <w:color w:val="030303"/>
                <w:sz w:val="17"/>
                <w:szCs w:val="17"/>
              </w:rPr>
              <w:t>8</w:t>
            </w:r>
          </w:p>
          <w:p>
            <w:pPr>
              <w:spacing w:before="115" w:line="186" w:lineRule="auto"/>
              <w:ind w:left="65"/>
              <w:rPr>
                <w:rFonts w:ascii="Calibri" w:hAnsi="Calibri" w:eastAsia="Calibri" w:cs="Calibri"/>
                <w:sz w:val="17"/>
                <w:szCs w:val="17"/>
              </w:rPr>
            </w:pPr>
            <w:r>
              <w:rPr>
                <w:rFonts w:ascii="Calibri" w:hAnsi="Calibri" w:eastAsia="Calibri" w:cs="Calibri"/>
                <w:color w:val="030303"/>
                <w:spacing w:val="-1"/>
                <w:sz w:val="17"/>
                <w:szCs w:val="17"/>
              </w:rPr>
              <w:t>2</w:t>
            </w:r>
            <w:r>
              <w:rPr>
                <w:rFonts w:ascii="Calibri" w:hAnsi="Calibri" w:eastAsia="Calibri" w:cs="Calibri"/>
                <w:color w:val="030303"/>
                <w:sz w:val="17"/>
                <w:szCs w:val="17"/>
              </w:rPr>
              <w:t>7</w:t>
            </w:r>
          </w:p>
          <w:p>
            <w:pPr>
              <w:spacing w:before="115" w:line="186" w:lineRule="auto"/>
              <w:ind w:left="65"/>
              <w:rPr>
                <w:rFonts w:ascii="Calibri" w:hAnsi="Calibri" w:eastAsia="Calibri" w:cs="Calibri"/>
                <w:sz w:val="17"/>
                <w:szCs w:val="17"/>
              </w:rPr>
            </w:pPr>
            <w:r>
              <w:rPr>
                <w:rFonts w:ascii="Calibri" w:hAnsi="Calibri" w:eastAsia="Calibri" w:cs="Calibri"/>
                <w:color w:val="030303"/>
                <w:spacing w:val="-1"/>
                <w:sz w:val="17"/>
                <w:szCs w:val="17"/>
              </w:rPr>
              <w:t>2</w:t>
            </w:r>
            <w:r>
              <w:rPr>
                <w:rFonts w:ascii="Calibri" w:hAnsi="Calibri" w:eastAsia="Calibri" w:cs="Calibri"/>
                <w:color w:val="030303"/>
                <w:sz w:val="17"/>
                <w:szCs w:val="17"/>
              </w:rPr>
              <w:t>6</w:t>
            </w:r>
          </w:p>
        </w:tc>
      </w:tr>
      <w:tr>
        <w:tblPrEx>
          <w:tblBorders>
            <w:top w:val="single" w:color="CEE6ED" w:sz="2" w:space="0"/>
            <w:left w:val="single" w:color="CEE6ED" w:sz="2" w:space="0"/>
            <w:bottom w:val="single" w:color="CEE6ED" w:sz="2" w:space="0"/>
            <w:right w:val="single" w:color="CEE6ED" w:sz="2" w:space="0"/>
            <w:insideH w:val="single" w:color="CEE6ED" w:sz="2" w:space="0"/>
            <w:insideV w:val="single" w:color="CEE6ED" w:sz="2" w:space="0"/>
          </w:tblBorders>
          <w:tblCellMar>
            <w:top w:w="0" w:type="dxa"/>
            <w:left w:w="0" w:type="dxa"/>
            <w:bottom w:w="0" w:type="dxa"/>
            <w:right w:w="0" w:type="dxa"/>
          </w:tblCellMar>
        </w:tblPrEx>
        <w:trPr>
          <w:trHeight w:val="270" w:hRule="atLeast"/>
        </w:trPr>
        <w:tc>
          <w:tcPr>
            <w:tcW w:w="5834" w:type="dxa"/>
            <w:gridSpan w:val="4"/>
            <w:tcBorders>
              <w:left w:val="single" w:color="231F20" w:sz="2" w:space="0"/>
              <w:right w:val="single" w:color="231F20" w:sz="2" w:space="0"/>
            </w:tcBorders>
            <w:vAlign w:val="top"/>
          </w:tcPr>
          <w:p>
            <w:pPr>
              <w:spacing w:line="176" w:lineRule="auto"/>
              <w:ind w:left="5106"/>
              <w:rPr>
                <w:rFonts w:ascii="微软雅黑" w:hAnsi="微软雅黑" w:eastAsia="微软雅黑" w:cs="微软雅黑"/>
                <w:sz w:val="14"/>
                <w:szCs w:val="14"/>
              </w:rPr>
            </w:pPr>
            <w:r>
              <w:pict>
                <v:shape id="_x0000_s1334" o:spid="_x0000_s1334" style="position:absolute;left:0pt;margin-left:145.05pt;margin-top:-4.95pt;height:74.9pt;width:116.2pt;z-index:251985920;mso-width-relative:page;mso-height-relative:page;" filled="f" stroked="t" coordsize="2323,1498" path="m22,1474l1161,977m1161,977l2301,22e">
                  <v:fill on="f" focussize="0,0"/>
                  <v:stroke weight="2.25pt" color="#86A9CB" miterlimit="10" endcap="round"/>
                  <v:imagedata o:title=""/>
                  <o:lock v:ext="edit"/>
                </v:shape>
              </w:pict>
            </w:r>
            <w:r>
              <w:rPr>
                <w:rFonts w:ascii="微软雅黑" w:hAnsi="微软雅黑" w:eastAsia="微软雅黑" w:cs="微软雅黑"/>
                <w:color w:val="030303"/>
                <w:spacing w:val="17"/>
                <w:sz w:val="14"/>
                <w:szCs w:val="14"/>
              </w:rPr>
              <w:t>33.</w:t>
            </w:r>
            <w:r>
              <w:rPr>
                <w:rFonts w:ascii="微软雅黑" w:hAnsi="微软雅黑" w:eastAsia="微软雅黑" w:cs="微软雅黑"/>
                <w:color w:val="030303"/>
                <w:spacing w:val="16"/>
                <w:sz w:val="14"/>
                <w:szCs w:val="14"/>
              </w:rPr>
              <w:t>3</w:t>
            </w:r>
          </w:p>
        </w:tc>
        <w:tc>
          <w:tcPr>
            <w:tcW w:w="240" w:type="dxa"/>
            <w:vMerge w:val="continue"/>
            <w:tcBorders>
              <w:top w:val="nil"/>
              <w:left w:val="single" w:color="231F20" w:sz="2" w:space="0"/>
              <w:bottom w:val="nil"/>
              <w:right w:val="nil"/>
            </w:tcBorders>
            <w:vAlign w:val="top"/>
          </w:tcPr>
          <w:p>
            <w:pPr>
              <w:rPr>
                <w:rFonts w:ascii="Arial"/>
                <w:sz w:val="21"/>
              </w:rPr>
            </w:pPr>
          </w:p>
        </w:tc>
      </w:tr>
      <w:tr>
        <w:tblPrEx>
          <w:tblBorders>
            <w:top w:val="single" w:color="CEE6ED" w:sz="2" w:space="0"/>
            <w:left w:val="single" w:color="CEE6ED" w:sz="2" w:space="0"/>
            <w:bottom w:val="single" w:color="CEE6ED" w:sz="2" w:space="0"/>
            <w:right w:val="single" w:color="CEE6ED" w:sz="2" w:space="0"/>
            <w:insideH w:val="single" w:color="CEE6ED" w:sz="2" w:space="0"/>
            <w:insideV w:val="single" w:color="CEE6ED" w:sz="2" w:space="0"/>
          </w:tblBorders>
          <w:tblCellMar>
            <w:top w:w="0" w:type="dxa"/>
            <w:left w:w="0" w:type="dxa"/>
            <w:bottom w:w="0" w:type="dxa"/>
            <w:right w:w="0" w:type="dxa"/>
          </w:tblCellMar>
        </w:tblPrEx>
        <w:trPr>
          <w:trHeight w:val="270" w:hRule="atLeast"/>
        </w:trPr>
        <w:tc>
          <w:tcPr>
            <w:tcW w:w="5834" w:type="dxa"/>
            <w:gridSpan w:val="4"/>
            <w:tcBorders>
              <w:left w:val="single" w:color="231F20" w:sz="2" w:space="0"/>
              <w:right w:val="single" w:color="231F20" w:sz="2" w:space="0"/>
            </w:tcBorders>
            <w:vAlign w:val="top"/>
          </w:tcPr>
          <w:p>
            <w:pPr>
              <w:rPr>
                <w:rFonts w:ascii="Arial"/>
                <w:sz w:val="21"/>
              </w:rPr>
            </w:pPr>
          </w:p>
        </w:tc>
        <w:tc>
          <w:tcPr>
            <w:tcW w:w="240" w:type="dxa"/>
            <w:vMerge w:val="continue"/>
            <w:tcBorders>
              <w:top w:val="nil"/>
              <w:left w:val="single" w:color="231F20" w:sz="2" w:space="0"/>
              <w:bottom w:val="nil"/>
              <w:right w:val="nil"/>
            </w:tcBorders>
            <w:vAlign w:val="top"/>
          </w:tcPr>
          <w:p>
            <w:pPr>
              <w:rPr>
                <w:rFonts w:ascii="Arial"/>
                <w:sz w:val="21"/>
              </w:rPr>
            </w:pPr>
          </w:p>
        </w:tc>
      </w:tr>
      <w:tr>
        <w:tblPrEx>
          <w:tblBorders>
            <w:top w:val="single" w:color="CEE6ED" w:sz="2" w:space="0"/>
            <w:left w:val="single" w:color="CEE6ED" w:sz="2" w:space="0"/>
            <w:bottom w:val="single" w:color="CEE6ED" w:sz="2" w:space="0"/>
            <w:right w:val="single" w:color="CEE6ED" w:sz="2" w:space="0"/>
            <w:insideH w:val="single" w:color="CEE6ED" w:sz="2" w:space="0"/>
            <w:insideV w:val="single" w:color="CEE6ED" w:sz="2" w:space="0"/>
          </w:tblBorders>
          <w:tblCellMar>
            <w:top w:w="0" w:type="dxa"/>
            <w:left w:w="0" w:type="dxa"/>
            <w:bottom w:w="0" w:type="dxa"/>
            <w:right w:w="0" w:type="dxa"/>
          </w:tblCellMar>
        </w:tblPrEx>
        <w:trPr>
          <w:trHeight w:val="270" w:hRule="atLeast"/>
        </w:trPr>
        <w:tc>
          <w:tcPr>
            <w:tcW w:w="4817" w:type="dxa"/>
            <w:gridSpan w:val="3"/>
            <w:tcBorders>
              <w:left w:val="single" w:color="231F20" w:sz="2" w:space="0"/>
              <w:right w:val="nil"/>
            </w:tcBorders>
            <w:vAlign w:val="top"/>
          </w:tcPr>
          <w:p>
            <w:pPr>
              <w:spacing w:before="100" w:line="170" w:lineRule="exact"/>
              <w:ind w:left="549"/>
              <w:rPr>
                <w:rFonts w:ascii="微软雅黑" w:hAnsi="微软雅黑" w:eastAsia="微软雅黑" w:cs="微软雅黑"/>
                <w:sz w:val="17"/>
                <w:szCs w:val="17"/>
              </w:rPr>
            </w:pPr>
            <w:r>
              <w:pict>
                <v:shape id="_x0000_s1335" o:spid="_x0000_s1335" style="position:absolute;left:0pt;margin-left:31.1pt;margin-top:8.55pt;height:33.4pt;width:59.25pt;z-index:251984896;mso-width-relative:page;mso-height-relative:page;" filled="f" stroked="t" coordsize="1185,668" path="m22,22l1161,645e">
                  <v:fill on="f" focussize="0,0"/>
                  <v:stroke weight="2.25pt" color="#86A9CB" miterlimit="10" endcap="round"/>
                  <v:imagedata o:title=""/>
                  <o:lock v:ext="edit"/>
                </v:shape>
              </w:pict>
            </w:r>
            <w:r>
              <w:rPr>
                <w:rFonts w:ascii="微软雅黑" w:hAnsi="微软雅黑" w:eastAsia="微软雅黑" w:cs="微软雅黑"/>
                <w:color w:val="030303"/>
                <w:sz w:val="17"/>
                <w:szCs w:val="17"/>
              </w:rPr>
              <w:drawing>
                <wp:inline distT="0" distB="0" distL="0" distR="0">
                  <wp:extent cx="77470" cy="77470"/>
                  <wp:effectExtent l="0" t="0" r="0" b="0"/>
                  <wp:docPr id="263" name="IM 263"/>
                  <wp:cNvGraphicFramePr/>
                  <a:graphic xmlns:a="http://schemas.openxmlformats.org/drawingml/2006/main">
                    <a:graphicData uri="http://schemas.openxmlformats.org/drawingml/2006/picture">
                      <pic:pic xmlns:pic="http://schemas.openxmlformats.org/drawingml/2006/picture">
                        <pic:nvPicPr>
                          <pic:cNvPr id="263" name="IM 263"/>
                          <pic:cNvPicPr/>
                        </pic:nvPicPr>
                        <pic:blipFill>
                          <a:blip r:embed="rId119"/>
                          <a:stretch>
                            <a:fillRect/>
                          </a:stretch>
                        </pic:blipFill>
                        <pic:spPr>
                          <a:xfrm>
                            <a:off x="0" y="0"/>
                            <a:ext cx="77825" cy="77838"/>
                          </a:xfrm>
                          <a:prstGeom prst="rect">
                            <a:avLst/>
                          </a:prstGeom>
                        </pic:spPr>
                      </pic:pic>
                    </a:graphicData>
                  </a:graphic>
                </wp:inline>
              </w:drawing>
            </w:r>
            <w:r>
              <w:rPr>
                <w:rFonts w:ascii="微软雅黑" w:hAnsi="微软雅黑" w:eastAsia="微软雅黑" w:cs="微软雅黑"/>
                <w:color w:val="030303"/>
                <w:spacing w:val="1"/>
                <w:position w:val="-1"/>
                <w:sz w:val="17"/>
                <w:szCs w:val="17"/>
              </w:rPr>
              <w:t xml:space="preserve">                                                 </w:t>
            </w:r>
            <w:r>
              <w:rPr>
                <w:rFonts w:ascii="微软雅黑" w:hAnsi="微软雅黑" w:eastAsia="微软雅黑" w:cs="微软雅黑"/>
                <w:color w:val="030303"/>
                <w:position w:val="-1"/>
                <w:sz w:val="17"/>
                <w:szCs w:val="17"/>
              </w:rPr>
              <w:t xml:space="preserve">                16509</w:t>
            </w:r>
          </w:p>
        </w:tc>
        <w:tc>
          <w:tcPr>
            <w:tcW w:w="1017" w:type="dxa"/>
            <w:tcBorders>
              <w:left w:val="nil"/>
              <w:right w:val="single" w:color="231F20" w:sz="2" w:space="0"/>
            </w:tcBorders>
            <w:vAlign w:val="top"/>
          </w:tcPr>
          <w:p>
            <w:pPr>
              <w:spacing w:before="3" w:line="179" w:lineRule="auto"/>
              <w:ind w:left="324"/>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1</w:t>
            </w:r>
            <w:r>
              <w:rPr>
                <w:rFonts w:ascii="微软雅黑" w:hAnsi="微软雅黑" w:eastAsia="微软雅黑" w:cs="微软雅黑"/>
                <w:color w:val="030303"/>
                <w:spacing w:val="2"/>
                <w:sz w:val="17"/>
                <w:szCs w:val="17"/>
              </w:rPr>
              <w:t>7291</w:t>
            </w:r>
          </w:p>
        </w:tc>
        <w:tc>
          <w:tcPr>
            <w:tcW w:w="240" w:type="dxa"/>
            <w:vMerge w:val="continue"/>
            <w:tcBorders>
              <w:top w:val="nil"/>
              <w:left w:val="single" w:color="231F20" w:sz="2" w:space="0"/>
              <w:bottom w:val="nil"/>
              <w:right w:val="nil"/>
            </w:tcBorders>
            <w:vAlign w:val="top"/>
          </w:tcPr>
          <w:p>
            <w:pPr>
              <w:rPr>
                <w:rFonts w:ascii="Arial"/>
                <w:sz w:val="21"/>
              </w:rPr>
            </w:pPr>
          </w:p>
        </w:tc>
      </w:tr>
      <w:tr>
        <w:tblPrEx>
          <w:tblBorders>
            <w:top w:val="single" w:color="CEE6ED" w:sz="2" w:space="0"/>
            <w:left w:val="single" w:color="CEE6ED" w:sz="2" w:space="0"/>
            <w:bottom w:val="single" w:color="CEE6ED" w:sz="2" w:space="0"/>
            <w:right w:val="single" w:color="CEE6ED" w:sz="2" w:space="0"/>
            <w:insideH w:val="single" w:color="CEE6ED" w:sz="2" w:space="0"/>
            <w:insideV w:val="single" w:color="CEE6ED" w:sz="2" w:space="0"/>
          </w:tblBorders>
          <w:tblCellMar>
            <w:top w:w="0" w:type="dxa"/>
            <w:left w:w="0" w:type="dxa"/>
            <w:bottom w:w="0" w:type="dxa"/>
            <w:right w:w="0" w:type="dxa"/>
          </w:tblCellMar>
        </w:tblPrEx>
        <w:trPr>
          <w:trHeight w:val="271" w:hRule="atLeast"/>
        </w:trPr>
        <w:tc>
          <w:tcPr>
            <w:tcW w:w="3645" w:type="dxa"/>
            <w:gridSpan w:val="2"/>
            <w:tcBorders>
              <w:left w:val="single" w:color="231F20" w:sz="2" w:space="0"/>
              <w:right w:val="nil"/>
            </w:tcBorders>
            <w:vAlign w:val="top"/>
          </w:tcPr>
          <w:p>
            <w:pPr>
              <w:spacing w:before="96" w:line="175" w:lineRule="exact"/>
              <w:ind w:left="1743"/>
              <w:rPr>
                <w:rFonts w:ascii="微软雅黑" w:hAnsi="微软雅黑" w:eastAsia="微软雅黑" w:cs="微软雅黑"/>
                <w:sz w:val="17"/>
                <w:szCs w:val="17"/>
              </w:rPr>
            </w:pPr>
            <w:r>
              <w:rPr>
                <w:rFonts w:ascii="微软雅黑" w:hAnsi="微软雅黑" w:eastAsia="微软雅黑" w:cs="微软雅黑"/>
                <w:color w:val="030303"/>
                <w:spacing w:val="2"/>
                <w:position w:val="-2"/>
                <w:sz w:val="17"/>
                <w:szCs w:val="17"/>
              </w:rPr>
              <w:t xml:space="preserve">15510     </w:t>
            </w:r>
            <w:r>
              <w:rPr>
                <w:rFonts w:ascii="微软雅黑" w:hAnsi="微软雅黑" w:eastAsia="微软雅黑" w:cs="微软雅黑"/>
                <w:color w:val="030303"/>
                <w:spacing w:val="1"/>
                <w:position w:val="-2"/>
                <w:sz w:val="17"/>
                <w:szCs w:val="17"/>
              </w:rPr>
              <w:t xml:space="preserve">       </w:t>
            </w:r>
            <w:r>
              <w:rPr>
                <w:rFonts w:ascii="微软雅黑" w:hAnsi="微软雅黑" w:eastAsia="微软雅黑" w:cs="微软雅黑"/>
                <w:color w:val="030303"/>
                <w:spacing w:val="1"/>
                <w:sz w:val="17"/>
                <w:szCs w:val="17"/>
              </w:rPr>
              <w:t>15642</w:t>
            </w:r>
          </w:p>
        </w:tc>
        <w:tc>
          <w:tcPr>
            <w:tcW w:w="2189" w:type="dxa"/>
            <w:gridSpan w:val="2"/>
            <w:tcBorders>
              <w:left w:val="nil"/>
              <w:right w:val="single" w:color="231F20" w:sz="2" w:space="0"/>
            </w:tcBorders>
            <w:vAlign w:val="top"/>
          </w:tcPr>
          <w:p>
            <w:pPr>
              <w:spacing w:before="76" w:line="181" w:lineRule="auto"/>
              <w:ind w:left="264"/>
              <w:rPr>
                <w:rFonts w:ascii="微软雅黑" w:hAnsi="微软雅黑" w:eastAsia="微软雅黑" w:cs="微软雅黑"/>
                <w:sz w:val="15"/>
                <w:szCs w:val="15"/>
              </w:rPr>
            </w:pPr>
            <w:r>
              <w:drawing>
                <wp:anchor distT="0" distB="0" distL="0" distR="0" simplePos="0" relativeHeight="251991040" behindDoc="0" locked="0" layoutInCell="1" allowOverlap="1">
                  <wp:simplePos x="0" y="0"/>
                  <wp:positionH relativeFrom="rightMargin">
                    <wp:posOffset>-1149985</wp:posOffset>
                  </wp:positionH>
                  <wp:positionV relativeFrom="topMargin">
                    <wp:posOffset>-12700</wp:posOffset>
                  </wp:positionV>
                  <wp:extent cx="78105" cy="78105"/>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20"/>
                          <a:stretch>
                            <a:fillRect/>
                          </a:stretch>
                        </pic:blipFill>
                        <pic:spPr>
                          <a:xfrm>
                            <a:off x="0" y="0"/>
                            <a:ext cx="77825" cy="77838"/>
                          </a:xfrm>
                          <a:prstGeom prst="rect">
                            <a:avLst/>
                          </a:prstGeom>
                        </pic:spPr>
                      </pic:pic>
                    </a:graphicData>
                  </a:graphic>
                </wp:anchor>
              </w:drawing>
            </w:r>
            <w:r>
              <w:rPr>
                <w:rFonts w:ascii="微软雅黑" w:hAnsi="微软雅黑" w:eastAsia="微软雅黑" w:cs="微软雅黑"/>
                <w:color w:val="030303"/>
                <w:spacing w:val="15"/>
                <w:sz w:val="15"/>
                <w:szCs w:val="15"/>
              </w:rPr>
              <w:t>2</w:t>
            </w:r>
            <w:r>
              <w:rPr>
                <w:rFonts w:ascii="微软雅黑" w:hAnsi="微软雅黑" w:eastAsia="微软雅黑" w:cs="微软雅黑"/>
                <w:color w:val="030303"/>
                <w:spacing w:val="12"/>
                <w:sz w:val="15"/>
                <w:szCs w:val="15"/>
              </w:rPr>
              <w:t>9.8</w:t>
            </w:r>
            <w:r>
              <w:rPr>
                <w:rFonts w:ascii="微软雅黑" w:hAnsi="微软雅黑" w:eastAsia="微软雅黑" w:cs="微软雅黑"/>
                <w:color w:val="231F20"/>
                <w:spacing w:val="12"/>
                <w:sz w:val="15"/>
                <w:szCs w:val="15"/>
              </w:rPr>
              <w:t>%</w:t>
            </w:r>
          </w:p>
        </w:tc>
        <w:tc>
          <w:tcPr>
            <w:tcW w:w="240" w:type="dxa"/>
            <w:vMerge w:val="continue"/>
            <w:tcBorders>
              <w:top w:val="nil"/>
              <w:left w:val="single" w:color="231F20" w:sz="2" w:space="0"/>
              <w:bottom w:val="nil"/>
              <w:right w:val="nil"/>
            </w:tcBorders>
            <w:vAlign w:val="top"/>
          </w:tcPr>
          <w:p>
            <w:pPr>
              <w:rPr>
                <w:rFonts w:ascii="Arial"/>
                <w:sz w:val="21"/>
              </w:rPr>
            </w:pPr>
          </w:p>
        </w:tc>
      </w:tr>
      <w:tr>
        <w:tblPrEx>
          <w:tblBorders>
            <w:top w:val="single" w:color="CEE6ED" w:sz="2" w:space="0"/>
            <w:left w:val="single" w:color="CEE6ED" w:sz="2" w:space="0"/>
            <w:bottom w:val="single" w:color="CEE6ED" w:sz="2" w:space="0"/>
            <w:right w:val="single" w:color="CEE6ED" w:sz="2" w:space="0"/>
            <w:insideH w:val="single" w:color="CEE6ED" w:sz="2" w:space="0"/>
            <w:insideV w:val="single" w:color="CEE6ED" w:sz="2" w:space="0"/>
          </w:tblBorders>
          <w:tblCellMar>
            <w:top w:w="0" w:type="dxa"/>
            <w:left w:w="0" w:type="dxa"/>
            <w:bottom w:w="0" w:type="dxa"/>
            <w:right w:w="0" w:type="dxa"/>
          </w:tblCellMar>
        </w:tblPrEx>
        <w:trPr>
          <w:trHeight w:val="270" w:hRule="atLeast"/>
        </w:trPr>
        <w:tc>
          <w:tcPr>
            <w:tcW w:w="5834" w:type="dxa"/>
            <w:gridSpan w:val="4"/>
            <w:tcBorders>
              <w:left w:val="single" w:color="231F20" w:sz="2" w:space="0"/>
              <w:right w:val="single" w:color="231F20" w:sz="2" w:space="0"/>
            </w:tcBorders>
            <w:vAlign w:val="top"/>
          </w:tcPr>
          <w:p>
            <w:pPr>
              <w:rPr>
                <w:rFonts w:ascii="Arial"/>
                <w:sz w:val="21"/>
              </w:rPr>
            </w:pPr>
            <w:r>
              <w:pict>
                <v:rect id="_x0000_s1336" o:spid="_x0000_s1336" o:spt="1" style="position:absolute;left:0pt;margin-left:88.25pt;margin-top:12.4pt;height:2.25pt;width:59.25pt;mso-position-horizontal-relative:page;mso-position-vertical-relative:page;z-index:251983872;mso-width-relative:page;mso-height-relative:page;" fillcolor="#86A9CB" filled="t" stroked="f" coordsize="21600,21600">
                  <v:path/>
                  <v:fill on="t" focussize="0,0"/>
                  <v:stroke on="f"/>
                  <v:imagedata o:title=""/>
                  <o:lock v:ext="edit"/>
                </v:rect>
              </w:pict>
            </w:r>
          </w:p>
        </w:tc>
        <w:tc>
          <w:tcPr>
            <w:tcW w:w="240" w:type="dxa"/>
            <w:vMerge w:val="continue"/>
            <w:tcBorders>
              <w:top w:val="nil"/>
              <w:left w:val="single" w:color="231F20" w:sz="2" w:space="0"/>
              <w:bottom w:val="nil"/>
              <w:right w:val="nil"/>
            </w:tcBorders>
            <w:vAlign w:val="top"/>
          </w:tcPr>
          <w:p>
            <w:pPr>
              <w:rPr>
                <w:rFonts w:ascii="Arial"/>
                <w:sz w:val="21"/>
              </w:rPr>
            </w:pPr>
          </w:p>
        </w:tc>
      </w:tr>
      <w:tr>
        <w:tblPrEx>
          <w:tblBorders>
            <w:top w:val="single" w:color="CEE6ED" w:sz="2" w:space="0"/>
            <w:left w:val="single" w:color="CEE6ED" w:sz="2" w:space="0"/>
            <w:bottom w:val="single" w:color="CEE6ED" w:sz="2" w:space="0"/>
            <w:right w:val="single" w:color="CEE6ED" w:sz="2" w:space="0"/>
            <w:insideH w:val="single" w:color="CEE6ED" w:sz="2" w:space="0"/>
            <w:insideV w:val="single" w:color="CEE6ED" w:sz="2" w:space="0"/>
          </w:tblBorders>
          <w:tblCellMar>
            <w:top w:w="0" w:type="dxa"/>
            <w:left w:w="0" w:type="dxa"/>
            <w:bottom w:w="0" w:type="dxa"/>
            <w:right w:w="0" w:type="dxa"/>
          </w:tblCellMar>
        </w:tblPrEx>
        <w:trPr>
          <w:trHeight w:val="270" w:hRule="atLeast"/>
        </w:trPr>
        <w:tc>
          <w:tcPr>
            <w:tcW w:w="2477" w:type="dxa"/>
            <w:tcBorders>
              <w:left w:val="single" w:color="231F20" w:sz="2" w:space="0"/>
              <w:right w:val="nil"/>
            </w:tcBorders>
            <w:vAlign w:val="top"/>
          </w:tcPr>
          <w:p>
            <w:pPr>
              <w:spacing w:before="24" w:line="202" w:lineRule="auto"/>
              <w:ind w:left="1712"/>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28</w:t>
            </w:r>
            <w:r>
              <w:rPr>
                <w:rFonts w:ascii="微软雅黑" w:hAnsi="微软雅黑" w:eastAsia="微软雅黑" w:cs="微软雅黑"/>
                <w:color w:val="231F20"/>
                <w:spacing w:val="1"/>
                <w:sz w:val="17"/>
                <w:szCs w:val="17"/>
              </w:rPr>
              <w:t>%</w:t>
            </w:r>
          </w:p>
        </w:tc>
        <w:tc>
          <w:tcPr>
            <w:tcW w:w="3357" w:type="dxa"/>
            <w:gridSpan w:val="3"/>
            <w:tcBorders>
              <w:left w:val="nil"/>
              <w:right w:val="single" w:color="231F20" w:sz="2" w:space="0"/>
            </w:tcBorders>
            <w:vAlign w:val="top"/>
          </w:tcPr>
          <w:p>
            <w:pPr>
              <w:spacing w:before="15" w:line="209" w:lineRule="auto"/>
              <w:ind w:left="402"/>
              <w:rPr>
                <w:rFonts w:ascii="微软雅黑" w:hAnsi="微软雅黑" w:eastAsia="微软雅黑" w:cs="微软雅黑"/>
                <w:sz w:val="17"/>
                <w:szCs w:val="17"/>
              </w:rPr>
            </w:pPr>
            <w:r>
              <w:rPr>
                <w:rFonts w:ascii="微软雅黑" w:hAnsi="微软雅黑" w:eastAsia="微软雅黑" w:cs="微软雅黑"/>
                <w:color w:val="030303"/>
                <w:spacing w:val="1"/>
                <w:sz w:val="17"/>
                <w:szCs w:val="17"/>
              </w:rPr>
              <w:t>2</w:t>
            </w:r>
            <w:r>
              <w:rPr>
                <w:rFonts w:ascii="微软雅黑" w:hAnsi="微软雅黑" w:eastAsia="微软雅黑" w:cs="微软雅黑"/>
                <w:color w:val="030303"/>
                <w:sz w:val="17"/>
                <w:szCs w:val="17"/>
              </w:rPr>
              <w:t>8</w:t>
            </w:r>
            <w:r>
              <w:rPr>
                <w:rFonts w:ascii="微软雅黑" w:hAnsi="微软雅黑" w:eastAsia="微软雅黑" w:cs="微软雅黑"/>
                <w:color w:val="231F20"/>
                <w:sz w:val="17"/>
                <w:szCs w:val="17"/>
              </w:rPr>
              <w:t>%</w:t>
            </w:r>
          </w:p>
        </w:tc>
        <w:tc>
          <w:tcPr>
            <w:tcW w:w="240" w:type="dxa"/>
            <w:vMerge w:val="continue"/>
            <w:tcBorders>
              <w:top w:val="nil"/>
              <w:left w:val="single" w:color="231F20" w:sz="2" w:space="0"/>
              <w:bottom w:val="nil"/>
              <w:right w:val="nil"/>
            </w:tcBorders>
            <w:vAlign w:val="top"/>
          </w:tcPr>
          <w:p>
            <w:pPr>
              <w:rPr>
                <w:rFonts w:ascii="Arial"/>
                <w:sz w:val="21"/>
              </w:rPr>
            </w:pPr>
          </w:p>
        </w:tc>
      </w:tr>
      <w:tr>
        <w:tblPrEx>
          <w:tblBorders>
            <w:top w:val="single" w:color="CEE6ED" w:sz="2" w:space="0"/>
            <w:left w:val="single" w:color="CEE6ED" w:sz="2" w:space="0"/>
            <w:bottom w:val="single" w:color="CEE6ED" w:sz="2" w:space="0"/>
            <w:right w:val="single" w:color="CEE6ED" w:sz="2" w:space="0"/>
            <w:insideH w:val="single" w:color="CEE6ED" w:sz="2" w:space="0"/>
            <w:insideV w:val="single" w:color="CEE6ED" w:sz="2" w:space="0"/>
          </w:tblBorders>
          <w:tblCellMar>
            <w:top w:w="0" w:type="dxa"/>
            <w:left w:w="0" w:type="dxa"/>
            <w:bottom w:w="0" w:type="dxa"/>
            <w:right w:w="0" w:type="dxa"/>
          </w:tblCellMar>
        </w:tblPrEx>
        <w:trPr>
          <w:trHeight w:val="270" w:hRule="atLeast"/>
        </w:trPr>
        <w:tc>
          <w:tcPr>
            <w:tcW w:w="2477" w:type="dxa"/>
            <w:tcBorders>
              <w:left w:val="single" w:color="231F20" w:sz="2" w:space="0"/>
              <w:right w:val="nil"/>
            </w:tcBorders>
            <w:vAlign w:val="top"/>
          </w:tcPr>
          <w:p>
            <w:pPr>
              <w:spacing w:before="146" w:line="123" w:lineRule="exact"/>
              <w:ind w:left="298"/>
              <w:rPr>
                <w:rFonts w:ascii="微软雅黑" w:hAnsi="微软雅黑" w:eastAsia="微软雅黑" w:cs="微软雅黑"/>
                <w:sz w:val="15"/>
                <w:szCs w:val="15"/>
              </w:rPr>
            </w:pPr>
            <w:r>
              <w:rPr>
                <w:rFonts w:ascii="微软雅黑" w:hAnsi="微软雅黑" w:eastAsia="微软雅黑" w:cs="微软雅黑"/>
                <w:color w:val="030303"/>
                <w:spacing w:val="18"/>
                <w:position w:val="-2"/>
                <w:sz w:val="15"/>
                <w:szCs w:val="15"/>
              </w:rPr>
              <w:t>4</w:t>
            </w:r>
            <w:r>
              <w:rPr>
                <w:rFonts w:ascii="微软雅黑" w:hAnsi="微软雅黑" w:eastAsia="微软雅黑" w:cs="微软雅黑"/>
                <w:color w:val="030303"/>
                <w:spacing w:val="17"/>
                <w:position w:val="-2"/>
                <w:sz w:val="15"/>
                <w:szCs w:val="15"/>
              </w:rPr>
              <w:t>693</w:t>
            </w:r>
          </w:p>
        </w:tc>
        <w:tc>
          <w:tcPr>
            <w:tcW w:w="2340" w:type="dxa"/>
            <w:gridSpan w:val="2"/>
            <w:tcBorders>
              <w:left w:val="nil"/>
              <w:right w:val="nil"/>
            </w:tcBorders>
            <w:vAlign w:val="top"/>
          </w:tcPr>
          <w:p>
            <w:pPr>
              <w:spacing w:before="159" w:line="111" w:lineRule="exact"/>
              <w:ind w:left="1216"/>
              <w:rPr>
                <w:rFonts w:ascii="微软雅黑" w:hAnsi="微软雅黑" w:eastAsia="微软雅黑" w:cs="微软雅黑"/>
                <w:sz w:val="14"/>
                <w:szCs w:val="14"/>
              </w:rPr>
            </w:pPr>
            <w:r>
              <w:rPr>
                <w:rFonts w:ascii="微软雅黑" w:hAnsi="微软雅黑" w:eastAsia="微软雅黑" w:cs="微软雅黑"/>
                <w:color w:val="030303"/>
                <w:spacing w:val="24"/>
                <w:position w:val="-2"/>
                <w:sz w:val="14"/>
                <w:szCs w:val="14"/>
              </w:rPr>
              <w:t>4</w:t>
            </w:r>
            <w:r>
              <w:rPr>
                <w:rFonts w:ascii="微软雅黑" w:hAnsi="微软雅黑" w:eastAsia="微软雅黑" w:cs="微软雅黑"/>
                <w:color w:val="030303"/>
                <w:spacing w:val="23"/>
                <w:position w:val="-2"/>
                <w:sz w:val="14"/>
                <w:szCs w:val="14"/>
              </w:rPr>
              <w:t>920</w:t>
            </w:r>
          </w:p>
        </w:tc>
        <w:tc>
          <w:tcPr>
            <w:tcW w:w="1017" w:type="dxa"/>
            <w:tcBorders>
              <w:left w:val="nil"/>
              <w:right w:val="single" w:color="231F20" w:sz="2" w:space="0"/>
            </w:tcBorders>
            <w:vAlign w:val="top"/>
          </w:tcPr>
          <w:p>
            <w:pPr>
              <w:spacing w:before="89" w:line="181" w:lineRule="exact"/>
              <w:ind w:left="56"/>
              <w:rPr>
                <w:rFonts w:ascii="微软雅黑" w:hAnsi="微软雅黑" w:eastAsia="微软雅黑" w:cs="微软雅黑"/>
                <w:sz w:val="17"/>
                <w:szCs w:val="17"/>
              </w:rPr>
            </w:pPr>
            <w:r>
              <w:rPr>
                <w:rFonts w:ascii="微软雅黑" w:hAnsi="微软雅黑" w:eastAsia="微软雅黑" w:cs="微软雅黑"/>
                <w:color w:val="030303"/>
                <w:spacing w:val="2"/>
                <w:position w:val="-1"/>
                <w:sz w:val="17"/>
                <w:szCs w:val="17"/>
              </w:rPr>
              <w:t>5752</w:t>
            </w:r>
          </w:p>
        </w:tc>
        <w:tc>
          <w:tcPr>
            <w:tcW w:w="240" w:type="dxa"/>
            <w:vMerge w:val="continue"/>
            <w:tcBorders>
              <w:top w:val="nil"/>
              <w:left w:val="single" w:color="231F20" w:sz="2" w:space="0"/>
              <w:bottom w:val="nil"/>
              <w:right w:val="nil"/>
            </w:tcBorders>
            <w:vAlign w:val="top"/>
          </w:tcPr>
          <w:p>
            <w:pPr>
              <w:rPr>
                <w:rFonts w:ascii="Arial"/>
                <w:sz w:val="21"/>
              </w:rPr>
            </w:pPr>
          </w:p>
        </w:tc>
      </w:tr>
      <w:tr>
        <w:tblPrEx>
          <w:tblBorders>
            <w:top w:val="single" w:color="CEE6ED" w:sz="2" w:space="0"/>
            <w:left w:val="single" w:color="CEE6ED" w:sz="2" w:space="0"/>
            <w:bottom w:val="single" w:color="CEE6ED" w:sz="2" w:space="0"/>
            <w:right w:val="single" w:color="CEE6ED" w:sz="2" w:space="0"/>
            <w:insideH w:val="single" w:color="CEE6ED" w:sz="2" w:space="0"/>
            <w:insideV w:val="single" w:color="CEE6ED" w:sz="2" w:space="0"/>
          </w:tblBorders>
          <w:tblCellMar>
            <w:top w:w="0" w:type="dxa"/>
            <w:left w:w="0" w:type="dxa"/>
            <w:bottom w:w="0" w:type="dxa"/>
            <w:right w:w="0" w:type="dxa"/>
          </w:tblCellMar>
        </w:tblPrEx>
        <w:trPr>
          <w:trHeight w:val="325" w:hRule="atLeast"/>
        </w:trPr>
        <w:tc>
          <w:tcPr>
            <w:tcW w:w="5834" w:type="dxa"/>
            <w:gridSpan w:val="4"/>
            <w:tcBorders>
              <w:top w:val="single" w:color="231F20" w:sz="2" w:space="0"/>
              <w:left w:val="single" w:color="231F20" w:sz="2" w:space="0"/>
              <w:bottom w:val="single" w:color="231F20" w:sz="2" w:space="0"/>
              <w:right w:val="single" w:color="231F20" w:sz="2" w:space="0"/>
            </w:tcBorders>
            <w:vAlign w:val="top"/>
          </w:tcPr>
          <w:p>
            <w:pPr>
              <w:rPr>
                <w:rFonts w:ascii="Arial"/>
                <w:sz w:val="21"/>
              </w:rPr>
            </w:pPr>
          </w:p>
        </w:tc>
        <w:tc>
          <w:tcPr>
            <w:tcW w:w="240" w:type="dxa"/>
            <w:vMerge w:val="continue"/>
            <w:tcBorders>
              <w:top w:val="nil"/>
              <w:left w:val="single" w:color="231F20" w:sz="2" w:space="0"/>
              <w:bottom w:val="nil"/>
              <w:right w:val="nil"/>
            </w:tcBorders>
            <w:vAlign w:val="top"/>
          </w:tcPr>
          <w:p>
            <w:pPr>
              <w:rPr>
                <w:rFonts w:ascii="Arial"/>
                <w:sz w:val="21"/>
              </w:rPr>
            </w:pPr>
          </w:p>
        </w:tc>
      </w:tr>
    </w:tbl>
    <w:p>
      <w:pPr>
        <w:spacing w:before="116" w:line="186" w:lineRule="auto"/>
        <w:ind w:left="3732"/>
        <w:rPr>
          <w:rFonts w:ascii="Calibri" w:hAnsi="Calibri" w:eastAsia="Calibri" w:cs="Calibri"/>
          <w:sz w:val="17"/>
          <w:szCs w:val="17"/>
        </w:rPr>
      </w:pPr>
      <w:r>
        <w:rPr>
          <w:rFonts w:ascii="Calibri" w:hAnsi="Calibri" w:eastAsia="Calibri" w:cs="Calibri"/>
          <w:color w:val="030303"/>
          <w:spacing w:val="2"/>
          <w:sz w:val="17"/>
          <w:szCs w:val="17"/>
        </w:rPr>
        <w:t xml:space="preserve">2016         </w:t>
      </w:r>
      <w:r>
        <w:rPr>
          <w:rFonts w:ascii="Calibri" w:hAnsi="Calibri" w:eastAsia="Calibri" w:cs="Calibri"/>
          <w:color w:val="030303"/>
          <w:spacing w:val="1"/>
          <w:sz w:val="17"/>
          <w:szCs w:val="17"/>
        </w:rPr>
        <w:t xml:space="preserve">           2017                    2018                    2019                    2020</w:t>
      </w:r>
    </w:p>
    <w:p>
      <w:pPr>
        <w:spacing w:before="134" w:line="230" w:lineRule="auto"/>
        <w:ind w:left="4924"/>
        <w:rPr>
          <w:rFonts w:ascii="宋体" w:hAnsi="宋体" w:eastAsia="宋体" w:cs="宋体"/>
          <w:sz w:val="17"/>
          <w:szCs w:val="17"/>
        </w:rPr>
      </w:pPr>
      <w:r>
        <w:rPr>
          <w:rFonts w:ascii="宋体" w:hAnsi="宋体" w:eastAsia="宋体" w:cs="宋体"/>
          <w:color w:val="030303"/>
          <w:spacing w:val="13"/>
          <w:sz w:val="17"/>
          <w:szCs w:val="17"/>
        </w:rPr>
        <w:t>规</w:t>
      </w:r>
      <w:r>
        <w:rPr>
          <w:rFonts w:ascii="宋体" w:hAnsi="宋体" w:eastAsia="宋体" w:cs="宋体"/>
          <w:color w:val="030303"/>
          <w:spacing w:val="9"/>
          <w:sz w:val="17"/>
          <w:szCs w:val="17"/>
        </w:rPr>
        <w:t>模以上外资食品制造企业资产总计</w:t>
      </w:r>
    </w:p>
    <w:p>
      <w:pPr>
        <w:spacing w:before="62" w:line="275" w:lineRule="exact"/>
        <w:ind w:left="4924"/>
        <w:rPr>
          <w:rFonts w:ascii="宋体" w:hAnsi="宋体" w:eastAsia="宋体" w:cs="宋体"/>
          <w:sz w:val="17"/>
          <w:szCs w:val="17"/>
        </w:rPr>
      </w:pPr>
      <w:r>
        <w:rPr>
          <w:rFonts w:ascii="宋体" w:hAnsi="宋体" w:eastAsia="宋体" w:cs="宋体"/>
          <w:color w:val="030303"/>
          <w:spacing w:val="12"/>
          <w:position w:val="7"/>
          <w:sz w:val="17"/>
          <w:szCs w:val="17"/>
        </w:rPr>
        <w:t>规</w:t>
      </w:r>
      <w:r>
        <w:rPr>
          <w:rFonts w:ascii="宋体" w:hAnsi="宋体" w:eastAsia="宋体" w:cs="宋体"/>
          <w:color w:val="030303"/>
          <w:spacing w:val="9"/>
          <w:position w:val="7"/>
          <w:sz w:val="17"/>
          <w:szCs w:val="17"/>
        </w:rPr>
        <w:t>模以上食品制造企业资产总计</w:t>
      </w:r>
    </w:p>
    <w:p>
      <w:pPr>
        <w:spacing w:line="230" w:lineRule="auto"/>
        <w:ind w:left="4435"/>
        <w:rPr>
          <w:rFonts w:ascii="宋体" w:hAnsi="宋体" w:eastAsia="宋体" w:cs="宋体"/>
          <w:sz w:val="17"/>
          <w:szCs w:val="17"/>
        </w:rPr>
      </w:pPr>
      <w:r>
        <w:rPr>
          <w:rFonts w:ascii="宋体" w:hAnsi="宋体" w:eastAsia="宋体" w:cs="宋体"/>
          <w:color w:val="030303"/>
          <w:sz w:val="17"/>
          <w:szCs w:val="17"/>
        </w:rPr>
        <w:drawing>
          <wp:inline distT="0" distB="0" distL="0" distR="0">
            <wp:extent cx="281940" cy="77470"/>
            <wp:effectExtent l="0" t="0" r="0" b="0"/>
            <wp:docPr id="265" name="IM 265"/>
            <wp:cNvGraphicFramePr/>
            <a:graphic xmlns:a="http://schemas.openxmlformats.org/drawingml/2006/main">
              <a:graphicData uri="http://schemas.openxmlformats.org/drawingml/2006/picture">
                <pic:pic xmlns:pic="http://schemas.openxmlformats.org/drawingml/2006/picture">
                  <pic:nvPicPr>
                    <pic:cNvPr id="265" name="IM 265"/>
                    <pic:cNvPicPr/>
                  </pic:nvPicPr>
                  <pic:blipFill>
                    <a:blip r:embed="rId121"/>
                    <a:stretch>
                      <a:fillRect/>
                    </a:stretch>
                  </pic:blipFill>
                  <pic:spPr>
                    <a:xfrm>
                      <a:off x="0" y="0"/>
                      <a:ext cx="282247" cy="77838"/>
                    </a:xfrm>
                    <a:prstGeom prst="rect">
                      <a:avLst/>
                    </a:prstGeom>
                  </pic:spPr>
                </pic:pic>
              </a:graphicData>
            </a:graphic>
          </wp:inline>
        </w:drawing>
      </w:r>
      <w:r>
        <w:rPr>
          <w:rFonts w:ascii="宋体" w:hAnsi="宋体" w:eastAsia="宋体" w:cs="宋体"/>
          <w:color w:val="030303"/>
          <w:spacing w:val="12"/>
          <w:sz w:val="17"/>
          <w:szCs w:val="17"/>
        </w:rPr>
        <w:t xml:space="preserve"> </w:t>
      </w:r>
      <w:r>
        <w:rPr>
          <w:rFonts w:ascii="宋体" w:hAnsi="宋体" w:eastAsia="宋体" w:cs="宋体"/>
          <w:color w:val="030303"/>
          <w:spacing w:val="6"/>
          <w:sz w:val="17"/>
          <w:szCs w:val="17"/>
        </w:rPr>
        <w:t>规模以上外资食品制造企业资产占比</w:t>
      </w:r>
    </w:p>
    <w:p>
      <w:pPr>
        <w:spacing w:before="263" w:line="383" w:lineRule="exact"/>
        <w:ind w:left="3043"/>
        <w:rPr>
          <w:rFonts w:ascii="SimHei" w:hAnsi="SimHei" w:eastAsia="SimHei" w:cs="SimHei"/>
          <w:sz w:val="20"/>
          <w:szCs w:val="20"/>
        </w:rPr>
      </w:pPr>
      <w:r>
        <w:rPr>
          <w:rFonts w:ascii="SimHei" w:hAnsi="SimHei" w:eastAsia="SimHei" w:cs="SimHei"/>
          <w:color w:val="231F20"/>
          <w:spacing w:val="4"/>
          <w:position w:val="13"/>
          <w:sz w:val="20"/>
          <w:szCs w:val="20"/>
        </w:rPr>
        <w:t xml:space="preserve">图 </w:t>
      </w:r>
      <w:r>
        <w:rPr>
          <w:rFonts w:ascii="Times New Roman" w:hAnsi="Times New Roman" w:eastAsia="Times New Roman" w:cs="Times New Roman"/>
          <w:color w:val="231F20"/>
          <w:spacing w:val="4"/>
          <w:position w:val="13"/>
          <w:sz w:val="20"/>
          <w:szCs w:val="20"/>
        </w:rPr>
        <w:t xml:space="preserve">2- 10 </w:t>
      </w:r>
      <w:r>
        <w:rPr>
          <w:rFonts w:ascii="Times New Roman" w:hAnsi="Times New Roman" w:eastAsia="Times New Roman" w:cs="Times New Roman"/>
          <w:color w:val="231F20"/>
          <w:spacing w:val="2"/>
          <w:position w:val="13"/>
          <w:sz w:val="20"/>
          <w:szCs w:val="20"/>
        </w:rPr>
        <w:t xml:space="preserve">2016-2020 </w:t>
      </w:r>
      <w:r>
        <w:rPr>
          <w:rFonts w:ascii="SimHei" w:hAnsi="SimHei" w:eastAsia="SimHei" w:cs="SimHei"/>
          <w:color w:val="231F20"/>
          <w:spacing w:val="2"/>
          <w:position w:val="13"/>
          <w:sz w:val="20"/>
          <w:szCs w:val="20"/>
        </w:rPr>
        <w:t>年规模以上外资食品制造企业资产总额及占比情况</w:t>
      </w:r>
    </w:p>
    <w:p>
      <w:pPr>
        <w:spacing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ectPr>
          <w:pgSz w:w="12246" w:h="16498"/>
          <w:pgMar w:top="400" w:right="0" w:bottom="400" w:left="0" w:header="0" w:footer="0" w:gutter="0"/>
          <w:cols w:space="720" w:num="1"/>
        </w:sectPr>
      </w:pPr>
    </w:p>
    <w:p>
      <w:pPr>
        <w:spacing w:line="357" w:lineRule="auto"/>
        <w:rPr>
          <w:rFonts w:ascii="Arial"/>
          <w:sz w:val="21"/>
        </w:rPr>
      </w:pPr>
      <w:r>
        <w:pict>
          <v:rect id="_x0000_s1337" o:spid="_x0000_s1337" o:spt="1" style="position:absolute;left:0pt;margin-left:465.15pt;margin-top:287.95pt;height:61pt;width:4.85pt;mso-position-horizontal-relative:page;mso-position-vertical-relative:page;z-index:252003328;mso-width-relative:page;mso-height-relative:page;" fillcolor="#FFFFFF" filled="t" stroked="f" coordsize="21600,21600" o:allowincell="f">
            <v:path/>
            <v:fill on="t" focussize="0,0"/>
            <v:stroke on="f"/>
            <v:imagedata o:title=""/>
            <o:lock v:ext="edit"/>
          </v:rect>
        </w:pict>
      </w:r>
      <w:r>
        <w:pict>
          <v:shape id="_x0000_s1338" o:spid="_x0000_s1338" style="position:absolute;left:0pt;margin-left:457.2pt;margin-top:240.15pt;height:123.05pt;width:1.75pt;mso-position-horizontal-relative:page;mso-position-vertical-relative:page;z-index:252000256;mso-width-relative:page;mso-height-relative:page;" filled="f" stroked="t" coordsize="35,2461" o:allowincell="f" path="m34,2458l0,2458m34,2106l0,2106m34,1744l0,1744m34,1407l0,1407m34,1056l0,1056m34,705l0,705m34,368l0,368m34,2l0,2e">
            <v:fill on="f" focussize="0,0"/>
            <v:stroke weight="0.28pt" color="#231F20" miterlimit="4" joinstyle="miter"/>
            <v:imagedata o:title=""/>
            <o:lock v:ext="edit"/>
          </v:shape>
        </w:pict>
      </w:r>
      <w:r>
        <w:pict>
          <v:shape id="_x0000_s1339" o:spid="_x0000_s1339" o:spt="202" type="#_x0000_t202" style="position:absolute;left:0pt;margin-left:460.7pt;margin-top:288.5pt;height:98.2pt;width:16.8pt;mso-position-horizontal-relative:page;mso-position-vertical-relative:page;z-index:252004352;mso-width-relative:page;mso-height-relative:page;" filled="f" stroked="f" coordsize="21600,21600" o:allowincell="f">
            <v:path/>
            <v:fill on="f" focussize="0,0"/>
            <v:stroke on="f"/>
            <v:imagedata o:title=""/>
            <o:lock v:ext="edit" aspectratio="f"/>
            <v:textbox inset="0mm,0mm,0mm,0mm">
              <w:txbxContent>
                <w:p>
                  <w:pPr>
                    <w:spacing w:before="19" w:line="324" w:lineRule="auto"/>
                    <w:ind w:left="20" w:right="20"/>
                    <w:rPr>
                      <w:rFonts w:ascii="微软雅黑" w:hAnsi="微软雅黑" w:eastAsia="微软雅黑" w:cs="微软雅黑"/>
                      <w:sz w:val="15"/>
                      <w:szCs w:val="15"/>
                    </w:rPr>
                  </w:pPr>
                  <w:r>
                    <w:rPr>
                      <w:rFonts w:ascii="Calibri" w:hAnsi="Calibri" w:eastAsia="Calibri" w:cs="Calibri"/>
                      <w:color w:val="030303"/>
                      <w:spacing w:val="-2"/>
                      <w:sz w:val="17"/>
                      <w:szCs w:val="17"/>
                    </w:rPr>
                    <w:t>1</w:t>
                  </w:r>
                  <w:r>
                    <w:rPr>
                      <w:sz w:val="17"/>
                      <w:szCs w:val="17"/>
                    </w:rPr>
                    <w:drawing>
                      <wp:inline distT="0" distB="0" distL="0" distR="0">
                        <wp:extent cx="57150" cy="7366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22"/>
                                <a:stretch>
                                  <a:fillRect/>
                                </a:stretch>
                              </pic:blipFill>
                              <pic:spPr>
                                <a:xfrm>
                                  <a:off x="0" y="0"/>
                                  <a:ext cx="57768" cy="74250"/>
                                </a:xfrm>
                                <a:prstGeom prst="rect">
                                  <a:avLst/>
                                </a:prstGeom>
                              </pic:spPr>
                            </pic:pic>
                          </a:graphicData>
                        </a:graphic>
                      </wp:inline>
                    </w:drawing>
                  </w:r>
                  <w:r>
                    <w:rPr>
                      <w:rFonts w:ascii="微软雅黑" w:hAnsi="微软雅黑" w:eastAsia="微软雅黑" w:cs="微软雅黑"/>
                      <w:color w:val="231F20"/>
                      <w:spacing w:val="-2"/>
                      <w:sz w:val="15"/>
                      <w:szCs w:val="15"/>
                    </w:rPr>
                    <w:t>.8</w:t>
                  </w:r>
                  <w:r>
                    <w:rPr>
                      <w:rFonts w:ascii="微软雅黑" w:hAnsi="微软雅黑" w:eastAsia="微软雅黑" w:cs="微软雅黑"/>
                      <w:color w:val="231F20"/>
                      <w:sz w:val="15"/>
                      <w:szCs w:val="15"/>
                    </w:rPr>
                    <w:t xml:space="preserve"> </w:t>
                  </w:r>
                  <w:r>
                    <w:rPr>
                      <w:rFonts w:ascii="Calibri" w:hAnsi="Calibri" w:eastAsia="Calibri" w:cs="Calibri"/>
                      <w:color w:val="030303"/>
                      <w:spacing w:val="-2"/>
                      <w:sz w:val="17"/>
                      <w:szCs w:val="17"/>
                    </w:rPr>
                    <w:t>1</w:t>
                  </w:r>
                  <w:r>
                    <w:rPr>
                      <w:sz w:val="17"/>
                      <w:szCs w:val="17"/>
                    </w:rPr>
                    <w:drawing>
                      <wp:inline distT="0" distB="0" distL="0" distR="0">
                        <wp:extent cx="57150" cy="73660"/>
                        <wp:effectExtent l="0" t="0" r="0" b="0"/>
                        <wp:docPr id="267" name="IM 267"/>
                        <wp:cNvGraphicFramePr/>
                        <a:graphic xmlns:a="http://schemas.openxmlformats.org/drawingml/2006/main">
                          <a:graphicData uri="http://schemas.openxmlformats.org/drawingml/2006/picture">
                            <pic:pic xmlns:pic="http://schemas.openxmlformats.org/drawingml/2006/picture">
                              <pic:nvPicPr>
                                <pic:cNvPr id="267" name="IM 267"/>
                                <pic:cNvPicPr/>
                              </pic:nvPicPr>
                              <pic:blipFill>
                                <a:blip r:embed="rId122"/>
                                <a:stretch>
                                  <a:fillRect/>
                                </a:stretch>
                              </pic:blipFill>
                              <pic:spPr>
                                <a:xfrm>
                                  <a:off x="0" y="0"/>
                                  <a:ext cx="57768" cy="74249"/>
                                </a:xfrm>
                                <a:prstGeom prst="rect">
                                  <a:avLst/>
                                </a:prstGeom>
                              </pic:spPr>
                            </pic:pic>
                          </a:graphicData>
                        </a:graphic>
                      </wp:inline>
                    </w:drawing>
                  </w:r>
                  <w:r>
                    <w:rPr>
                      <w:rFonts w:ascii="微软雅黑" w:hAnsi="微软雅黑" w:eastAsia="微软雅黑" w:cs="微软雅黑"/>
                      <w:color w:val="231F20"/>
                      <w:spacing w:val="-2"/>
                      <w:sz w:val="15"/>
                      <w:szCs w:val="15"/>
                    </w:rPr>
                    <w:t>.6</w:t>
                  </w:r>
                  <w:r>
                    <w:rPr>
                      <w:rFonts w:ascii="微软雅黑" w:hAnsi="微软雅黑" w:eastAsia="微软雅黑" w:cs="微软雅黑"/>
                      <w:color w:val="231F20"/>
                      <w:sz w:val="15"/>
                      <w:szCs w:val="15"/>
                    </w:rPr>
                    <w:t xml:space="preserve"> </w:t>
                  </w:r>
                  <w:r>
                    <w:rPr>
                      <w:rFonts w:ascii="Calibri" w:hAnsi="Calibri" w:eastAsia="Calibri" w:cs="Calibri"/>
                      <w:color w:val="030303"/>
                      <w:spacing w:val="-1"/>
                      <w:sz w:val="17"/>
                      <w:szCs w:val="17"/>
                    </w:rPr>
                    <w:t>12</w:t>
                  </w:r>
                  <w:r>
                    <w:rPr>
                      <w:rFonts w:ascii="微软雅黑" w:hAnsi="微软雅黑" w:eastAsia="微软雅黑" w:cs="微软雅黑"/>
                      <w:color w:val="231F20"/>
                      <w:sz w:val="15"/>
                      <w:szCs w:val="15"/>
                    </w:rPr>
                    <w:t xml:space="preserve">.4 </w:t>
                  </w:r>
                  <w:r>
                    <w:rPr>
                      <w:rFonts w:ascii="Calibri" w:hAnsi="Calibri" w:eastAsia="Calibri" w:cs="Calibri"/>
                      <w:color w:val="030303"/>
                      <w:spacing w:val="-1"/>
                      <w:sz w:val="17"/>
                      <w:szCs w:val="17"/>
                    </w:rPr>
                    <w:t>12</w:t>
                  </w:r>
                  <w:r>
                    <w:rPr>
                      <w:rFonts w:ascii="微软雅黑" w:hAnsi="微软雅黑" w:eastAsia="微软雅黑" w:cs="微软雅黑"/>
                      <w:color w:val="231F20"/>
                      <w:sz w:val="15"/>
                      <w:szCs w:val="15"/>
                    </w:rPr>
                    <w:t>.2</w:t>
                  </w:r>
                </w:p>
                <w:p>
                  <w:pPr>
                    <w:spacing w:line="345" w:lineRule="exact"/>
                    <w:ind w:left="20"/>
                    <w:rPr>
                      <w:rFonts w:ascii="微软雅黑" w:hAnsi="微软雅黑" w:eastAsia="微软雅黑" w:cs="微软雅黑"/>
                      <w:sz w:val="15"/>
                      <w:szCs w:val="15"/>
                    </w:rPr>
                  </w:pPr>
                  <w:r>
                    <w:rPr>
                      <w:rFonts w:ascii="Calibri" w:hAnsi="Calibri" w:eastAsia="Calibri" w:cs="Calibri"/>
                      <w:color w:val="030303"/>
                      <w:spacing w:val="-1"/>
                      <w:position w:val="16"/>
                      <w:sz w:val="17"/>
                      <w:szCs w:val="17"/>
                    </w:rPr>
                    <w:t>12</w:t>
                  </w:r>
                  <w:r>
                    <w:rPr>
                      <w:rFonts w:ascii="微软雅黑" w:hAnsi="微软雅黑" w:eastAsia="微软雅黑" w:cs="微软雅黑"/>
                      <w:color w:val="231F20"/>
                      <w:position w:val="16"/>
                      <w:sz w:val="15"/>
                      <w:szCs w:val="15"/>
                    </w:rPr>
                    <w:t>.0</w:t>
                  </w:r>
                </w:p>
                <w:p>
                  <w:pPr>
                    <w:spacing w:line="176" w:lineRule="auto"/>
                    <w:ind w:left="20"/>
                    <w:rPr>
                      <w:rFonts w:ascii="微软雅黑" w:hAnsi="微软雅黑" w:eastAsia="微软雅黑" w:cs="微软雅黑"/>
                      <w:sz w:val="15"/>
                      <w:szCs w:val="15"/>
                    </w:rPr>
                  </w:pPr>
                  <w:r>
                    <w:rPr>
                      <w:rFonts w:ascii="Calibri" w:hAnsi="Calibri" w:eastAsia="Calibri" w:cs="Calibri"/>
                      <w:color w:val="030303"/>
                      <w:spacing w:val="-3"/>
                      <w:sz w:val="17"/>
                      <w:szCs w:val="17"/>
                    </w:rPr>
                    <w:t>1</w:t>
                  </w:r>
                  <w:r>
                    <w:rPr>
                      <w:sz w:val="17"/>
                      <w:szCs w:val="17"/>
                      <w:highlight w:val="white"/>
                    </w:rPr>
                    <w:drawing>
                      <wp:inline distT="0" distB="0" distL="0" distR="0">
                        <wp:extent cx="60325" cy="7302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23"/>
                                <a:stretch>
                                  <a:fillRect/>
                                </a:stretch>
                              </pic:blipFill>
                              <pic:spPr>
                                <a:xfrm>
                                  <a:off x="0" y="0"/>
                                  <a:ext cx="60479" cy="73193"/>
                                </a:xfrm>
                                <a:prstGeom prst="rect">
                                  <a:avLst/>
                                </a:prstGeom>
                              </pic:spPr>
                            </pic:pic>
                          </a:graphicData>
                        </a:graphic>
                      </wp:inline>
                    </w:drawing>
                  </w:r>
                  <w:r>
                    <w:rPr>
                      <w:rFonts w:ascii="微软雅黑" w:hAnsi="微软雅黑" w:eastAsia="微软雅黑" w:cs="微软雅黑"/>
                      <w:color w:val="231F20"/>
                      <w:spacing w:val="-2"/>
                      <w:sz w:val="15"/>
                      <w:szCs w:val="15"/>
                      <w:highlight w:val="white"/>
                    </w:rPr>
                    <w:t>.</w:t>
                  </w:r>
                  <w:r>
                    <w:rPr>
                      <w:rFonts w:ascii="微软雅黑" w:hAnsi="微软雅黑" w:eastAsia="微软雅黑" w:cs="微软雅黑"/>
                      <w:color w:val="231F20"/>
                      <w:spacing w:val="-2"/>
                      <w:sz w:val="15"/>
                      <w:szCs w:val="15"/>
                    </w:rPr>
                    <w:t>8</w:t>
                  </w:r>
                </w:p>
              </w:txbxContent>
            </v:textbox>
          </v:shape>
        </w:pict>
      </w:r>
      <w:r>
        <w:drawing>
          <wp:anchor distT="0" distB="0" distL="0" distR="0" simplePos="0" relativeHeight="25199616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69" name="IM 269"/>
            <wp:cNvGraphicFramePr/>
            <a:graphic xmlns:a="http://schemas.openxmlformats.org/drawingml/2006/main">
              <a:graphicData uri="http://schemas.openxmlformats.org/drawingml/2006/picture">
                <pic:pic xmlns:pic="http://schemas.openxmlformats.org/drawingml/2006/picture">
                  <pic:nvPicPr>
                    <pic:cNvPr id="269" name="IM 269"/>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bookmarkStart w:id="50" w:name="_bookmark33"/>
      <w:bookmarkEnd w:id="50"/>
      <w:bookmarkStart w:id="51" w:name="_bookmark34"/>
      <w:bookmarkEnd w:id="51"/>
      <w:r>
        <w:rPr>
          <w:rFonts w:ascii="Arial" w:hAnsi="Arial" w:eastAsia="Arial" w:cs="Arial"/>
          <w:color w:val="231F20"/>
          <w:spacing w:val="40"/>
          <w:sz w:val="20"/>
          <w:szCs w:val="20"/>
        </w:rPr>
        <w:t>5</w:t>
      </w:r>
      <w:r>
        <w:rPr>
          <w:rFonts w:ascii="Arial" w:hAnsi="Arial" w:eastAsia="Arial" w:cs="Arial"/>
          <w:color w:val="231F20"/>
          <w:spacing w:val="21"/>
          <w:sz w:val="20"/>
          <w:szCs w:val="20"/>
        </w:rPr>
        <w:t xml:space="preserve">2  </w:t>
      </w:r>
      <w:r>
        <w:rPr>
          <w:position w:val="-5"/>
          <w:sz w:val="20"/>
          <w:szCs w:val="20"/>
        </w:rPr>
        <w:drawing>
          <wp:inline distT="0" distB="0" distL="0" distR="0">
            <wp:extent cx="3175" cy="14732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271" name="IM 271"/>
            <wp:cNvGraphicFramePr/>
            <a:graphic xmlns:a="http://schemas.openxmlformats.org/drawingml/2006/main">
              <a:graphicData uri="http://schemas.openxmlformats.org/drawingml/2006/picture">
                <pic:pic xmlns:pic="http://schemas.openxmlformats.org/drawingml/2006/picture">
                  <pic:nvPicPr>
                    <pic:cNvPr id="271" name="IM 271"/>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产业篇</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5" w:line="263" w:lineRule="auto"/>
        <w:ind w:left="1988" w:right="1983" w:firstLine="454"/>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从存</w:t>
      </w:r>
      <w:r>
        <w:rPr>
          <w:rFonts w:ascii="微软雅黑" w:hAnsi="微软雅黑" w:eastAsia="微软雅黑" w:cs="微软雅黑"/>
          <w:color w:val="231F20"/>
          <w:spacing w:val="2"/>
          <w:sz w:val="22"/>
          <w:szCs w:val="22"/>
        </w:rPr>
        <w:t xml:space="preserve">续企业数量来看 ，全国规模以上食品制造企业数量从 </w:t>
      </w:r>
      <w:r>
        <w:rPr>
          <w:rFonts w:ascii="Times New Roman" w:hAnsi="Times New Roman" w:eastAsia="Times New Roman" w:cs="Times New Roman"/>
          <w:color w:val="231F20"/>
          <w:spacing w:val="2"/>
          <w:sz w:val="22"/>
          <w:szCs w:val="22"/>
        </w:rPr>
        <w:t>2016</w:t>
      </w:r>
      <w:r>
        <w:rPr>
          <w:rFonts w:ascii="微软雅黑" w:hAnsi="微软雅黑" w:eastAsia="微软雅黑" w:cs="微软雅黑"/>
          <w:color w:val="231F20"/>
          <w:spacing w:val="2"/>
          <w:sz w:val="22"/>
          <w:szCs w:val="22"/>
        </w:rPr>
        <w:t xml:space="preserve">年的 </w:t>
      </w:r>
      <w:r>
        <w:rPr>
          <w:rFonts w:ascii="Times New Roman" w:hAnsi="Times New Roman" w:eastAsia="Times New Roman" w:cs="Times New Roman"/>
          <w:color w:val="231F20"/>
          <w:spacing w:val="2"/>
          <w:sz w:val="22"/>
          <w:szCs w:val="22"/>
        </w:rPr>
        <w:t xml:space="preserve">9043 </w:t>
      </w:r>
      <w:r>
        <w:rPr>
          <w:rFonts w:ascii="微软雅黑" w:hAnsi="微软雅黑" w:eastAsia="微软雅黑" w:cs="微软雅黑"/>
          <w:color w:val="231F20"/>
          <w:spacing w:val="2"/>
          <w:sz w:val="22"/>
          <w:szCs w:val="22"/>
        </w:rPr>
        <w:t>家波动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下滑至 </w:t>
      </w:r>
      <w:r>
        <w:rPr>
          <w:rFonts w:ascii="Times New Roman" w:hAnsi="Times New Roman" w:eastAsia="Times New Roman" w:cs="Times New Roman"/>
          <w:color w:val="231F20"/>
          <w:spacing w:val="2"/>
          <w:sz w:val="22"/>
          <w:szCs w:val="22"/>
        </w:rPr>
        <w:t xml:space="preserve">2020 </w:t>
      </w:r>
      <w:r>
        <w:rPr>
          <w:rFonts w:ascii="微软雅黑" w:hAnsi="微软雅黑" w:eastAsia="微软雅黑" w:cs="微软雅黑"/>
          <w:color w:val="231F20"/>
          <w:spacing w:val="2"/>
          <w:sz w:val="22"/>
          <w:szCs w:val="22"/>
        </w:rPr>
        <w:t xml:space="preserve">年的 </w:t>
      </w:r>
      <w:r>
        <w:rPr>
          <w:rFonts w:ascii="Times New Roman" w:hAnsi="Times New Roman" w:eastAsia="Times New Roman" w:cs="Times New Roman"/>
          <w:color w:val="231F20"/>
          <w:spacing w:val="2"/>
          <w:sz w:val="22"/>
          <w:szCs w:val="22"/>
        </w:rPr>
        <w:t xml:space="preserve">8267 </w:t>
      </w:r>
      <w:r>
        <w:rPr>
          <w:rFonts w:ascii="微软雅黑" w:hAnsi="微软雅黑" w:eastAsia="微软雅黑" w:cs="微软雅黑"/>
          <w:color w:val="231F20"/>
          <w:spacing w:val="2"/>
          <w:sz w:val="22"/>
          <w:szCs w:val="22"/>
        </w:rPr>
        <w:t>家，  而规模以上外资食品制造</w:t>
      </w:r>
      <w:r>
        <w:rPr>
          <w:rFonts w:ascii="微软雅黑" w:hAnsi="微软雅黑" w:eastAsia="微软雅黑" w:cs="微软雅黑"/>
          <w:color w:val="231F20"/>
          <w:spacing w:val="1"/>
          <w:sz w:val="22"/>
          <w:szCs w:val="22"/>
        </w:rPr>
        <w:t xml:space="preserve">企业数量虽然自 </w:t>
      </w:r>
      <w:r>
        <w:rPr>
          <w:rFonts w:ascii="Times New Roman" w:hAnsi="Times New Roman" w:eastAsia="Times New Roman" w:cs="Times New Roman"/>
          <w:color w:val="231F20"/>
          <w:spacing w:val="1"/>
          <w:sz w:val="22"/>
          <w:szCs w:val="22"/>
        </w:rPr>
        <w:t xml:space="preserve">2016 </w:t>
      </w:r>
      <w:r>
        <w:rPr>
          <w:rFonts w:ascii="微软雅黑" w:hAnsi="微软雅黑" w:eastAsia="微软雅黑" w:cs="微软雅黑"/>
          <w:color w:val="231F20"/>
          <w:spacing w:val="1"/>
          <w:sz w:val="22"/>
          <w:szCs w:val="22"/>
        </w:rPr>
        <w:t>年以来有</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所下降 ，但 </w:t>
      </w:r>
      <w:r>
        <w:rPr>
          <w:rFonts w:ascii="Times New Roman" w:hAnsi="Times New Roman" w:eastAsia="Times New Roman" w:cs="Times New Roman"/>
          <w:color w:val="231F20"/>
          <w:spacing w:val="1"/>
          <w:sz w:val="22"/>
          <w:szCs w:val="22"/>
        </w:rPr>
        <w:t xml:space="preserve">2018-2020 </w:t>
      </w:r>
      <w:r>
        <w:rPr>
          <w:rFonts w:ascii="微软雅黑" w:hAnsi="微软雅黑" w:eastAsia="微软雅黑" w:cs="微软雅黑"/>
          <w:color w:val="231F20"/>
          <w:spacing w:val="1"/>
          <w:sz w:val="22"/>
          <w:szCs w:val="22"/>
        </w:rPr>
        <w:t>年保持相对稳定 ，且占全国</w:t>
      </w:r>
      <w:r>
        <w:rPr>
          <w:rFonts w:ascii="微软雅黑" w:hAnsi="微软雅黑" w:eastAsia="微软雅黑" w:cs="微软雅黑"/>
          <w:color w:val="231F20"/>
          <w:sz w:val="22"/>
          <w:szCs w:val="22"/>
        </w:rPr>
        <w:t xml:space="preserve">规模以上外资食品制造企业总数的 </w:t>
      </w:r>
      <w:r>
        <w:rPr>
          <w:rFonts w:ascii="微软雅黑" w:hAnsi="微软雅黑" w:eastAsia="微软雅黑" w:cs="微软雅黑"/>
          <w:color w:val="231F20"/>
          <w:spacing w:val="1"/>
          <w:sz w:val="22"/>
          <w:szCs w:val="22"/>
        </w:rPr>
        <w:t>比重略有上升。外资食品制造企业依然看好在中国市场</w:t>
      </w:r>
      <w:r>
        <w:rPr>
          <w:rFonts w:ascii="微软雅黑" w:hAnsi="微软雅黑" w:eastAsia="微软雅黑" w:cs="微软雅黑"/>
          <w:color w:val="231F20"/>
          <w:sz w:val="22"/>
          <w:szCs w:val="22"/>
        </w:rPr>
        <w:t>发展。</w:t>
      </w:r>
    </w:p>
    <w:p>
      <w:pPr>
        <w:spacing w:line="358" w:lineRule="auto"/>
        <w:rPr>
          <w:rFonts w:ascii="Arial"/>
          <w:sz w:val="21"/>
        </w:rPr>
      </w:pPr>
    </w:p>
    <w:p>
      <w:pPr>
        <w:spacing w:before="55" w:line="242" w:lineRule="exact"/>
        <w:ind w:left="2795"/>
        <w:rPr>
          <w:rFonts w:ascii="Times New Roman" w:hAnsi="Times New Roman" w:eastAsia="Times New Roman" w:cs="Times New Roman"/>
          <w:sz w:val="17"/>
          <w:szCs w:val="17"/>
        </w:rPr>
      </w:pPr>
      <w:r>
        <w:rPr>
          <w:rFonts w:ascii="宋体" w:hAnsi="宋体" w:eastAsia="宋体" w:cs="宋体"/>
          <w:color w:val="030303"/>
          <w:spacing w:val="1"/>
          <w:position w:val="1"/>
          <w:sz w:val="17"/>
          <w:szCs w:val="17"/>
        </w:rPr>
        <w:t xml:space="preserve">家                                                                  </w:t>
      </w:r>
      <w:r>
        <w:rPr>
          <w:rFonts w:ascii="宋体" w:hAnsi="宋体" w:eastAsia="宋体" w:cs="宋体"/>
          <w:color w:val="030303"/>
          <w:position w:val="1"/>
          <w:sz w:val="17"/>
          <w:szCs w:val="17"/>
        </w:rPr>
        <w:t xml:space="preserve">       </w:t>
      </w:r>
      <w:r>
        <w:rPr>
          <w:rFonts w:ascii="Times New Roman" w:hAnsi="Times New Roman" w:eastAsia="Times New Roman" w:cs="Times New Roman"/>
          <w:color w:val="030303"/>
          <w:position w:val="1"/>
          <w:sz w:val="17"/>
          <w:szCs w:val="17"/>
        </w:rPr>
        <w:t>%</w:t>
      </w:r>
    </w:p>
    <w:p>
      <w:pPr>
        <w:spacing w:line="49" w:lineRule="exact"/>
      </w:pPr>
    </w:p>
    <w:p>
      <w:pPr>
        <w:sectPr>
          <w:pgSz w:w="12246" w:h="16498"/>
          <w:pgMar w:top="400" w:right="0" w:bottom="400" w:left="0" w:header="0" w:footer="0" w:gutter="0"/>
          <w:cols w:equalWidth="0" w:num="1">
            <w:col w:w="12246"/>
          </w:cols>
        </w:sectPr>
      </w:pPr>
    </w:p>
    <w:p>
      <w:pPr>
        <w:spacing w:before="73" w:line="186" w:lineRule="auto"/>
        <w:jc w:val="right"/>
        <w:rPr>
          <w:rFonts w:ascii="Calibri" w:hAnsi="Calibri" w:eastAsia="Calibri" w:cs="Calibri"/>
          <w:sz w:val="17"/>
          <w:szCs w:val="17"/>
        </w:rPr>
      </w:pPr>
      <w:r>
        <w:rPr>
          <w:rFonts w:ascii="Calibri" w:hAnsi="Calibri" w:eastAsia="Calibri" w:cs="Calibri"/>
          <w:color w:val="030303"/>
          <w:spacing w:val="2"/>
          <w:sz w:val="17"/>
          <w:szCs w:val="17"/>
        </w:rPr>
        <w:t>100</w:t>
      </w:r>
      <w:r>
        <w:rPr>
          <w:rFonts w:ascii="Calibri" w:hAnsi="Calibri" w:eastAsia="Calibri" w:cs="Calibri"/>
          <w:color w:val="030303"/>
          <w:spacing w:val="1"/>
          <w:sz w:val="17"/>
          <w:szCs w:val="17"/>
        </w:rPr>
        <w:t>00</w:t>
      </w:r>
    </w:p>
    <w:p>
      <w:pPr>
        <w:spacing w:before="116" w:line="186" w:lineRule="auto"/>
        <w:jc w:val="right"/>
        <w:rPr>
          <w:rFonts w:ascii="Calibri" w:hAnsi="Calibri" w:eastAsia="Calibri" w:cs="Calibri"/>
          <w:sz w:val="17"/>
          <w:szCs w:val="17"/>
        </w:rPr>
      </w:pPr>
      <w:r>
        <w:rPr>
          <w:rFonts w:ascii="Calibri" w:hAnsi="Calibri" w:eastAsia="Calibri" w:cs="Calibri"/>
          <w:color w:val="030303"/>
          <w:spacing w:val="3"/>
          <w:sz w:val="17"/>
          <w:szCs w:val="17"/>
        </w:rPr>
        <w:t>9000</w:t>
      </w:r>
    </w:p>
    <w:p>
      <w:pPr>
        <w:spacing w:before="116" w:line="186" w:lineRule="auto"/>
        <w:jc w:val="right"/>
        <w:rPr>
          <w:rFonts w:ascii="Calibri" w:hAnsi="Calibri" w:eastAsia="Calibri" w:cs="Calibri"/>
          <w:sz w:val="17"/>
          <w:szCs w:val="17"/>
        </w:rPr>
      </w:pPr>
      <w:r>
        <w:rPr>
          <w:rFonts w:ascii="Calibri" w:hAnsi="Calibri" w:eastAsia="Calibri" w:cs="Calibri"/>
          <w:color w:val="030303"/>
          <w:spacing w:val="3"/>
          <w:sz w:val="17"/>
          <w:szCs w:val="17"/>
        </w:rPr>
        <w:t>8000</w:t>
      </w:r>
    </w:p>
    <w:p>
      <w:pPr>
        <w:spacing w:before="117" w:line="186" w:lineRule="auto"/>
        <w:jc w:val="right"/>
        <w:rPr>
          <w:rFonts w:ascii="Calibri" w:hAnsi="Calibri" w:eastAsia="Calibri" w:cs="Calibri"/>
          <w:sz w:val="17"/>
          <w:szCs w:val="17"/>
        </w:rPr>
      </w:pPr>
      <w:r>
        <w:rPr>
          <w:rFonts w:ascii="Calibri" w:hAnsi="Calibri" w:eastAsia="Calibri" w:cs="Calibri"/>
          <w:color w:val="030303"/>
          <w:spacing w:val="4"/>
          <w:sz w:val="17"/>
          <w:szCs w:val="17"/>
        </w:rPr>
        <w:t>7</w:t>
      </w:r>
      <w:r>
        <w:rPr>
          <w:rFonts w:ascii="Calibri" w:hAnsi="Calibri" w:eastAsia="Calibri" w:cs="Calibri"/>
          <w:color w:val="030303"/>
          <w:spacing w:val="2"/>
          <w:sz w:val="17"/>
          <w:szCs w:val="17"/>
        </w:rPr>
        <w:t>000</w:t>
      </w:r>
    </w:p>
    <w:p>
      <w:pPr>
        <w:spacing w:before="116" w:line="186" w:lineRule="auto"/>
        <w:jc w:val="right"/>
        <w:rPr>
          <w:rFonts w:ascii="Calibri" w:hAnsi="Calibri" w:eastAsia="Calibri" w:cs="Calibri"/>
          <w:sz w:val="17"/>
          <w:szCs w:val="17"/>
        </w:rPr>
      </w:pPr>
      <w:r>
        <w:rPr>
          <w:rFonts w:ascii="Calibri" w:hAnsi="Calibri" w:eastAsia="Calibri" w:cs="Calibri"/>
          <w:color w:val="030303"/>
          <w:spacing w:val="3"/>
          <w:sz w:val="17"/>
          <w:szCs w:val="17"/>
        </w:rPr>
        <w:t>6</w:t>
      </w:r>
      <w:r>
        <w:rPr>
          <w:rFonts w:ascii="Calibri" w:hAnsi="Calibri" w:eastAsia="Calibri" w:cs="Calibri"/>
          <w:color w:val="030303"/>
          <w:spacing w:val="2"/>
          <w:sz w:val="17"/>
          <w:szCs w:val="17"/>
        </w:rPr>
        <w:t>000</w:t>
      </w:r>
    </w:p>
    <w:p>
      <w:pPr>
        <w:spacing w:before="117" w:line="186" w:lineRule="auto"/>
        <w:jc w:val="right"/>
        <w:rPr>
          <w:rFonts w:ascii="Calibri" w:hAnsi="Calibri" w:eastAsia="Calibri" w:cs="Calibri"/>
          <w:sz w:val="17"/>
          <w:szCs w:val="17"/>
        </w:rPr>
      </w:pPr>
      <w:r>
        <w:rPr>
          <w:rFonts w:ascii="Calibri" w:hAnsi="Calibri" w:eastAsia="Calibri" w:cs="Calibri"/>
          <w:color w:val="030303"/>
          <w:spacing w:val="4"/>
          <w:sz w:val="17"/>
          <w:szCs w:val="17"/>
        </w:rPr>
        <w:t>5</w:t>
      </w:r>
      <w:r>
        <w:rPr>
          <w:rFonts w:ascii="Calibri" w:hAnsi="Calibri" w:eastAsia="Calibri" w:cs="Calibri"/>
          <w:color w:val="030303"/>
          <w:spacing w:val="2"/>
          <w:sz w:val="17"/>
          <w:szCs w:val="17"/>
        </w:rPr>
        <w:t>000</w:t>
      </w:r>
    </w:p>
    <w:p>
      <w:pPr>
        <w:spacing w:before="117" w:line="186" w:lineRule="auto"/>
        <w:jc w:val="right"/>
        <w:rPr>
          <w:rFonts w:ascii="Calibri" w:hAnsi="Calibri" w:eastAsia="Calibri" w:cs="Calibri"/>
          <w:sz w:val="17"/>
          <w:szCs w:val="17"/>
        </w:rPr>
      </w:pPr>
      <w:r>
        <w:rPr>
          <w:rFonts w:ascii="Calibri" w:hAnsi="Calibri" w:eastAsia="Calibri" w:cs="Calibri"/>
          <w:color w:val="030303"/>
          <w:spacing w:val="6"/>
          <w:sz w:val="17"/>
          <w:szCs w:val="17"/>
        </w:rPr>
        <w:t>4</w:t>
      </w:r>
      <w:r>
        <w:rPr>
          <w:rFonts w:ascii="Calibri" w:hAnsi="Calibri" w:eastAsia="Calibri" w:cs="Calibri"/>
          <w:color w:val="030303"/>
          <w:spacing w:val="3"/>
          <w:sz w:val="17"/>
          <w:szCs w:val="17"/>
        </w:rPr>
        <w:t>000</w:t>
      </w:r>
    </w:p>
    <w:p>
      <w:pPr>
        <w:spacing w:before="116" w:line="186" w:lineRule="auto"/>
        <w:jc w:val="right"/>
        <w:rPr>
          <w:rFonts w:ascii="Calibri" w:hAnsi="Calibri" w:eastAsia="Calibri" w:cs="Calibri"/>
          <w:sz w:val="17"/>
          <w:szCs w:val="17"/>
        </w:rPr>
      </w:pPr>
      <w:r>
        <w:rPr>
          <w:rFonts w:ascii="Calibri" w:hAnsi="Calibri" w:eastAsia="Calibri" w:cs="Calibri"/>
          <w:color w:val="030303"/>
          <w:spacing w:val="4"/>
          <w:sz w:val="17"/>
          <w:szCs w:val="17"/>
        </w:rPr>
        <w:t>3</w:t>
      </w:r>
      <w:r>
        <w:rPr>
          <w:rFonts w:ascii="Calibri" w:hAnsi="Calibri" w:eastAsia="Calibri" w:cs="Calibri"/>
          <w:color w:val="030303"/>
          <w:spacing w:val="2"/>
          <w:sz w:val="17"/>
          <w:szCs w:val="17"/>
        </w:rPr>
        <w:t>000</w:t>
      </w:r>
    </w:p>
    <w:p>
      <w:pPr>
        <w:spacing w:before="117" w:line="186" w:lineRule="auto"/>
        <w:jc w:val="right"/>
        <w:rPr>
          <w:rFonts w:ascii="Calibri" w:hAnsi="Calibri" w:eastAsia="Calibri" w:cs="Calibri"/>
          <w:sz w:val="17"/>
          <w:szCs w:val="17"/>
        </w:rPr>
      </w:pPr>
      <w:r>
        <w:rPr>
          <w:rFonts w:ascii="Calibri" w:hAnsi="Calibri" w:eastAsia="Calibri" w:cs="Calibri"/>
          <w:color w:val="030303"/>
          <w:spacing w:val="3"/>
          <w:sz w:val="17"/>
          <w:szCs w:val="17"/>
        </w:rPr>
        <w:t>2</w:t>
      </w:r>
      <w:r>
        <w:rPr>
          <w:rFonts w:ascii="Calibri" w:hAnsi="Calibri" w:eastAsia="Calibri" w:cs="Calibri"/>
          <w:color w:val="030303"/>
          <w:spacing w:val="2"/>
          <w:sz w:val="17"/>
          <w:szCs w:val="17"/>
        </w:rPr>
        <w:t>000</w:t>
      </w:r>
    </w:p>
    <w:p>
      <w:pPr>
        <w:spacing w:before="117" w:line="186" w:lineRule="auto"/>
        <w:jc w:val="right"/>
        <w:rPr>
          <w:rFonts w:ascii="Calibri" w:hAnsi="Calibri" w:eastAsia="Calibri" w:cs="Calibri"/>
          <w:sz w:val="17"/>
          <w:szCs w:val="17"/>
        </w:rPr>
      </w:pPr>
      <w:r>
        <w:rPr>
          <w:rFonts w:ascii="Calibri" w:hAnsi="Calibri" w:eastAsia="Calibri" w:cs="Calibri"/>
          <w:color w:val="030303"/>
          <w:spacing w:val="1"/>
          <w:sz w:val="17"/>
          <w:szCs w:val="17"/>
        </w:rPr>
        <w:t>100</w:t>
      </w:r>
      <w:r>
        <w:rPr>
          <w:rFonts w:ascii="Calibri" w:hAnsi="Calibri" w:eastAsia="Calibri" w:cs="Calibri"/>
          <w:color w:val="030303"/>
          <w:sz w:val="17"/>
          <w:szCs w:val="17"/>
        </w:rPr>
        <w:t>0</w:t>
      </w:r>
    </w:p>
    <w:p>
      <w:pPr>
        <w:spacing w:before="116" w:line="186" w:lineRule="auto"/>
        <w:jc w:val="right"/>
        <w:rPr>
          <w:rFonts w:ascii="Calibri" w:hAnsi="Calibri" w:eastAsia="Calibri" w:cs="Calibri"/>
          <w:sz w:val="17"/>
          <w:szCs w:val="17"/>
        </w:rPr>
      </w:pPr>
      <w:r>
        <w:rPr>
          <w:rFonts w:ascii="Calibri" w:hAnsi="Calibri" w:eastAsia="Calibri" w:cs="Calibri"/>
          <w:color w:val="030303"/>
          <w:spacing w:val="-2"/>
          <w:sz w:val="17"/>
          <w:szCs w:val="17"/>
        </w:rPr>
        <w:t>0</w:t>
      </w:r>
    </w:p>
    <w:p>
      <w:pPr>
        <w:spacing w:line="14" w:lineRule="auto"/>
        <w:rPr>
          <w:rFonts w:ascii="Arial"/>
          <w:sz w:val="2"/>
        </w:rPr>
      </w:pPr>
      <w:r>
        <w:rPr>
          <w:rFonts w:ascii="Arial" w:hAnsi="Arial" w:eastAsia="Arial" w:cs="Arial"/>
          <w:sz w:val="2"/>
          <w:szCs w:val="2"/>
        </w:rPr>
        <w:br w:type="column"/>
      </w:r>
    </w:p>
    <w:p>
      <w:pPr>
        <w:spacing w:line="23" w:lineRule="exact"/>
      </w:pPr>
    </w:p>
    <w:tbl>
      <w:tblPr>
        <w:tblStyle w:val="4"/>
        <w:tblW w:w="5925" w:type="dxa"/>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592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64" w:hRule="atLeast"/>
        </w:trPr>
        <w:tc>
          <w:tcPr>
            <w:tcW w:w="5925" w:type="dxa"/>
            <w:tcBorders>
              <w:top w:val="nil"/>
            </w:tcBorders>
            <w:vAlign w:val="top"/>
          </w:tcPr>
          <w:p>
            <w:pPr>
              <w:spacing w:line="95" w:lineRule="exact"/>
            </w:pPr>
            <w:r>
              <w:pict>
                <v:rect id="_x0000_s1340" o:spid="_x0000_s1340" o:spt="1" style="position:absolute;left:0pt;margin-left:3.5pt;margin-top:129.6pt;height:0.75pt;width:288.85pt;mso-position-horizontal-relative:page;mso-position-vertical-relative:page;z-index:251999232;mso-width-relative:page;mso-height-relative:page;" fillcolor="#CEE6ED" filled="t" stroked="f" coordsize="21600,21600">
                  <v:path/>
                  <v:fill on="t" focussize="0,0"/>
                  <v:stroke on="f"/>
                  <v:imagedata o:title=""/>
                  <o:lock v:ext="edit"/>
                </v:rect>
              </w:pict>
            </w:r>
            <w:r>
              <w:pict>
                <v:shape id="_x0000_s1341" o:spid="_x0000_s1341" o:spt="202" type="#_x0000_t202" style="position:absolute;left:0pt;margin-left:214.8pt;margin-top:13.25pt;height:17.2pt;width:9.5pt;mso-position-horizontal-relative:page;mso-position-vertical-relative:page;z-index:252008448;mso-width-relative:page;mso-height-relative:page;" filled="f" stroked="f" coordsize="21600,21600">
                  <v:path/>
                  <v:fill on="f" focussize="0,0"/>
                  <v:stroke on="f"/>
                  <v:imagedata o:title=""/>
                  <o:lock v:ext="edit" aspectratio="f"/>
                  <v:textbox inset="0mm,0mm,0mm,0mm">
                    <w:txbxContent>
                      <w:p>
                        <w:pPr>
                          <w:spacing w:before="20" w:line="303" w:lineRule="exact"/>
                          <w:ind w:left="20"/>
                          <w:rPr>
                            <w:rFonts w:ascii="微软雅黑" w:hAnsi="微软雅黑" w:eastAsia="微软雅黑" w:cs="微软雅黑"/>
                            <w:sz w:val="17"/>
                            <w:szCs w:val="17"/>
                          </w:rPr>
                        </w:pPr>
                        <w:r>
                          <w:rPr>
                            <w:rFonts w:ascii="微软雅黑" w:hAnsi="微软雅黑" w:eastAsia="微软雅黑" w:cs="微软雅黑"/>
                            <w:color w:val="231F20"/>
                            <w:position w:val="3"/>
                            <w:sz w:val="17"/>
                            <w:szCs w:val="17"/>
                          </w:rPr>
                          <w:t>%</w:t>
                        </w:r>
                      </w:p>
                    </w:txbxContent>
                  </v:textbox>
                </v:shape>
              </w:pict>
            </w:r>
            <w:r>
              <w:pict>
                <v:shape id="_x0000_s1342" o:spid="_x0000_s1342" o:spt="202" type="#_x0000_t202" style="position:absolute;left:0pt;margin-left:197pt;margin-top:15.3pt;height:12.9pt;width:19.1pt;mso-position-horizontal-relative:page;mso-position-vertical-relative:page;z-index:25201254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1"/>
                            <w:sz w:val="17"/>
                            <w:szCs w:val="17"/>
                          </w:rPr>
                          <w:t>1</w:t>
                        </w:r>
                        <w:r>
                          <w:rPr>
                            <w:rFonts w:ascii="微软雅黑" w:hAnsi="微软雅黑" w:eastAsia="微软雅黑" w:cs="微软雅黑"/>
                            <w:color w:val="030303"/>
                            <w:sz w:val="17"/>
                            <w:szCs w:val="17"/>
                          </w:rPr>
                          <w:t>3.3</w:t>
                        </w:r>
                      </w:p>
                    </w:txbxContent>
                  </v:textbox>
                </v:shape>
              </w:pict>
            </w:r>
            <w:r>
              <w:pict>
                <v:shape id="_x0000_s1343" o:spid="_x0000_s1343" o:spt="202" type="#_x0000_t202" style="position:absolute;left:0pt;margin-left:100pt;margin-top:67.5pt;height:17.2pt;width:9.5pt;mso-position-horizontal-relative:page;mso-position-vertical-relative:page;z-index:252007424;mso-width-relative:page;mso-height-relative:page;" filled="f" stroked="f" coordsize="21600,21600">
                  <v:path/>
                  <v:fill on="f" focussize="0,0"/>
                  <v:stroke on="f"/>
                  <v:imagedata o:title=""/>
                  <o:lock v:ext="edit" aspectratio="f"/>
                  <v:textbox inset="0mm,0mm,0mm,0mm">
                    <w:txbxContent>
                      <w:p>
                        <w:pPr>
                          <w:spacing w:before="20" w:line="303" w:lineRule="exact"/>
                          <w:ind w:left="20"/>
                          <w:rPr>
                            <w:rFonts w:ascii="微软雅黑" w:hAnsi="微软雅黑" w:eastAsia="微软雅黑" w:cs="微软雅黑"/>
                            <w:sz w:val="17"/>
                            <w:szCs w:val="17"/>
                          </w:rPr>
                        </w:pPr>
                        <w:r>
                          <w:rPr>
                            <w:rFonts w:ascii="微软雅黑" w:hAnsi="微软雅黑" w:eastAsia="微软雅黑" w:cs="微软雅黑"/>
                            <w:color w:val="231F20"/>
                            <w:position w:val="3"/>
                            <w:sz w:val="17"/>
                            <w:szCs w:val="17"/>
                          </w:rPr>
                          <w:t>%</w:t>
                        </w:r>
                      </w:p>
                    </w:txbxContent>
                  </v:textbox>
                </v:shape>
              </w:pict>
            </w:r>
            <w:r>
              <w:pict>
                <v:shape id="_x0000_s1344" o:spid="_x0000_s1344" o:spt="202" type="#_x0000_t202" style="position:absolute;left:0pt;margin-left:81.95pt;margin-top:69.75pt;height:12.9pt;width:19.1pt;mso-position-horizontal-relative:page;mso-position-vertical-relative:page;z-index:25200537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1"/>
                            <w:sz w:val="17"/>
                            <w:szCs w:val="17"/>
                          </w:rPr>
                          <w:t>1</w:t>
                        </w:r>
                        <w:r>
                          <w:rPr>
                            <w:rFonts w:ascii="微软雅黑" w:hAnsi="微软雅黑" w:eastAsia="微软雅黑" w:cs="微软雅黑"/>
                            <w:color w:val="030303"/>
                            <w:sz w:val="17"/>
                            <w:szCs w:val="17"/>
                          </w:rPr>
                          <w:t>2.5</w:t>
                        </w:r>
                      </w:p>
                    </w:txbxContent>
                  </v:textbox>
                </v:shape>
              </w:pict>
            </w:r>
            <w:r>
              <w:pict>
                <v:shape id="_x0000_s1345" o:spid="_x0000_s1345" o:spt="202" type="#_x0000_t202" style="position:absolute;left:0pt;margin-left:259.15pt;margin-top:83.55pt;height:12.85pt;width:22.75pt;mso-position-horizontal-relative:page;mso-position-vertical-relative:page;z-index:252006400;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826</w:t>
                        </w:r>
                        <w:r>
                          <w:rPr>
                            <w:rFonts w:ascii="微软雅黑" w:hAnsi="微软雅黑" w:eastAsia="微软雅黑" w:cs="微软雅黑"/>
                            <w:color w:val="030303"/>
                            <w:spacing w:val="3"/>
                            <w:sz w:val="17"/>
                            <w:szCs w:val="17"/>
                          </w:rPr>
                          <w:t>7</w:t>
                        </w:r>
                      </w:p>
                    </w:txbxContent>
                  </v:textbox>
                </v:shape>
              </w:pict>
            </w:r>
            <w:r>
              <w:pict>
                <v:shape id="_x0000_s1346" o:spid="_x0000_s1346" style="position:absolute;left:0pt;margin-left:204.55pt;margin-top:13.45pt;height:33.5pt;width:60.05pt;mso-position-horizontal-relative:page;mso-position-vertical-relative:page;z-index:-251318272;mso-width-relative:page;mso-height-relative:page;" filled="f" stroked="t" coordsize="1200,670" path="m22,22l1177,646e">
                  <v:fill on="f" focussize="0,0"/>
                  <v:stroke weight="2.25pt" color="#86A9CB" miterlimit="10" endcap="round"/>
                  <v:imagedata o:title=""/>
                  <o:lock v:ext="edit"/>
                </v:shape>
              </w:pict>
            </w:r>
          </w:p>
          <w:tbl>
            <w:tblPr>
              <w:tblStyle w:val="4"/>
              <w:tblW w:w="5776" w:type="dxa"/>
              <w:tblInd w:w="66"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452"/>
              <w:gridCol w:w="3324"/>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9" w:hRule="atLeast"/>
              </w:trPr>
              <w:tc>
                <w:tcPr>
                  <w:tcW w:w="5776" w:type="dxa"/>
                  <w:gridSpan w:val="2"/>
                  <w:tcBorders>
                    <w:top w:val="single" w:color="CEE6ED" w:sz="2" w:space="0"/>
                    <w:bottom w:val="single" w:color="CEE6ED" w:sz="2" w:space="0"/>
                  </w:tcBorders>
                  <w:vAlign w:val="top"/>
                </w:tcPr>
                <w:p>
                  <w:pPr>
                    <w:rPr>
                      <w:rFonts w:ascii="Arial"/>
                      <w:sz w:val="21"/>
                    </w:rPr>
                  </w:pPr>
                  <w:r>
                    <w:pict>
                      <v:rect id="_x0000_s1347" o:spid="_x0000_s1347" o:spt="1" style="position:absolute;left:0pt;margin-left:199.35pt;margin-top:6.9pt;height:5.8pt;width:5.8pt;mso-position-horizontal-relative:page;mso-position-vertical-relative:page;z-index:252011520;mso-width-relative:page;mso-height-relative:page;" fillcolor="#86A9CB" filled="t" stroked="f" coordsize="21600,21600">
                        <v:path/>
                        <v:fill on="t" opacity="63223f" focussize="0,0"/>
                        <v:stroke on="f"/>
                        <v:imagedata o:title=""/>
                        <o:lock v:ext="edit"/>
                      </v:rect>
                    </w:pic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2" w:hRule="atLeast"/>
              </w:trPr>
              <w:tc>
                <w:tcPr>
                  <w:tcW w:w="5776" w:type="dxa"/>
                  <w:gridSpan w:val="2"/>
                  <w:tcBorders>
                    <w:top w:val="single" w:color="CEE6ED" w:sz="2" w:space="0"/>
                    <w:bottom w:val="single" w:color="CEE6ED"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2" w:hRule="atLeast"/>
              </w:trPr>
              <w:tc>
                <w:tcPr>
                  <w:tcW w:w="5776" w:type="dxa"/>
                  <w:gridSpan w:val="2"/>
                  <w:tcBorders>
                    <w:top w:val="single" w:color="CEE6ED" w:sz="2" w:space="0"/>
                    <w:bottom w:val="single" w:color="CEE6ED"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2" w:hRule="atLeast"/>
              </w:trPr>
              <w:tc>
                <w:tcPr>
                  <w:tcW w:w="5776" w:type="dxa"/>
                  <w:gridSpan w:val="2"/>
                  <w:tcBorders>
                    <w:top w:val="single" w:color="CEE6ED" w:sz="2" w:space="0"/>
                    <w:bottom w:val="single" w:color="CEE6ED" w:sz="2" w:space="0"/>
                  </w:tcBorders>
                  <w:vAlign w:val="top"/>
                </w:tcPr>
                <w:p>
                  <w:pPr>
                    <w:ind w:right="253"/>
                    <w:jc w:val="right"/>
                    <w:rPr>
                      <w:rFonts w:ascii="微软雅黑" w:hAnsi="微软雅黑" w:eastAsia="微软雅黑" w:cs="微软雅黑"/>
                      <w:sz w:val="14"/>
                      <w:szCs w:val="14"/>
                    </w:rPr>
                  </w:pPr>
                  <w:r>
                    <w:pict>
                      <v:group id="_x0000_s1348" o:spid="_x0000_s1348" o:spt="203" style="position:absolute;left:0pt;margin-left:257.05pt;margin-top:-3.9pt;height:5.8pt;width:5.8pt;z-index:252002304;mso-width-relative:page;mso-height-relative:page;" coordsize="116,116">
                        <o:lock v:ext="edit"/>
                        <v:shape id="_x0000_s1349" o:spid="_x0000_s1349" style="position:absolute;left:7;top:7;height:101;width:101;" fillcolor="#86A9CB" filled="t" stroked="f" coordsize="101,101" path="m0,50c0,22,22,0,50,0c77,0,100,22,100,50c100,77,77,100,50,100c22,100,0,77,0,50e">
                          <v:path/>
                          <v:fill on="t" focussize="0,0"/>
                          <v:stroke on="f"/>
                          <v:imagedata o:title=""/>
                          <o:lock v:ext="edit"/>
                        </v:shape>
                        <v:shape id="_x0000_s1350" o:spid="_x0000_s1350" style="position:absolute;left:0;top:0;height:116;width:116;" filled="f" stroked="t" coordsize="116,116" path="m7,57c7,29,29,7,57,7c85,7,107,29,107,57c107,85,85,107,57,107c29,107,7,85,7,57e">
                          <v:fill on="f" focussize="0,0"/>
                          <v:stroke color="#86A9CB" miterlimit="10"/>
                          <v:imagedata o:title=""/>
                          <o:lock v:ext="edit"/>
                        </v:shape>
                      </v:group>
                    </w:pict>
                  </w:r>
                  <w:r>
                    <w:pict>
                      <v:shape id="_x0000_s1351" o:spid="_x0000_s1351" o:spt="202" type="#_x0000_t202" style="position:absolute;left:0pt;margin-left:18.45pt;margin-top:3.95pt;height:17.2pt;width:26.9pt;z-index:252009472;mso-width-relative:page;mso-height-relative:page;" filled="f" stroked="f" coordsize="21600,21600">
                        <v:path/>
                        <v:fill on="f" focussize="0,0"/>
                        <v:stroke on="f"/>
                        <v:imagedata o:title=""/>
                        <o:lock v:ext="edit" aspectratio="f"/>
                        <v:textbox inset="0mm,0mm,0mm,0mm">
                          <w:txbxContent>
                            <w:p>
                              <w:pPr>
                                <w:spacing w:before="20" w:line="303" w:lineRule="exact"/>
                                <w:ind w:left="20"/>
                                <w:rPr>
                                  <w:rFonts w:ascii="微软雅黑" w:hAnsi="微软雅黑" w:eastAsia="微软雅黑" w:cs="微软雅黑"/>
                                  <w:sz w:val="17"/>
                                  <w:szCs w:val="17"/>
                                </w:rPr>
                              </w:pPr>
                              <w:r>
                                <w:rPr>
                                  <w:rFonts w:ascii="微软雅黑" w:hAnsi="微软雅黑" w:eastAsia="微软雅黑" w:cs="微软雅黑"/>
                                  <w:color w:val="030303"/>
                                  <w:spacing w:val="2"/>
                                  <w:position w:val="3"/>
                                  <w:sz w:val="17"/>
                                  <w:szCs w:val="17"/>
                                </w:rPr>
                                <w:t>1</w:t>
                              </w:r>
                              <w:r>
                                <w:rPr>
                                  <w:rFonts w:ascii="微软雅黑" w:hAnsi="微软雅黑" w:eastAsia="微软雅黑" w:cs="微软雅黑"/>
                                  <w:color w:val="030303"/>
                                  <w:spacing w:val="1"/>
                                  <w:position w:val="3"/>
                                  <w:sz w:val="17"/>
                                  <w:szCs w:val="17"/>
                                </w:rPr>
                                <w:t>2.7</w:t>
                              </w:r>
                              <w:r>
                                <w:rPr>
                                  <w:rFonts w:ascii="微软雅黑" w:hAnsi="微软雅黑" w:eastAsia="微软雅黑" w:cs="微软雅黑"/>
                                  <w:color w:val="231F20"/>
                                  <w:spacing w:val="1"/>
                                  <w:position w:val="3"/>
                                  <w:sz w:val="17"/>
                                  <w:szCs w:val="17"/>
                                </w:rPr>
                                <w:t>%</w:t>
                              </w:r>
                            </w:p>
                          </w:txbxContent>
                        </v:textbox>
                      </v:shape>
                    </w:pict>
                  </w:r>
                  <w:r>
                    <w:rPr>
                      <w:rFonts w:ascii="微软雅黑" w:hAnsi="微软雅黑" w:eastAsia="微软雅黑" w:cs="微软雅黑"/>
                      <w:color w:val="030303"/>
                      <w:spacing w:val="8"/>
                      <w:sz w:val="15"/>
                      <w:szCs w:val="15"/>
                    </w:rPr>
                    <w:t>1</w:t>
                  </w:r>
                  <w:r>
                    <w:rPr>
                      <w:rFonts w:ascii="微软雅黑" w:hAnsi="微软雅黑" w:eastAsia="微软雅黑" w:cs="微软雅黑"/>
                      <w:color w:val="030303"/>
                      <w:spacing w:val="7"/>
                      <w:sz w:val="15"/>
                      <w:szCs w:val="15"/>
                    </w:rPr>
                    <w:t xml:space="preserve">2.9 </w:t>
                  </w:r>
                  <w:r>
                    <w:rPr>
                      <w:rFonts w:ascii="微软雅黑" w:hAnsi="微软雅黑" w:eastAsia="微软雅黑" w:cs="微软雅黑"/>
                      <w:color w:val="231F20"/>
                      <w:spacing w:val="7"/>
                      <w:sz w:val="14"/>
                      <w:szCs w:val="14"/>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2" w:hRule="atLeast"/>
              </w:trPr>
              <w:tc>
                <w:tcPr>
                  <w:tcW w:w="5776" w:type="dxa"/>
                  <w:gridSpan w:val="2"/>
                  <w:tcBorders>
                    <w:top w:val="single" w:color="CEE6ED" w:sz="2" w:space="0"/>
                    <w:bottom w:val="single" w:color="CEE6ED" w:sz="2" w:space="0"/>
                  </w:tcBorders>
                  <w:vAlign w:val="top"/>
                </w:tcPr>
                <w:p>
                  <w:pPr>
                    <w:spacing w:line="91" w:lineRule="exact"/>
                    <w:ind w:firstLine="520"/>
                    <w:textAlignment w:val="center"/>
                  </w:pPr>
                  <w:r>
                    <w:pict>
                      <v:group id="_x0000_s1352" o:spid="_x0000_s1352" o:spt="203" style="height:5.8pt;width:5.8pt;" coordsize="116,116">
                        <o:lock v:ext="edit"/>
                        <v:shape id="_x0000_s1353" o:spid="_x0000_s1353" style="position:absolute;left:7;top:7;height:101;width:101;" fillcolor="#86A9CB" filled="t" stroked="f" coordsize="101,101" path="m0,50c0,22,22,0,50,0c77,0,100,22,100,50c100,77,77,100,50,100c22,100,0,77,0,50e">
                          <v:path/>
                          <v:fill on="t" focussize="0,0"/>
                          <v:stroke on="f"/>
                          <v:imagedata o:title=""/>
                          <o:lock v:ext="edit"/>
                        </v:shape>
                        <v:shape id="_x0000_s1354" o:spid="_x0000_s1354" style="position:absolute;left:0;top:0;height:116;width:116;" filled="f" stroked="t" coordsize="116,116" path="m7,57c7,29,29,7,57,7c85,7,107,29,107,57c107,85,85,107,57,107c29,107,7,85,7,57e">
                          <v:fill on="f" focussize="0,0"/>
                          <v:stroke color="#86A9CB" miterlimit="10"/>
                          <v:imagedata o:title=""/>
                          <o:lock v:ext="edit"/>
                        </v:shape>
                        <w10:wrap type="none"/>
                        <w10:anchorlock/>
                      </v:group>
                    </w:pic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1" w:hRule="atLeast"/>
              </w:trPr>
              <w:tc>
                <w:tcPr>
                  <w:tcW w:w="2452" w:type="dxa"/>
                  <w:tcBorders>
                    <w:top w:val="single" w:color="CEE6ED" w:sz="2" w:space="0"/>
                    <w:bottom w:val="single" w:color="CEE6ED" w:sz="2" w:space="0"/>
                  </w:tcBorders>
                  <w:vAlign w:val="top"/>
                </w:tcPr>
                <w:p>
                  <w:pPr>
                    <w:spacing w:line="178" w:lineRule="auto"/>
                    <w:ind w:left="529"/>
                    <w:rPr>
                      <w:rFonts w:ascii="微软雅黑" w:hAnsi="微软雅黑" w:eastAsia="微软雅黑" w:cs="微软雅黑"/>
                      <w:sz w:val="16"/>
                      <w:szCs w:val="16"/>
                    </w:rPr>
                  </w:pPr>
                  <w:r>
                    <w:pict>
                      <v:shape id="_x0000_s1355" o:spid="_x0000_s1355" style="position:absolute;left:0pt;margin-left:27.75pt;margin-top:-61.1pt;height:87.1pt;width:175.6pt;z-index:-251319296;mso-width-relative:page;mso-height-relative:page;" filled="f" stroked="t" coordsize="3512,1741" path="m22,979l1177,1330m1177,1330l2333,1719m2333,1719l3488,22e">
                        <v:fill on="f" focussize="0,0"/>
                        <v:stroke weight="2.25pt" color="#86A9CB" miterlimit="10" endcap="round"/>
                        <v:imagedata o:title=""/>
                        <o:lock v:ext="edit"/>
                      </v:shape>
                    </w:pict>
                  </w:r>
                  <w:r>
                    <w:pict>
                      <v:rect id="_x0000_s1356" o:spid="_x0000_s1356" o:spt="1" style="position:absolute;left:0pt;margin-left:83.8pt;margin-top:2.7pt;height:5.8pt;width:5.8pt;mso-position-horizontal-relative:page;mso-position-vertical-relative:page;z-index:252001280;mso-width-relative:page;mso-height-relative:page;" fillcolor="#86A9CB" filled="t" stroked="f" coordsize="21600,21600">
                        <v:path/>
                        <v:fill on="t" opacity="63223f" focussize="0,0"/>
                        <v:stroke on="f"/>
                        <v:imagedata o:title=""/>
                        <o:lock v:ext="edit"/>
                      </v:rect>
                    </w:pict>
                  </w:r>
                  <w:r>
                    <w:rPr>
                      <w:rFonts w:ascii="微软雅黑" w:hAnsi="微软雅黑" w:eastAsia="微软雅黑" w:cs="微软雅黑"/>
                      <w:color w:val="030303"/>
                      <w:spacing w:val="11"/>
                      <w:sz w:val="16"/>
                      <w:szCs w:val="16"/>
                    </w:rPr>
                    <w:t>9</w:t>
                  </w:r>
                  <w:r>
                    <w:rPr>
                      <w:rFonts w:ascii="微软雅黑" w:hAnsi="微软雅黑" w:eastAsia="微软雅黑" w:cs="微软雅黑"/>
                      <w:color w:val="030303"/>
                      <w:spacing w:val="9"/>
                      <w:sz w:val="16"/>
                      <w:szCs w:val="16"/>
                    </w:rPr>
                    <w:t>043</w:t>
                  </w:r>
                </w:p>
              </w:tc>
              <w:tc>
                <w:tcPr>
                  <w:tcW w:w="3324" w:type="dxa"/>
                  <w:tcBorders>
                    <w:top w:val="single" w:color="CEE6ED" w:sz="2" w:space="0"/>
                    <w:bottom w:val="single" w:color="CEE6ED" w:sz="2" w:space="0"/>
                  </w:tcBorders>
                  <w:vAlign w:val="top"/>
                </w:tcPr>
                <w:p>
                  <w:pPr>
                    <w:spacing w:before="77" w:line="159" w:lineRule="auto"/>
                    <w:ind w:left="380"/>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860</w:t>
                  </w:r>
                  <w:r>
                    <w:rPr>
                      <w:rFonts w:ascii="微软雅黑" w:hAnsi="微软雅黑" w:eastAsia="微软雅黑" w:cs="微软雅黑"/>
                      <w:color w:val="030303"/>
                      <w:spacing w:val="3"/>
                      <w:sz w:val="17"/>
                      <w:szCs w:val="17"/>
                    </w:rPr>
                    <w:t>9</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2" w:hRule="atLeast"/>
              </w:trPr>
              <w:tc>
                <w:tcPr>
                  <w:tcW w:w="2452" w:type="dxa"/>
                  <w:tcBorders>
                    <w:top w:val="single" w:color="CEE6ED" w:sz="2" w:space="0"/>
                    <w:bottom w:val="single" w:color="CEE6ED" w:sz="2" w:space="0"/>
                  </w:tcBorders>
                  <w:vAlign w:val="top"/>
                </w:tcPr>
                <w:p>
                  <w:pPr>
                    <w:spacing w:before="30" w:line="178" w:lineRule="auto"/>
                    <w:ind w:left="1667"/>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886</w:t>
                  </w:r>
                  <w:r>
                    <w:rPr>
                      <w:rFonts w:ascii="微软雅黑" w:hAnsi="微软雅黑" w:eastAsia="微软雅黑" w:cs="微软雅黑"/>
                      <w:color w:val="030303"/>
                      <w:spacing w:val="3"/>
                      <w:sz w:val="17"/>
                      <w:szCs w:val="17"/>
                    </w:rPr>
                    <w:t>2</w:t>
                  </w:r>
                </w:p>
              </w:tc>
              <w:tc>
                <w:tcPr>
                  <w:tcW w:w="3324" w:type="dxa"/>
                  <w:tcBorders>
                    <w:top w:val="single" w:color="CEE6ED" w:sz="2" w:space="0"/>
                    <w:bottom w:val="single" w:color="CEE6ED" w:sz="2" w:space="0"/>
                  </w:tcBorders>
                  <w:vAlign w:val="top"/>
                </w:tcPr>
                <w:p>
                  <w:pPr>
                    <w:spacing w:before="45" w:line="178" w:lineRule="auto"/>
                    <w:ind w:left="1544"/>
                    <w:rPr>
                      <w:rFonts w:ascii="微软雅黑" w:hAnsi="微软雅黑" w:eastAsia="微软雅黑" w:cs="微软雅黑"/>
                      <w:sz w:val="17"/>
                      <w:szCs w:val="17"/>
                    </w:rPr>
                  </w:pPr>
                  <w:r>
                    <w:pict>
                      <v:shape id="_x0000_s1357" o:spid="_x0000_s1357" style="position:absolute;left:0pt;margin-left:18.95pt;margin-top:8.35pt;height:5.8pt;width:5.8pt;mso-position-horizontal-relative:page;mso-position-vertical-relative:page;z-index:252010496;mso-width-relative:page;mso-height-relative:page;" fillcolor="#86A9CB" filled="t" stroked="t" coordsize="116,116" path="m7,57c7,29,29,7,57,7c85,7,107,29,107,57c107,85,85,107,57,107c29,107,7,85,7,57e">
                        <v:fill on="t" focussize="0,0"/>
                        <v:stroke color="#86A9CB" miterlimit="10"/>
                        <v:imagedata o:title=""/>
                        <o:lock v:ext="edit"/>
                      </v:shape>
                    </w:pict>
                  </w:r>
                  <w:r>
                    <w:rPr>
                      <w:rFonts w:ascii="微软雅黑" w:hAnsi="微软雅黑" w:eastAsia="微软雅黑" w:cs="微软雅黑"/>
                      <w:color w:val="030303"/>
                      <w:spacing w:val="4"/>
                      <w:sz w:val="17"/>
                      <w:szCs w:val="17"/>
                    </w:rPr>
                    <w:t>804</w:t>
                  </w:r>
                  <w:r>
                    <w:rPr>
                      <w:rFonts w:ascii="微软雅黑" w:hAnsi="微软雅黑" w:eastAsia="微软雅黑" w:cs="微软雅黑"/>
                      <w:color w:val="030303"/>
                      <w:spacing w:val="3"/>
                      <w:sz w:val="17"/>
                      <w:szCs w:val="17"/>
                    </w:rPr>
                    <w:t>3</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9" w:hRule="atLeast"/>
              </w:trPr>
              <w:tc>
                <w:tcPr>
                  <w:tcW w:w="5776" w:type="dxa"/>
                  <w:gridSpan w:val="2"/>
                  <w:tcBorders>
                    <w:top w:val="single" w:color="CEE6ED" w:sz="2" w:space="0"/>
                    <w:bottom w:val="single" w:color="CEE6ED" w:sz="2" w:space="0"/>
                  </w:tcBorders>
                  <w:vAlign w:val="top"/>
                </w:tcPr>
                <w:p>
                  <w:pPr>
                    <w:spacing w:line="233" w:lineRule="exact"/>
                    <w:ind w:left="2717"/>
                    <w:rPr>
                      <w:rFonts w:ascii="微软雅黑" w:hAnsi="微软雅黑" w:eastAsia="微软雅黑" w:cs="微软雅黑"/>
                      <w:sz w:val="13"/>
                      <w:szCs w:val="13"/>
                    </w:rPr>
                  </w:pPr>
                  <w:r>
                    <w:rPr>
                      <w:rFonts w:ascii="微软雅黑" w:hAnsi="微软雅黑" w:eastAsia="微软雅黑" w:cs="微软雅黑"/>
                      <w:color w:val="030303"/>
                      <w:spacing w:val="26"/>
                      <w:position w:val="2"/>
                      <w:sz w:val="13"/>
                      <w:szCs w:val="13"/>
                    </w:rPr>
                    <w:t>1</w:t>
                  </w:r>
                  <w:r>
                    <w:rPr>
                      <w:rFonts w:ascii="微软雅黑" w:hAnsi="微软雅黑" w:eastAsia="微软雅黑" w:cs="微软雅黑"/>
                      <w:color w:val="030303"/>
                      <w:spacing w:val="25"/>
                      <w:position w:val="2"/>
                      <w:sz w:val="13"/>
                      <w:szCs w:val="13"/>
                    </w:rPr>
                    <w:t>2.3</w:t>
                  </w:r>
                  <w:r>
                    <w:rPr>
                      <w:rFonts w:ascii="微软雅黑" w:hAnsi="微软雅黑" w:eastAsia="微软雅黑" w:cs="微软雅黑"/>
                      <w:color w:val="231F20"/>
                      <w:spacing w:val="25"/>
                      <w:position w:val="2"/>
                      <w:sz w:val="13"/>
                      <w:szCs w:val="13"/>
                    </w:rPr>
                    <w:t>%</w:t>
                  </w:r>
                </w:p>
              </w:tc>
            </w:tr>
          </w:tbl>
          <w:p>
            <w:pPr>
              <w:spacing w:before="292" w:line="182" w:lineRule="auto"/>
              <w:ind w:left="312"/>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 xml:space="preserve">1152              1111               </w:t>
            </w:r>
            <w:r>
              <w:rPr>
                <w:rFonts w:ascii="微软雅黑" w:hAnsi="微软雅黑" w:eastAsia="微软雅黑" w:cs="微软雅黑"/>
                <w:color w:val="030303"/>
                <w:spacing w:val="2"/>
                <w:position w:val="-1"/>
                <w:sz w:val="17"/>
                <w:szCs w:val="17"/>
              </w:rPr>
              <w:t xml:space="preserve">1060     </w:t>
            </w:r>
            <w:r>
              <w:rPr>
                <w:rFonts w:ascii="微软雅黑" w:hAnsi="微软雅黑" w:eastAsia="微软雅黑" w:cs="微软雅黑"/>
                <w:color w:val="030303"/>
                <w:spacing w:val="1"/>
                <w:position w:val="-1"/>
                <w:sz w:val="17"/>
                <w:szCs w:val="17"/>
              </w:rPr>
              <w:t xml:space="preserve">         </w:t>
            </w:r>
            <w:r>
              <w:rPr>
                <w:rFonts w:ascii="微软雅黑" w:hAnsi="微软雅黑" w:eastAsia="微软雅黑" w:cs="微软雅黑"/>
                <w:color w:val="030303"/>
                <w:spacing w:val="1"/>
                <w:position w:val="1"/>
                <w:sz w:val="17"/>
                <w:szCs w:val="17"/>
              </w:rPr>
              <w:t xml:space="preserve">1069               </w:t>
            </w:r>
            <w:r>
              <w:rPr>
                <w:rFonts w:ascii="微软雅黑" w:hAnsi="微软雅黑" w:eastAsia="微软雅黑" w:cs="微软雅黑"/>
                <w:color w:val="030303"/>
                <w:spacing w:val="1"/>
                <w:sz w:val="17"/>
                <w:szCs w:val="17"/>
              </w:rPr>
              <w:t>1069</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7" w:hRule="atLeast"/>
        </w:trPr>
        <w:tc>
          <w:tcPr>
            <w:tcW w:w="5925" w:type="dxa"/>
            <w:vAlign w:val="top"/>
          </w:tcPr>
          <w:p>
            <w:pPr>
              <w:spacing w:line="57" w:lineRule="exact"/>
              <w:rPr>
                <w:rFonts w:ascii="Arial"/>
                <w:sz w:val="4"/>
              </w:rPr>
            </w:pPr>
          </w:p>
        </w:tc>
      </w:tr>
    </w:tbl>
    <w:p>
      <w:pPr>
        <w:spacing w:before="117" w:line="186" w:lineRule="auto"/>
        <w:ind w:left="476"/>
        <w:rPr>
          <w:rFonts w:ascii="Calibri" w:hAnsi="Calibri" w:eastAsia="Calibri" w:cs="Calibri"/>
          <w:sz w:val="17"/>
          <w:szCs w:val="17"/>
        </w:rPr>
      </w:pPr>
      <w:r>
        <w:rPr>
          <w:rFonts w:ascii="Calibri" w:hAnsi="Calibri" w:eastAsia="Calibri" w:cs="Calibri"/>
          <w:color w:val="030303"/>
          <w:spacing w:val="2"/>
          <w:sz w:val="17"/>
          <w:szCs w:val="17"/>
        </w:rPr>
        <w:t xml:space="preserve">2016                    2017                    2018                    2019 </w:t>
      </w:r>
      <w:r>
        <w:rPr>
          <w:rFonts w:ascii="Calibri" w:hAnsi="Calibri" w:eastAsia="Calibri" w:cs="Calibri"/>
          <w:color w:val="030303"/>
          <w:spacing w:val="1"/>
          <w:sz w:val="17"/>
          <w:szCs w:val="17"/>
        </w:rPr>
        <w:t xml:space="preserve">                   2020</w:t>
      </w:r>
    </w:p>
    <w:p>
      <w:pPr>
        <w:spacing w:before="92" w:line="275" w:lineRule="exact"/>
        <w:ind w:left="1764"/>
        <w:rPr>
          <w:rFonts w:ascii="宋体" w:hAnsi="宋体" w:eastAsia="宋体" w:cs="宋体"/>
          <w:sz w:val="17"/>
          <w:szCs w:val="17"/>
        </w:rPr>
      </w:pPr>
      <w:r>
        <w:rPr>
          <w:rFonts w:ascii="宋体" w:hAnsi="宋体" w:eastAsia="宋体" w:cs="宋体"/>
          <w:color w:val="030303"/>
          <w:spacing w:val="12"/>
          <w:position w:val="7"/>
          <w:sz w:val="17"/>
          <w:szCs w:val="17"/>
        </w:rPr>
        <w:t>规</w:t>
      </w:r>
      <w:r>
        <w:rPr>
          <w:rFonts w:ascii="宋体" w:hAnsi="宋体" w:eastAsia="宋体" w:cs="宋体"/>
          <w:color w:val="030303"/>
          <w:spacing w:val="9"/>
          <w:position w:val="7"/>
          <w:sz w:val="17"/>
          <w:szCs w:val="17"/>
        </w:rPr>
        <w:t>模以上外资食品制造企业数量</w:t>
      </w:r>
    </w:p>
    <w:p>
      <w:pPr>
        <w:spacing w:line="195" w:lineRule="auto"/>
        <w:ind w:left="1764"/>
        <w:rPr>
          <w:rFonts w:ascii="宋体" w:hAnsi="宋体" w:eastAsia="宋体" w:cs="宋体"/>
          <w:sz w:val="17"/>
          <w:szCs w:val="17"/>
        </w:rPr>
      </w:pPr>
      <w:r>
        <w:rPr>
          <w:rFonts w:ascii="宋体" w:hAnsi="宋体" w:eastAsia="宋体" w:cs="宋体"/>
          <w:color w:val="030303"/>
          <w:spacing w:val="10"/>
          <w:sz w:val="17"/>
          <w:szCs w:val="17"/>
        </w:rPr>
        <w:t>规</w:t>
      </w:r>
      <w:r>
        <w:rPr>
          <w:rFonts w:ascii="宋体" w:hAnsi="宋体" w:eastAsia="宋体" w:cs="宋体"/>
          <w:color w:val="030303"/>
          <w:spacing w:val="9"/>
          <w:sz w:val="17"/>
          <w:szCs w:val="17"/>
        </w:rPr>
        <w:t>模以上食品制造企业数量</w:t>
      </w:r>
    </w:p>
    <w:p>
      <w:pPr>
        <w:spacing w:line="14" w:lineRule="auto"/>
        <w:rPr>
          <w:rFonts w:ascii="Arial"/>
          <w:sz w:val="2"/>
        </w:rPr>
      </w:pPr>
      <w:r>
        <w:rPr>
          <w:rFonts w:ascii="Arial" w:hAnsi="Arial" w:eastAsia="Arial" w:cs="Arial"/>
          <w:sz w:val="2"/>
          <w:szCs w:val="2"/>
        </w:rPr>
        <w:br w:type="column"/>
      </w:r>
    </w:p>
    <w:p>
      <w:pPr>
        <w:spacing w:before="73" w:line="344" w:lineRule="exact"/>
        <w:rPr>
          <w:rFonts w:ascii="微软雅黑" w:hAnsi="微软雅黑" w:eastAsia="微软雅黑" w:cs="微软雅黑"/>
          <w:sz w:val="15"/>
          <w:szCs w:val="15"/>
        </w:rPr>
      </w:pPr>
      <w:r>
        <w:rPr>
          <w:rFonts w:ascii="Calibri" w:hAnsi="Calibri" w:eastAsia="Calibri" w:cs="Calibri"/>
          <w:color w:val="030303"/>
          <w:spacing w:val="-1"/>
          <w:position w:val="16"/>
          <w:sz w:val="17"/>
          <w:szCs w:val="17"/>
        </w:rPr>
        <w:t>13</w:t>
      </w:r>
      <w:r>
        <w:rPr>
          <w:rFonts w:ascii="微软雅黑" w:hAnsi="微软雅黑" w:eastAsia="微软雅黑" w:cs="微软雅黑"/>
          <w:color w:val="231F20"/>
          <w:position w:val="16"/>
          <w:sz w:val="15"/>
          <w:szCs w:val="15"/>
        </w:rPr>
        <w:t>.4</w:t>
      </w:r>
    </w:p>
    <w:p>
      <w:pPr>
        <w:spacing w:line="176" w:lineRule="auto"/>
        <w:rPr>
          <w:rFonts w:ascii="微软雅黑" w:hAnsi="微软雅黑" w:eastAsia="微软雅黑" w:cs="微软雅黑"/>
          <w:sz w:val="15"/>
          <w:szCs w:val="15"/>
        </w:rPr>
      </w:pPr>
      <w:r>
        <w:rPr>
          <w:rFonts w:ascii="Calibri" w:hAnsi="Calibri" w:eastAsia="Calibri" w:cs="Calibri"/>
          <w:color w:val="030303"/>
          <w:spacing w:val="-1"/>
          <w:sz w:val="17"/>
          <w:szCs w:val="17"/>
        </w:rPr>
        <w:t>13</w:t>
      </w:r>
      <w:r>
        <w:rPr>
          <w:rFonts w:ascii="微软雅黑" w:hAnsi="微软雅黑" w:eastAsia="微软雅黑" w:cs="微软雅黑"/>
          <w:color w:val="231F20"/>
          <w:sz w:val="15"/>
          <w:szCs w:val="15"/>
        </w:rPr>
        <w:t>.2</w:t>
      </w:r>
    </w:p>
    <w:p>
      <w:pPr>
        <w:spacing w:before="157" w:line="176" w:lineRule="auto"/>
        <w:rPr>
          <w:rFonts w:ascii="微软雅黑" w:hAnsi="微软雅黑" w:eastAsia="微软雅黑" w:cs="微软雅黑"/>
          <w:sz w:val="15"/>
          <w:szCs w:val="15"/>
        </w:rPr>
      </w:pPr>
      <w:r>
        <w:rPr>
          <w:rFonts w:ascii="Calibri" w:hAnsi="Calibri" w:eastAsia="Calibri" w:cs="Calibri"/>
          <w:color w:val="030303"/>
          <w:spacing w:val="-1"/>
          <w:sz w:val="17"/>
          <w:szCs w:val="17"/>
        </w:rPr>
        <w:t>13</w:t>
      </w:r>
      <w:r>
        <w:rPr>
          <w:rFonts w:ascii="微软雅黑" w:hAnsi="微软雅黑" w:eastAsia="微软雅黑" w:cs="微软雅黑"/>
          <w:color w:val="231F20"/>
          <w:sz w:val="15"/>
          <w:szCs w:val="15"/>
        </w:rPr>
        <w:t>.0</w:t>
      </w:r>
    </w:p>
    <w:p>
      <w:pPr>
        <w:sectPr>
          <w:type w:val="continuous"/>
          <w:pgSz w:w="12246" w:h="16498"/>
          <w:pgMar w:top="400" w:right="0" w:bottom="400" w:left="0" w:header="0" w:footer="0" w:gutter="0"/>
          <w:cols w:equalWidth="0" w:num="3">
            <w:col w:w="3209" w:space="46"/>
            <w:col w:w="5931" w:space="49"/>
            <w:col w:w="3012"/>
          </w:cols>
        </w:sectPr>
      </w:pPr>
    </w:p>
    <w:p>
      <w:pPr>
        <w:spacing w:before="95" w:line="230" w:lineRule="auto"/>
        <w:ind w:left="4530"/>
        <w:rPr>
          <w:rFonts w:ascii="宋体" w:hAnsi="宋体" w:eastAsia="宋体" w:cs="宋体"/>
          <w:sz w:val="17"/>
          <w:szCs w:val="17"/>
        </w:rPr>
      </w:pPr>
      <w:r>
        <w:rPr>
          <w:rFonts w:ascii="宋体" w:hAnsi="宋体" w:eastAsia="宋体" w:cs="宋体"/>
          <w:color w:val="030303"/>
          <w:sz w:val="17"/>
          <w:szCs w:val="17"/>
        </w:rPr>
        <w:drawing>
          <wp:inline distT="0" distB="0" distL="0" distR="0">
            <wp:extent cx="281940" cy="7302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24"/>
                    <a:stretch>
                      <a:fillRect/>
                    </a:stretch>
                  </pic:blipFill>
                  <pic:spPr>
                    <a:xfrm>
                      <a:off x="0" y="0"/>
                      <a:ext cx="282247" cy="73280"/>
                    </a:xfrm>
                    <a:prstGeom prst="rect">
                      <a:avLst/>
                    </a:prstGeom>
                  </pic:spPr>
                </pic:pic>
              </a:graphicData>
            </a:graphic>
          </wp:inline>
        </w:drawing>
      </w:r>
      <w:r>
        <w:rPr>
          <w:rFonts w:ascii="宋体" w:hAnsi="宋体" w:eastAsia="宋体" w:cs="宋体"/>
          <w:color w:val="030303"/>
          <w:spacing w:val="12"/>
          <w:sz w:val="17"/>
          <w:szCs w:val="17"/>
        </w:rPr>
        <w:t xml:space="preserve"> </w:t>
      </w:r>
      <w:r>
        <w:rPr>
          <w:rFonts w:ascii="宋体" w:hAnsi="宋体" w:eastAsia="宋体" w:cs="宋体"/>
          <w:color w:val="030303"/>
          <w:spacing w:val="6"/>
          <w:sz w:val="17"/>
          <w:szCs w:val="17"/>
        </w:rPr>
        <w:t>规模以上外资食品制造企业数量占比</w:t>
      </w:r>
    </w:p>
    <w:p>
      <w:pPr>
        <w:spacing w:line="292" w:lineRule="auto"/>
        <w:rPr>
          <w:rFonts w:ascii="Arial"/>
          <w:sz w:val="21"/>
        </w:rPr>
      </w:pPr>
    </w:p>
    <w:p>
      <w:pPr>
        <w:spacing w:before="65" w:line="383" w:lineRule="exact"/>
        <w:ind w:left="3253"/>
        <w:rPr>
          <w:rFonts w:ascii="SimHei" w:hAnsi="SimHei" w:eastAsia="SimHei" w:cs="SimHei"/>
          <w:sz w:val="20"/>
          <w:szCs w:val="20"/>
        </w:rPr>
      </w:pPr>
      <w:r>
        <w:rPr>
          <w:rFonts w:ascii="SimHei" w:hAnsi="SimHei" w:eastAsia="SimHei" w:cs="SimHei"/>
          <w:color w:val="231F20"/>
          <w:spacing w:val="2"/>
          <w:position w:val="13"/>
          <w:sz w:val="20"/>
          <w:szCs w:val="20"/>
        </w:rPr>
        <w:t xml:space="preserve">图 </w:t>
      </w:r>
      <w:r>
        <w:rPr>
          <w:rFonts w:ascii="Times New Roman" w:hAnsi="Times New Roman" w:eastAsia="Times New Roman" w:cs="Times New Roman"/>
          <w:color w:val="231F20"/>
          <w:spacing w:val="2"/>
          <w:position w:val="13"/>
          <w:sz w:val="20"/>
          <w:szCs w:val="20"/>
        </w:rPr>
        <w:t xml:space="preserve">2- 11 2016-2020 </w:t>
      </w:r>
      <w:r>
        <w:rPr>
          <w:rFonts w:ascii="SimHei" w:hAnsi="SimHei" w:eastAsia="SimHei" w:cs="SimHei"/>
          <w:color w:val="231F20"/>
          <w:spacing w:val="2"/>
          <w:position w:val="13"/>
          <w:sz w:val="20"/>
          <w:szCs w:val="20"/>
        </w:rPr>
        <w:t>年规模以上外资食品制造企业数量及占比情</w:t>
      </w:r>
      <w:r>
        <w:rPr>
          <w:rFonts w:ascii="SimHei" w:hAnsi="SimHei" w:eastAsia="SimHei" w:cs="SimHei"/>
          <w:color w:val="231F20"/>
          <w:position w:val="13"/>
          <w:sz w:val="20"/>
          <w:szCs w:val="20"/>
        </w:rPr>
        <w:t>况</w:t>
      </w:r>
    </w:p>
    <w:p>
      <w:pPr>
        <w:spacing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pacing w:line="276" w:lineRule="auto"/>
        <w:rPr>
          <w:rFonts w:ascii="Arial"/>
          <w:sz w:val="21"/>
        </w:rPr>
      </w:pPr>
    </w:p>
    <w:p>
      <w:pPr>
        <w:spacing w:line="277" w:lineRule="auto"/>
        <w:rPr>
          <w:rFonts w:ascii="Arial"/>
          <w:sz w:val="21"/>
        </w:rPr>
      </w:pPr>
    </w:p>
    <w:p>
      <w:pPr>
        <w:spacing w:before="72" w:line="219"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3</w:t>
      </w:r>
      <w:r>
        <w:rPr>
          <w:rFonts w:ascii="Times New Roman" w:hAnsi="Times New Roman" w:eastAsia="Times New Roman" w:cs="Times New Roman"/>
          <w:color w:val="015DAC"/>
          <w:sz w:val="22"/>
          <w:szCs w:val="22"/>
        </w:rPr>
        <w:t xml:space="preserve">. </w:t>
      </w:r>
      <w:r>
        <w:rPr>
          <w:rFonts w:ascii="KaiTi" w:hAnsi="KaiTi" w:eastAsia="KaiTi" w:cs="KaiTi"/>
          <w:color w:val="015DAC"/>
          <w:sz w:val="22"/>
          <w:szCs w:val="22"/>
        </w:rPr>
        <w:t>企业经营势头较好</w:t>
      </w:r>
    </w:p>
    <w:p>
      <w:pPr>
        <w:spacing w:line="264" w:lineRule="auto"/>
        <w:rPr>
          <w:rFonts w:ascii="Arial"/>
          <w:sz w:val="21"/>
        </w:rPr>
      </w:pPr>
    </w:p>
    <w:p>
      <w:pPr>
        <w:spacing w:before="95" w:line="242" w:lineRule="auto"/>
        <w:ind w:left="1987" w:right="1982" w:firstLine="466"/>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虽</w:t>
      </w:r>
      <w:r>
        <w:rPr>
          <w:rFonts w:ascii="微软雅黑" w:hAnsi="微软雅黑" w:eastAsia="微软雅黑" w:cs="微软雅黑"/>
          <w:color w:val="231F20"/>
          <w:spacing w:val="4"/>
          <w:sz w:val="22"/>
          <w:szCs w:val="22"/>
        </w:rPr>
        <w:t>然</w:t>
      </w:r>
      <w:r>
        <w:rPr>
          <w:rFonts w:ascii="微软雅黑" w:hAnsi="微软雅黑" w:eastAsia="微软雅黑" w:cs="微软雅黑"/>
          <w:color w:val="231F20"/>
          <w:spacing w:val="3"/>
          <w:sz w:val="22"/>
          <w:szCs w:val="22"/>
        </w:rPr>
        <w:t>新冠肺炎疫情对全球食品制造业产业链供应链产生了一定冲击，但外资食品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企业在华营收依然持续增</w:t>
      </w:r>
      <w:r>
        <w:rPr>
          <w:rFonts w:ascii="微软雅黑" w:hAnsi="微软雅黑" w:eastAsia="微软雅黑" w:cs="微软雅黑"/>
          <w:color w:val="231F20"/>
          <w:spacing w:val="4"/>
          <w:sz w:val="22"/>
          <w:szCs w:val="22"/>
        </w:rPr>
        <w:t>长</w:t>
      </w:r>
      <w:r>
        <w:rPr>
          <w:rFonts w:ascii="微软雅黑" w:hAnsi="微软雅黑" w:eastAsia="微软雅黑" w:cs="微软雅黑"/>
          <w:color w:val="231F20"/>
          <w:spacing w:val="3"/>
          <w:sz w:val="22"/>
          <w:szCs w:val="22"/>
        </w:rPr>
        <w:t>。国家统计局数据显示，</w:t>
      </w:r>
      <w:r>
        <w:rPr>
          <w:rFonts w:ascii="Times New Roman" w:hAnsi="Times New Roman" w:eastAsia="Times New Roman" w:cs="Times New Roman"/>
          <w:color w:val="231F20"/>
          <w:spacing w:val="3"/>
          <w:sz w:val="22"/>
          <w:szCs w:val="22"/>
        </w:rPr>
        <w:t xml:space="preserve">2016-2020 </w:t>
      </w:r>
      <w:r>
        <w:rPr>
          <w:rFonts w:ascii="微软雅黑" w:hAnsi="微软雅黑" w:eastAsia="微软雅黑" w:cs="微软雅黑"/>
          <w:color w:val="231F20"/>
          <w:spacing w:val="3"/>
          <w:sz w:val="22"/>
          <w:szCs w:val="22"/>
        </w:rPr>
        <w:t>年 ，规模以上外资食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品制造企业营业收入从 </w:t>
      </w:r>
      <w:r>
        <w:rPr>
          <w:rFonts w:ascii="Times New Roman" w:hAnsi="Times New Roman" w:eastAsia="Times New Roman" w:cs="Times New Roman"/>
          <w:color w:val="231F20"/>
          <w:spacing w:val="-1"/>
          <w:sz w:val="22"/>
          <w:szCs w:val="22"/>
        </w:rPr>
        <w:t>5966</w:t>
      </w:r>
      <w:r>
        <w:rPr>
          <w:rFonts w:ascii="Times New Roman" w:hAnsi="Times New Roman" w:eastAsia="Times New Roman" w:cs="Times New Roman"/>
          <w:color w:val="231F20"/>
          <w:sz w:val="22"/>
          <w:szCs w:val="22"/>
        </w:rPr>
        <w:t xml:space="preserve">.84 </w:t>
      </w:r>
      <w:r>
        <w:rPr>
          <w:rFonts w:ascii="微软雅黑" w:hAnsi="微软雅黑" w:eastAsia="微软雅黑" w:cs="微软雅黑"/>
          <w:color w:val="231F20"/>
          <w:sz w:val="22"/>
          <w:szCs w:val="22"/>
        </w:rPr>
        <w:t xml:space="preserve">亿元增长到 </w:t>
      </w:r>
      <w:r>
        <w:rPr>
          <w:rFonts w:ascii="Times New Roman" w:hAnsi="Times New Roman" w:eastAsia="Times New Roman" w:cs="Times New Roman"/>
          <w:color w:val="231F20"/>
          <w:sz w:val="22"/>
          <w:szCs w:val="22"/>
        </w:rPr>
        <w:t xml:space="preserve">6250.3 </w:t>
      </w:r>
      <w:r>
        <w:rPr>
          <w:rFonts w:ascii="微软雅黑" w:hAnsi="微软雅黑" w:eastAsia="微软雅黑" w:cs="微软雅黑"/>
          <w:color w:val="231F20"/>
          <w:sz w:val="22"/>
          <w:szCs w:val="22"/>
        </w:rPr>
        <w:t xml:space="preserve">亿元 ，利润总额从 </w:t>
      </w:r>
      <w:r>
        <w:rPr>
          <w:rFonts w:ascii="Times New Roman" w:hAnsi="Times New Roman" w:eastAsia="Times New Roman" w:cs="Times New Roman"/>
          <w:color w:val="231F20"/>
          <w:sz w:val="22"/>
          <w:szCs w:val="22"/>
        </w:rPr>
        <w:t xml:space="preserve">570.78 </w:t>
      </w:r>
      <w:r>
        <w:rPr>
          <w:rFonts w:ascii="微软雅黑" w:hAnsi="微软雅黑" w:eastAsia="微软雅黑" w:cs="微软雅黑"/>
          <w:color w:val="231F20"/>
          <w:sz w:val="22"/>
          <w:szCs w:val="22"/>
        </w:rPr>
        <w:t xml:space="preserve">亿元增长 </w:t>
      </w:r>
      <w:r>
        <w:rPr>
          <w:rFonts w:ascii="微软雅黑" w:hAnsi="微软雅黑" w:eastAsia="微软雅黑" w:cs="微软雅黑"/>
          <w:color w:val="231F20"/>
          <w:spacing w:val="4"/>
          <w:sz w:val="22"/>
          <w:szCs w:val="22"/>
        </w:rPr>
        <w:t xml:space="preserve">到 </w:t>
      </w:r>
      <w:r>
        <w:rPr>
          <w:rFonts w:ascii="Times New Roman" w:hAnsi="Times New Roman" w:eastAsia="Times New Roman" w:cs="Times New Roman"/>
          <w:color w:val="231F20"/>
          <w:spacing w:val="4"/>
          <w:sz w:val="22"/>
          <w:szCs w:val="22"/>
        </w:rPr>
        <w:t xml:space="preserve">697.8 </w:t>
      </w:r>
      <w:r>
        <w:rPr>
          <w:rFonts w:ascii="微软雅黑" w:hAnsi="微软雅黑" w:eastAsia="微软雅黑" w:cs="微软雅黑"/>
          <w:color w:val="231F20"/>
          <w:spacing w:val="4"/>
          <w:sz w:val="22"/>
          <w:szCs w:val="22"/>
        </w:rPr>
        <w:t>亿元。从营</w:t>
      </w:r>
      <w:r>
        <w:rPr>
          <w:rFonts w:ascii="微软雅黑" w:hAnsi="微软雅黑" w:eastAsia="微软雅黑" w:cs="微软雅黑"/>
          <w:color w:val="231F20"/>
          <w:spacing w:val="2"/>
          <w:sz w:val="22"/>
          <w:szCs w:val="22"/>
        </w:rPr>
        <w:t xml:space="preserve">收利润率来看，规模以上外资食品制造企业营收利润率从 </w:t>
      </w:r>
      <w:r>
        <w:rPr>
          <w:rFonts w:ascii="Times New Roman" w:hAnsi="Times New Roman" w:eastAsia="Times New Roman" w:cs="Times New Roman"/>
          <w:color w:val="231F20"/>
          <w:spacing w:val="2"/>
          <w:sz w:val="22"/>
          <w:szCs w:val="22"/>
        </w:rPr>
        <w:t>2016</w:t>
      </w:r>
      <w:r>
        <w:rPr>
          <w:rFonts w:ascii="微软雅黑" w:hAnsi="微软雅黑" w:eastAsia="微软雅黑" w:cs="微软雅黑"/>
          <w:color w:val="231F20"/>
          <w:spacing w:val="2"/>
          <w:sz w:val="22"/>
          <w:szCs w:val="22"/>
        </w:rPr>
        <w:t>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的 </w:t>
      </w:r>
      <w:r>
        <w:rPr>
          <w:rFonts w:ascii="Times New Roman" w:hAnsi="Times New Roman" w:eastAsia="Times New Roman" w:cs="Times New Roman"/>
          <w:color w:val="231F20"/>
          <w:sz w:val="22"/>
          <w:szCs w:val="22"/>
        </w:rPr>
        <w:t xml:space="preserve">9.6% </w:t>
      </w:r>
      <w:r>
        <w:rPr>
          <w:rFonts w:ascii="微软雅黑" w:hAnsi="微软雅黑" w:eastAsia="微软雅黑" w:cs="微软雅黑"/>
          <w:color w:val="231F20"/>
          <w:sz w:val="22"/>
          <w:szCs w:val="22"/>
        </w:rPr>
        <w:t xml:space="preserve">上升至 </w:t>
      </w:r>
      <w:r>
        <w:rPr>
          <w:rFonts w:ascii="Times New Roman" w:hAnsi="Times New Roman" w:eastAsia="Times New Roman" w:cs="Times New Roman"/>
          <w:color w:val="231F20"/>
          <w:sz w:val="22"/>
          <w:szCs w:val="22"/>
        </w:rPr>
        <w:t xml:space="preserve">2020 </w:t>
      </w:r>
      <w:r>
        <w:rPr>
          <w:rFonts w:ascii="微软雅黑" w:hAnsi="微软雅黑" w:eastAsia="微软雅黑" w:cs="微软雅黑"/>
          <w:color w:val="231F20"/>
          <w:sz w:val="22"/>
          <w:szCs w:val="22"/>
        </w:rPr>
        <w:t xml:space="preserve">年的 </w:t>
      </w:r>
      <w:r>
        <w:rPr>
          <w:rFonts w:ascii="Times New Roman" w:hAnsi="Times New Roman" w:eastAsia="Times New Roman" w:cs="Times New Roman"/>
          <w:color w:val="231F20"/>
          <w:sz w:val="22"/>
          <w:szCs w:val="22"/>
        </w:rPr>
        <w:t xml:space="preserve">11.2% </w:t>
      </w:r>
      <w:r>
        <w:rPr>
          <w:rFonts w:ascii="微软雅黑" w:hAnsi="微软雅黑" w:eastAsia="微软雅黑" w:cs="微软雅黑"/>
          <w:color w:val="231F20"/>
          <w:sz w:val="22"/>
          <w:szCs w:val="22"/>
        </w:rPr>
        <w:t xml:space="preserve">，普遍高于全国平均水平。从人均营业收入来看 ，规 </w:t>
      </w:r>
      <w:r>
        <w:rPr>
          <w:rFonts w:ascii="微软雅黑" w:hAnsi="微软雅黑" w:eastAsia="微软雅黑" w:cs="微软雅黑"/>
          <w:color w:val="231F20"/>
          <w:spacing w:val="4"/>
          <w:sz w:val="22"/>
          <w:szCs w:val="22"/>
        </w:rPr>
        <w:t>模</w:t>
      </w:r>
      <w:r>
        <w:rPr>
          <w:rFonts w:ascii="微软雅黑" w:hAnsi="微软雅黑" w:eastAsia="微软雅黑" w:cs="微软雅黑"/>
          <w:color w:val="231F20"/>
          <w:spacing w:val="2"/>
          <w:sz w:val="22"/>
          <w:szCs w:val="22"/>
        </w:rPr>
        <w:t xml:space="preserve">以上外资食品制造企业人均营业收入持续增长，从 </w:t>
      </w:r>
      <w:r>
        <w:rPr>
          <w:rFonts w:ascii="Times New Roman" w:hAnsi="Times New Roman" w:eastAsia="Times New Roman" w:cs="Times New Roman"/>
          <w:color w:val="231F20"/>
          <w:spacing w:val="2"/>
          <w:sz w:val="22"/>
          <w:szCs w:val="22"/>
        </w:rPr>
        <w:t xml:space="preserve">2016 </w:t>
      </w:r>
      <w:r>
        <w:rPr>
          <w:rFonts w:ascii="微软雅黑" w:hAnsi="微软雅黑" w:eastAsia="微软雅黑" w:cs="微软雅黑"/>
          <w:color w:val="231F20"/>
          <w:spacing w:val="2"/>
          <w:sz w:val="22"/>
          <w:szCs w:val="22"/>
        </w:rPr>
        <w:t xml:space="preserve">年的 </w:t>
      </w:r>
      <w:r>
        <w:rPr>
          <w:rFonts w:ascii="Times New Roman" w:hAnsi="Times New Roman" w:eastAsia="Times New Roman" w:cs="Times New Roman"/>
          <w:color w:val="231F20"/>
          <w:spacing w:val="2"/>
          <w:sz w:val="22"/>
          <w:szCs w:val="22"/>
        </w:rPr>
        <w:t xml:space="preserve">124.6 </w:t>
      </w:r>
      <w:r>
        <w:rPr>
          <w:rFonts w:ascii="微软雅黑" w:hAnsi="微软雅黑" w:eastAsia="微软雅黑" w:cs="微软雅黑"/>
          <w:color w:val="231F20"/>
          <w:spacing w:val="2"/>
          <w:sz w:val="22"/>
          <w:szCs w:val="22"/>
        </w:rPr>
        <w:t xml:space="preserve">万元 </w:t>
      </w:r>
      <w:r>
        <w:rPr>
          <w:rFonts w:ascii="Times New Roman" w:hAnsi="Times New Roman" w:eastAsia="Times New Roman" w:cs="Times New Roman"/>
          <w:color w:val="231F20"/>
          <w:spacing w:val="2"/>
          <w:sz w:val="22"/>
          <w:szCs w:val="22"/>
        </w:rPr>
        <w:t xml:space="preserve">/ </w:t>
      </w:r>
      <w:r>
        <w:rPr>
          <w:rFonts w:ascii="微软雅黑" w:hAnsi="微软雅黑" w:eastAsia="微软雅黑" w:cs="微软雅黑"/>
          <w:color w:val="231F20"/>
          <w:spacing w:val="2"/>
          <w:sz w:val="22"/>
          <w:szCs w:val="22"/>
        </w:rPr>
        <w:t>人增长到</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1"/>
          <w:sz w:val="22"/>
          <w:szCs w:val="22"/>
        </w:rPr>
        <w:t xml:space="preserve">2020 </w:t>
      </w:r>
      <w:r>
        <w:rPr>
          <w:rFonts w:ascii="微软雅黑" w:hAnsi="微软雅黑" w:eastAsia="微软雅黑" w:cs="微软雅黑"/>
          <w:color w:val="231F20"/>
          <w:spacing w:val="1"/>
          <w:sz w:val="22"/>
          <w:szCs w:val="22"/>
        </w:rPr>
        <w:t xml:space="preserve">年的 </w:t>
      </w:r>
      <w:r>
        <w:rPr>
          <w:rFonts w:ascii="Times New Roman" w:hAnsi="Times New Roman" w:eastAsia="Times New Roman" w:cs="Times New Roman"/>
          <w:color w:val="231F20"/>
          <w:spacing w:val="1"/>
          <w:sz w:val="22"/>
          <w:szCs w:val="22"/>
        </w:rPr>
        <w:t xml:space="preserve">148. 1 </w:t>
      </w:r>
      <w:r>
        <w:rPr>
          <w:rFonts w:ascii="微软雅黑" w:hAnsi="微软雅黑" w:eastAsia="微软雅黑" w:cs="微软雅黑"/>
          <w:color w:val="231F20"/>
          <w:spacing w:val="1"/>
          <w:sz w:val="22"/>
          <w:szCs w:val="22"/>
        </w:rPr>
        <w:t xml:space="preserve">万元 </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人 ，而全国规模以上食品制造企业人均营业收入</w:t>
      </w:r>
      <w:r>
        <w:rPr>
          <w:rFonts w:ascii="微软雅黑" w:hAnsi="微软雅黑" w:eastAsia="微软雅黑" w:cs="微软雅黑"/>
          <w:color w:val="231F20"/>
          <w:sz w:val="22"/>
          <w:szCs w:val="22"/>
        </w:rPr>
        <w:t xml:space="preserve">在相对较低的 </w:t>
      </w:r>
      <w:r>
        <w:rPr>
          <w:rFonts w:ascii="微软雅黑" w:hAnsi="微软雅黑" w:eastAsia="微软雅黑" w:cs="微软雅黑"/>
          <w:color w:val="231F20"/>
          <w:spacing w:val="1"/>
          <w:sz w:val="22"/>
          <w:szCs w:val="22"/>
        </w:rPr>
        <w:t>区间</w:t>
      </w:r>
      <w:r>
        <w:rPr>
          <w:rFonts w:ascii="微软雅黑" w:hAnsi="微软雅黑" w:eastAsia="微软雅黑" w:cs="微软雅黑"/>
          <w:color w:val="231F20"/>
          <w:sz w:val="22"/>
          <w:szCs w:val="22"/>
        </w:rPr>
        <w:t>波动增长。</w:t>
      </w:r>
    </w:p>
    <w:p>
      <w:pPr>
        <w:sectPr>
          <w:type w:val="continuous"/>
          <w:pgSz w:w="12246" w:h="16498"/>
          <w:pgMar w:top="400" w:right="0" w:bottom="400" w:left="0" w:header="0" w:footer="0" w:gutter="0"/>
          <w:cols w:equalWidth="0" w:num="1">
            <w:col w:w="12246"/>
          </w:cols>
        </w:sectPr>
      </w:pPr>
    </w:p>
    <w:p>
      <w:pPr>
        <w:spacing w:line="241" w:lineRule="auto"/>
        <w:rPr>
          <w:rFonts w:ascii="Arial"/>
          <w:sz w:val="21"/>
        </w:rPr>
      </w:pPr>
      <w:r>
        <w:pict>
          <v:rect id="_x0000_s1358" o:spid="_x0000_s1358" o:spt="1" style="position:absolute;left:0pt;margin-left:132.2pt;margin-top:135.05pt;height:142.9pt;width:0.3pt;mso-position-horizontal-relative:page;mso-position-vertical-relative:page;z-index:252032000;mso-width-relative:page;mso-height-relative:page;" fillcolor="#231F20" filled="t" stroked="f" coordsize="21600,21600" o:allowincell="f">
            <v:path/>
            <v:fill on="t" focussize="0,0"/>
            <v:stroke on="f"/>
            <v:imagedata o:title=""/>
            <o:lock v:ext="edit"/>
          </v:rect>
        </w:pict>
      </w:r>
      <w:r>
        <w:pict>
          <v:rect id="_x0000_s1359" o:spid="_x0000_s1359" o:spt="1" style="position:absolute;left:0pt;margin-left:238.25pt;margin-top:180.25pt;height:2.15pt;width:69.45pt;mso-position-horizontal-relative:page;mso-position-vertical-relative:page;z-index:-251300864;mso-width-relative:page;mso-height-relative:page;" fillcolor="#5493C7" filled="t" stroked="f" coordsize="21600,21600" o:allowincell="f">
            <v:path/>
            <v:fill on="t" focussize="0,0"/>
            <v:stroke on="f"/>
            <v:imagedata o:title=""/>
            <o:lock v:ext="edit"/>
          </v:rect>
        </w:pict>
      </w:r>
      <w:r>
        <w:pict>
          <v:rect id="_x0000_s1360" o:spid="_x0000_s1360" o:spt="1" style="position:absolute;left:0pt;margin-left:133.95pt;margin-top:229.8pt;height:0.85pt;width:355.85pt;mso-position-horizontal-relative:page;mso-position-vertical-relative:page;z-index:252021760;mso-width-relative:page;mso-height-relative:page;" fillcolor="#CEE6ED" filled="t" stroked="f" coordsize="21600,21600" o:allowincell="f">
            <v:path/>
            <v:fill on="t" focussize="0,0"/>
            <v:stroke on="f"/>
            <v:imagedata o:title=""/>
            <o:lock v:ext="edit"/>
          </v:rect>
        </w:pict>
      </w:r>
      <w:r>
        <w:pict>
          <v:rect id="_x0000_s1361" o:spid="_x0000_s1361" o:spt="1" style="position:absolute;left:0pt;margin-left:133.95pt;margin-top:251.5pt;height:0.85pt;width:355.85pt;mso-position-horizontal-relative:page;mso-position-vertical-relative:page;z-index:252020736;mso-width-relative:page;mso-height-relative:page;" fillcolor="#CEE6ED" filled="t" stroked="f" coordsize="21600,21600" o:allowincell="f">
            <v:path/>
            <v:fill on="t" focussize="0,0"/>
            <v:stroke on="f"/>
            <v:imagedata o:title=""/>
            <o:lock v:ext="edit"/>
          </v:rect>
        </w:pict>
      </w:r>
      <w:r>
        <w:pict>
          <v:rect id="_x0000_s1362" o:spid="_x0000_s1362" o:spt="1" style="position:absolute;left:0pt;margin-left:130.5pt;margin-top:274.4pt;height:0.3pt;width:371.1pt;mso-position-horizontal-relative:page;mso-position-vertical-relative:page;z-index:252028928;mso-width-relative:page;mso-height-relative:page;" fillcolor="#231F20" filled="t" stroked="f" coordsize="21600,21600" o:allowincell="f">
            <v:path/>
            <v:fill on="t" focussize="0,0"/>
            <v:stroke on="f"/>
            <v:imagedata o:title=""/>
            <o:lock v:ext="edit"/>
          </v:rect>
        </w:pict>
      </w:r>
      <w:r>
        <w:pict>
          <v:rect id="_x0000_s1363" o:spid="_x0000_s1363" o:spt="1" style="position:absolute;left:0pt;margin-left:132.5pt;margin-top:440.75pt;height:160.15pt;width:0.3pt;mso-position-horizontal-relative:page;mso-position-vertical-relative:page;z-index:252030976;mso-width-relative:page;mso-height-relative:page;" fillcolor="#231F20" filled="t" stroked="f" coordsize="21600,21600" o:allowincell="f">
            <v:path/>
            <v:fill on="t" focussize="0,0"/>
            <v:stroke on="f"/>
            <v:imagedata o:title=""/>
            <o:lock v:ext="edit"/>
          </v:rect>
        </w:pict>
      </w:r>
      <w:r>
        <w:pict>
          <v:rect id="_x0000_s1364" o:spid="_x0000_s1364" o:spt="1" style="position:absolute;left:0pt;margin-left:134.2pt;margin-top:559.05pt;height:0.65pt;width:341pt;mso-position-horizontal-relative:page;mso-position-vertical-relative:page;z-index:252024832;mso-width-relative:page;mso-height-relative:page;" fillcolor="#D1E3F0" filled="t" stroked="f" coordsize="21600,21600" o:allowincell="f">
            <v:path/>
            <v:fill on="t" focussize="0,0"/>
            <v:stroke on="f"/>
            <v:imagedata o:title=""/>
            <o:lock v:ext="edit"/>
          </v:rect>
        </w:pict>
      </w:r>
      <w:r>
        <w:pict>
          <v:rect id="_x0000_s1365" o:spid="_x0000_s1365" o:spt="1" style="position:absolute;left:0pt;margin-left:134.2pt;margin-top:578.1pt;height:0.65pt;width:341pt;mso-position-horizontal-relative:page;mso-position-vertical-relative:page;z-index:252022784;mso-width-relative:page;mso-height-relative:page;" fillcolor="#D1E3F0" filled="t" stroked="f" coordsize="21600,21600" o:allowincell="f">
            <v:path/>
            <v:fill on="t" focussize="0,0"/>
            <v:stroke on="f"/>
            <v:imagedata o:title=""/>
            <o:lock v:ext="edit"/>
          </v:rect>
        </w:pict>
      </w:r>
      <w:r>
        <w:pict>
          <v:shape id="_x0000_s1366" o:spid="_x0000_s1366" style="position:absolute;left:0pt;margin-left:134.2pt;margin-top:444.5pt;height:0.65pt;width:341pt;mso-position-horizontal-relative:page;mso-position-vertical-relative:page;z-index:252025856;mso-width-relative:page;mso-height-relative:page;" filled="f" stroked="t" coordsize="6820,12" o:allowincell="f" path="m0,6l6819,6e">
            <v:fill on="f" focussize="0,0"/>
            <v:stroke weight="0.64pt" color="#D1E3F0" miterlimit="10" dashstyle="dash"/>
            <v:imagedata o:title=""/>
            <o:lock v:ext="edit"/>
          </v:shape>
        </w:pict>
      </w:r>
      <w:r>
        <w:pict>
          <v:shape id="_x0000_s1367" o:spid="_x0000_s1367" style="position:absolute;left:0pt;margin-left:134.2pt;margin-top:463.55pt;height:0.65pt;width:341pt;mso-position-horizontal-relative:page;mso-position-vertical-relative:page;z-index:252027904;mso-width-relative:page;mso-height-relative:page;" filled="f" stroked="t" coordsize="6820,12" o:allowincell="f" path="m0,6l6819,6e">
            <v:fill on="f" focussize="0,0"/>
            <v:stroke weight="0.64pt" color="#D1E3F0" miterlimit="10" dashstyle="dash"/>
            <v:imagedata o:title=""/>
            <o:lock v:ext="edit"/>
          </v:shape>
        </w:pict>
      </w:r>
      <w:r>
        <w:pict>
          <v:shape id="_x0000_s1368" o:spid="_x0000_s1368" style="position:absolute;left:0pt;margin-left:134.2pt;margin-top:482.65pt;height:0.65pt;width:341pt;mso-position-horizontal-relative:page;mso-position-vertical-relative:page;z-index:252026880;mso-width-relative:page;mso-height-relative:page;" filled="f" stroked="t" coordsize="6820,12" o:allowincell="f" path="m0,6l6819,6e">
            <v:fill on="f" focussize="0,0"/>
            <v:stroke weight="0.64pt" color="#D1E3F0" miterlimit="10" dashstyle="dash"/>
            <v:imagedata o:title=""/>
            <o:lock v:ext="edit"/>
          </v:shape>
        </w:pict>
      </w:r>
      <w:r>
        <w:pict>
          <v:shape id="_x0000_s1369" o:spid="_x0000_s1369" style="position:absolute;left:0pt;margin-left:134.2pt;margin-top:501.75pt;height:0.65pt;width:341pt;mso-position-horizontal-relative:page;mso-position-vertical-relative:page;z-index:252023808;mso-width-relative:page;mso-height-relative:page;" filled="f" stroked="t" coordsize="6820,12" o:allowincell="f" path="m0,6l6819,6e">
            <v:fill on="f" focussize="0,0"/>
            <v:stroke weight="0.64pt" color="#D1E3F0" miterlimit="10" dashstyle="dash"/>
            <v:imagedata o:title=""/>
            <o:lock v:ext="edit"/>
          </v:shape>
        </w:pict>
      </w:r>
      <w:r>
        <w:drawing>
          <wp:anchor distT="0" distB="0" distL="0" distR="0" simplePos="0" relativeHeight="252033024" behindDoc="0" locked="0" layoutInCell="0" allowOverlap="1">
            <wp:simplePos x="0" y="0"/>
            <wp:positionH relativeFrom="page">
              <wp:posOffset>1704340</wp:posOffset>
            </wp:positionH>
            <wp:positionV relativeFrom="page">
              <wp:posOffset>7581900</wp:posOffset>
            </wp:positionV>
            <wp:extent cx="4330700" cy="6350"/>
            <wp:effectExtent l="0" t="0" r="0" b="0"/>
            <wp:wrapNone/>
            <wp:docPr id="273" name="IM 273"/>
            <wp:cNvGraphicFramePr/>
            <a:graphic xmlns:a="http://schemas.openxmlformats.org/drawingml/2006/main">
              <a:graphicData uri="http://schemas.openxmlformats.org/drawingml/2006/picture">
                <pic:pic xmlns:pic="http://schemas.openxmlformats.org/drawingml/2006/picture">
                  <pic:nvPicPr>
                    <pic:cNvPr id="273" name="IM 273"/>
                    <pic:cNvPicPr/>
                  </pic:nvPicPr>
                  <pic:blipFill>
                    <a:blip r:embed="rId125"/>
                    <a:stretch>
                      <a:fillRect/>
                    </a:stretch>
                  </pic:blipFill>
                  <pic:spPr>
                    <a:xfrm>
                      <a:off x="0" y="0"/>
                      <a:ext cx="4330449" cy="6350"/>
                    </a:xfrm>
                    <a:prstGeom prst="rect">
                      <a:avLst/>
                    </a:prstGeom>
                  </pic:spPr>
                </pic:pic>
              </a:graphicData>
            </a:graphic>
          </wp:anchor>
        </w:drawing>
      </w:r>
      <w:r>
        <w:pict>
          <v:shape id="_x0000_s1370" o:spid="_x0000_s1370" style="position:absolute;left:0pt;margin-left:130.8pt;margin-top:596.85pt;height:0.3pt;width:361.6pt;mso-position-horizontal-relative:page;mso-position-vertical-relative:page;z-index:252029952;mso-width-relative:page;mso-height-relative:page;" filled="f" stroked="t" coordsize="7232,6" o:allowincell="f" path="m0,2l7231,2e">
            <v:fill on="f" focussize="0,0"/>
            <v:stroke weight="0.28pt" color="#231F20" miterlimit="4" joinstyle="miter"/>
            <v:imagedata o:title=""/>
            <o:lock v:ext="edit"/>
          </v:shape>
        </w:pict>
      </w:r>
      <w:r>
        <w:drawing>
          <wp:anchor distT="0" distB="0" distL="0" distR="0" simplePos="0" relativeHeight="25201356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43"/>
                    <a:stretch>
                      <a:fillRect/>
                    </a:stretch>
                  </pic:blipFill>
                  <pic:spPr>
                    <a:xfrm>
                      <a:off x="0" y="0"/>
                      <a:ext cx="7775994" cy="422998"/>
                    </a:xfrm>
                    <a:prstGeom prst="rect">
                      <a:avLst/>
                    </a:prstGeom>
                  </pic:spPr>
                </pic:pic>
              </a:graphicData>
            </a:graphic>
          </wp:anchor>
        </w:drawing>
      </w:r>
      <w:r>
        <w:pict>
          <v:shape id="_x0000_s1371" o:spid="_x0000_s1371" o:spt="202" type="#_x0000_t202" style="position:absolute;left:0pt;margin-left:119.35pt;margin-top:137.8pt;height:76.15pt;width:13.9pt;mso-position-horizontal-relative:page;mso-position-vertical-relative:page;z-index:252018688;mso-width-relative:page;mso-height-relative:page;" filled="f" stroked="f" coordsize="21600,21600" o:allowincell="f">
            <v:path/>
            <v:fill on="f" focussize="0,0"/>
            <v:stroke on="f"/>
            <v:imagedata o:title=""/>
            <o:lock v:ext="edit" aspectratio="f"/>
            <v:textbox inset="0mm,0mm,0mm,0mm">
              <w:txbxContent>
                <w:p>
                  <w:pPr>
                    <w:spacing w:before="19" w:line="200" w:lineRule="auto"/>
                    <w:ind w:left="20"/>
                    <w:rPr>
                      <w:sz w:val="17"/>
                      <w:szCs w:val="17"/>
                    </w:rPr>
                  </w:pPr>
                  <w:r>
                    <w:rPr>
                      <w:rFonts w:ascii="Arial" w:hAnsi="Arial" w:eastAsia="Arial" w:cs="Arial"/>
                      <w:color w:val="231F20"/>
                      <w:spacing w:val="-12"/>
                      <w:sz w:val="17"/>
                      <w:szCs w:val="17"/>
                    </w:rPr>
                    <w:t>1</w:t>
                  </w:r>
                  <w:r>
                    <w:rPr>
                      <w:rFonts w:ascii="Arial" w:hAnsi="Arial" w:eastAsia="Arial" w:cs="Arial"/>
                      <w:color w:val="231F20"/>
                      <w:spacing w:val="-11"/>
                      <w:sz w:val="17"/>
                      <w:szCs w:val="17"/>
                    </w:rPr>
                    <w:t xml:space="preserve">2 </w:t>
                  </w:r>
                  <w:r>
                    <w:rPr>
                      <w:position w:val="11"/>
                      <w:sz w:val="17"/>
                      <w:szCs w:val="17"/>
                    </w:rPr>
                    <w:drawing>
                      <wp:inline distT="0" distB="0" distL="0" distR="0">
                        <wp:extent cx="21590" cy="3175"/>
                        <wp:effectExtent l="0" t="0" r="0" b="0"/>
                        <wp:docPr id="275" name="IM 275"/>
                        <wp:cNvGraphicFramePr/>
                        <a:graphic xmlns:a="http://schemas.openxmlformats.org/drawingml/2006/main">
                          <a:graphicData uri="http://schemas.openxmlformats.org/drawingml/2006/picture">
                            <pic:pic xmlns:pic="http://schemas.openxmlformats.org/drawingml/2006/picture">
                              <pic:nvPicPr>
                                <pic:cNvPr id="275" name="IM 275"/>
                                <pic:cNvPicPr/>
                              </pic:nvPicPr>
                              <pic:blipFill>
                                <a:blip r:embed="rId126"/>
                                <a:stretch>
                                  <a:fillRect/>
                                </a:stretch>
                              </pic:blipFill>
                              <pic:spPr>
                                <a:xfrm>
                                  <a:off x="0" y="0"/>
                                  <a:ext cx="21602" cy="3593"/>
                                </a:xfrm>
                                <a:prstGeom prst="rect">
                                  <a:avLst/>
                                </a:prstGeom>
                              </pic:spPr>
                            </pic:pic>
                          </a:graphicData>
                        </a:graphic>
                      </wp:inline>
                    </w:drawing>
                  </w:r>
                </w:p>
                <w:p>
                  <w:pPr>
                    <w:spacing w:before="277" w:line="199" w:lineRule="auto"/>
                    <w:ind w:left="20"/>
                    <w:rPr>
                      <w:rFonts w:ascii="Arial" w:hAnsi="Arial" w:eastAsia="Arial" w:cs="Arial"/>
                      <w:sz w:val="17"/>
                      <w:szCs w:val="17"/>
                    </w:rPr>
                  </w:pPr>
                  <w:r>
                    <w:rPr>
                      <w:rFonts w:ascii="Arial" w:hAnsi="Arial" w:eastAsia="Arial" w:cs="Arial"/>
                      <w:color w:val="231F20"/>
                      <w:spacing w:val="-6"/>
                      <w:sz w:val="17"/>
                      <w:szCs w:val="17"/>
                    </w:rPr>
                    <w:t>10</w:t>
                  </w:r>
                  <w:r>
                    <w:rPr>
                      <w:rFonts w:ascii="Arial" w:hAnsi="Arial" w:eastAsia="Arial" w:cs="Arial"/>
                      <w:strike/>
                      <w:color w:val="231F20"/>
                      <w:sz w:val="17"/>
                      <w:szCs w:val="17"/>
                    </w:rPr>
                    <w:t xml:space="preserve"> </w:t>
                  </w:r>
                </w:p>
                <w:p>
                  <w:pPr>
                    <w:spacing w:before="277" w:line="199" w:lineRule="auto"/>
                    <w:ind w:left="106"/>
                    <w:rPr>
                      <w:rFonts w:ascii="Arial" w:hAnsi="Arial" w:eastAsia="Arial" w:cs="Arial"/>
                      <w:sz w:val="17"/>
                      <w:szCs w:val="17"/>
                    </w:rPr>
                  </w:pPr>
                  <w:r>
                    <w:rPr>
                      <w:rFonts w:ascii="Arial" w:hAnsi="Arial" w:eastAsia="Arial" w:cs="Arial"/>
                      <w:color w:val="231F20"/>
                      <w:spacing w:val="-4"/>
                      <w:sz w:val="17"/>
                      <w:szCs w:val="17"/>
                    </w:rPr>
                    <w:t>8</w:t>
                  </w:r>
                  <w:r>
                    <w:rPr>
                      <w:rFonts w:ascii="Arial" w:hAnsi="Arial" w:eastAsia="Arial" w:cs="Arial"/>
                      <w:strike/>
                      <w:color w:val="231F20"/>
                      <w:sz w:val="17"/>
                      <w:szCs w:val="17"/>
                    </w:rPr>
                    <w:t xml:space="preserve"> </w:t>
                  </w:r>
                </w:p>
                <w:p>
                  <w:pPr>
                    <w:spacing w:before="278" w:line="199" w:lineRule="auto"/>
                    <w:ind w:left="106"/>
                    <w:rPr>
                      <w:rFonts w:ascii="Arial" w:hAnsi="Arial" w:eastAsia="Arial" w:cs="Arial"/>
                      <w:sz w:val="17"/>
                      <w:szCs w:val="17"/>
                    </w:rPr>
                  </w:pPr>
                  <w:r>
                    <w:rPr>
                      <w:rFonts w:ascii="Arial" w:hAnsi="Arial" w:eastAsia="Arial" w:cs="Arial"/>
                      <w:color w:val="231F20"/>
                      <w:spacing w:val="-4"/>
                      <w:sz w:val="17"/>
                      <w:szCs w:val="17"/>
                    </w:rPr>
                    <w:t>6</w:t>
                  </w:r>
                  <w:r>
                    <w:rPr>
                      <w:rFonts w:ascii="Arial" w:hAnsi="Arial" w:eastAsia="Arial" w:cs="Arial"/>
                      <w:strike/>
                      <w:color w:val="231F20"/>
                      <w:sz w:val="17"/>
                      <w:szCs w:val="17"/>
                    </w:rPr>
                    <w:t xml:space="preserve"> </w:t>
                  </w:r>
                </w:p>
              </w:txbxContent>
            </v:textbox>
          </v:shape>
        </w:pict>
      </w:r>
      <w:r>
        <w:pict>
          <v:shape id="_x0000_s1372" o:spid="_x0000_s1372" o:spt="202" type="#_x0000_t202" style="position:absolute;left:0pt;margin-left:169.05pt;margin-top:180.05pt;height:12.7pt;width:22pt;mso-position-horizontal-relative:page;mso-position-vertical-relative:page;z-index:252036096;mso-width-relative:page;mso-height-relative:page;" filled="f" stroked="f" coordsize="21600,21600" o:allowincell="f">
            <v:path/>
            <v:fill on="f" focussize="0,0"/>
            <v:stroke on="f"/>
            <v:imagedata o:title=""/>
            <o:lock v:ext="edit" aspectratio="f"/>
            <v:textbox inset="0mm,0mm,0mm,0mm">
              <w:txbxContent>
                <w:p>
                  <w:pPr>
                    <w:spacing w:before="19" w:line="176" w:lineRule="auto"/>
                    <w:ind w:left="20"/>
                    <w:rPr>
                      <w:rFonts w:ascii="微软雅黑" w:hAnsi="微软雅黑" w:eastAsia="微软雅黑" w:cs="微软雅黑"/>
                      <w:sz w:val="17"/>
                      <w:szCs w:val="17"/>
                    </w:rPr>
                  </w:pPr>
                  <w:r>
                    <w:rPr>
                      <w:rFonts w:ascii="微软雅黑" w:hAnsi="微软雅黑" w:eastAsia="微软雅黑" w:cs="微软雅黑"/>
                      <w:color w:val="231F20"/>
                      <w:spacing w:val="-1"/>
                      <w:sz w:val="17"/>
                      <w:szCs w:val="17"/>
                    </w:rPr>
                    <w:t xml:space="preserve">8 </w:t>
                  </w:r>
                  <w:r>
                    <w:rPr>
                      <w:rFonts w:ascii="微软雅黑" w:hAnsi="微软雅黑" w:eastAsia="微软雅黑" w:cs="微软雅黑"/>
                      <w:color w:val="231F20"/>
                      <w:sz w:val="17"/>
                      <w:szCs w:val="17"/>
                    </w:rPr>
                    <w:t>7%</w:t>
                  </w:r>
                </w:p>
              </w:txbxContent>
            </v:textbox>
          </v:shape>
        </w:pict>
      </w:r>
      <w:r>
        <w:pict>
          <v:shape id="_x0000_s1373" o:spid="_x0000_s1373" style="position:absolute;left:0pt;margin-left:173.9pt;margin-top:176.3pt;height:6pt;width:64.65pt;mso-position-horizontal-relative:page;mso-position-vertical-relative:page;z-index:-251301888;mso-width-relative:page;mso-height-relative:page;" filled="f" stroked="t" coordsize="1293,120" o:allowincell="f" path="m1,19l1291,99e">
            <v:fill on="f" focussize="0,0"/>
            <v:stroke weight="2pt" color="#5493C7" miterlimit="4" joinstyle="miter"/>
            <v:imagedata o:title=""/>
            <o:lock v:ext="edit"/>
          </v:shape>
        </w:pict>
      </w:r>
      <w:r>
        <w:drawing>
          <wp:anchor distT="0" distB="0" distL="0" distR="0" simplePos="0" relativeHeight="252017664" behindDoc="0" locked="0" layoutInCell="0" allowOverlap="1">
            <wp:simplePos x="0" y="0"/>
            <wp:positionH relativeFrom="page">
              <wp:posOffset>1708150</wp:posOffset>
            </wp:positionH>
            <wp:positionV relativeFrom="page">
              <wp:posOffset>7587615</wp:posOffset>
            </wp:positionV>
            <wp:extent cx="4679950" cy="58420"/>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27"/>
                    <a:stretch>
                      <a:fillRect/>
                    </a:stretch>
                  </pic:blipFill>
                  <pic:spPr>
                    <a:xfrm>
                      <a:off x="0" y="0"/>
                      <a:ext cx="4680000" cy="58216"/>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bookmarkStart w:id="52" w:name="_bookmark35"/>
      <w:bookmarkEnd w:id="52"/>
      <w:r>
        <w:rPr>
          <w:rFonts w:ascii="SimHei" w:hAnsi="SimHei" w:eastAsia="SimHei" w:cs="SimHei"/>
          <w:color w:val="1A67B3"/>
          <w:spacing w:val="39"/>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277" name="IM 277"/>
            <wp:cNvGraphicFramePr/>
            <a:graphic xmlns:a="http://schemas.openxmlformats.org/drawingml/2006/main">
              <a:graphicData uri="http://schemas.openxmlformats.org/drawingml/2006/picture">
                <pic:pic xmlns:pic="http://schemas.openxmlformats.org/drawingml/2006/picture">
                  <pic:nvPicPr>
                    <pic:cNvPr id="277" name="IM 277"/>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53</w:t>
      </w: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before="49" w:line="240" w:lineRule="exact"/>
        <w:ind w:left="2439"/>
        <w:rPr>
          <w:rFonts w:ascii="Arial" w:hAnsi="Arial" w:eastAsia="Arial" w:cs="Arial"/>
          <w:sz w:val="17"/>
          <w:szCs w:val="17"/>
        </w:rPr>
      </w:pPr>
      <w:r>
        <w:rPr>
          <w:rFonts w:ascii="Arial" w:hAnsi="Arial" w:eastAsia="Arial" w:cs="Arial"/>
          <w:color w:val="231F20"/>
          <w:position w:val="1"/>
          <w:sz w:val="17"/>
          <w:szCs w:val="17"/>
        </w:rPr>
        <w:t>%</w:t>
      </w:r>
    </w:p>
    <w:p>
      <w:pPr>
        <w:spacing w:line="116" w:lineRule="exact"/>
      </w:pPr>
    </w:p>
    <w:tbl>
      <w:tblPr>
        <w:tblStyle w:val="4"/>
        <w:tblW w:w="7116" w:type="dxa"/>
        <w:tblInd w:w="2679"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518"/>
        <w:gridCol w:w="1299"/>
        <w:gridCol w:w="1292"/>
        <w:gridCol w:w="1265"/>
        <w:gridCol w:w="1742"/>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94" w:hRule="atLeast"/>
        </w:trPr>
        <w:tc>
          <w:tcPr>
            <w:tcW w:w="1518" w:type="dxa"/>
            <w:tcBorders>
              <w:top w:val="dashed" w:color="CEE6ED" w:sz="2" w:space="0"/>
              <w:bottom w:val="dashed" w:color="CEE6ED" w:sz="2" w:space="0"/>
            </w:tcBorders>
            <w:vAlign w:val="top"/>
          </w:tcPr>
          <w:p>
            <w:pPr>
              <w:spacing w:line="268" w:lineRule="auto"/>
              <w:rPr>
                <w:rFonts w:ascii="Arial"/>
                <w:sz w:val="21"/>
              </w:rPr>
            </w:pPr>
          </w:p>
          <w:p>
            <w:pPr>
              <w:spacing w:before="73" w:line="151" w:lineRule="exact"/>
              <w:ind w:left="672"/>
              <w:rPr>
                <w:rFonts w:ascii="微软雅黑" w:hAnsi="微软雅黑" w:eastAsia="微软雅黑" w:cs="微软雅黑"/>
                <w:sz w:val="17"/>
                <w:szCs w:val="17"/>
              </w:rPr>
            </w:pPr>
            <w:r>
              <w:pict>
                <v:shape id="_x0000_s1374" o:spid="_x0000_s1374" style="position:absolute;left:0pt;margin-left:39.05pt;margin-top:0.2pt;height:15.35pt;width:195.05pt;z-index:252037120;mso-width-relative:page;mso-height-relative:page;" filled="f" stroked="t" coordsize="3901,307" path="m2,286l1318,104m1305,104l2611,206m2582,195l3897,19e">
                  <v:fill on="f" focussize="0,0"/>
                  <v:stroke weight="2pt" color="#92B165" miterlimit="4" joinstyle="miter"/>
                  <v:imagedata o:title=""/>
                  <o:lock v:ext="edit"/>
                </v:shape>
              </w:pict>
            </w:r>
            <w:r>
              <w:rPr>
                <w:rFonts w:ascii="微软雅黑" w:hAnsi="微软雅黑" w:eastAsia="微软雅黑" w:cs="微软雅黑"/>
                <w:color w:val="231F20"/>
                <w:spacing w:val="-1"/>
                <w:position w:val="-2"/>
                <w:sz w:val="17"/>
                <w:szCs w:val="17"/>
              </w:rPr>
              <w:t xml:space="preserve">9 </w:t>
            </w:r>
            <w:r>
              <w:rPr>
                <w:rFonts w:ascii="微软雅黑" w:hAnsi="微软雅黑" w:eastAsia="微软雅黑" w:cs="微软雅黑"/>
                <w:color w:val="231F20"/>
                <w:position w:val="-2"/>
                <w:sz w:val="17"/>
                <w:szCs w:val="17"/>
              </w:rPr>
              <w:t>6%</w:t>
            </w:r>
          </w:p>
        </w:tc>
        <w:tc>
          <w:tcPr>
            <w:tcW w:w="1299" w:type="dxa"/>
            <w:tcBorders>
              <w:top w:val="dashed" w:color="CEE6ED" w:sz="2" w:space="0"/>
              <w:bottom w:val="dashed" w:color="CEE6ED" w:sz="2" w:space="0"/>
            </w:tcBorders>
            <w:vAlign w:val="top"/>
          </w:tcPr>
          <w:p>
            <w:pPr>
              <w:spacing w:before="151" w:line="176" w:lineRule="auto"/>
              <w:ind w:left="404"/>
              <w:rPr>
                <w:rFonts w:ascii="微软雅黑" w:hAnsi="微软雅黑" w:eastAsia="微软雅黑" w:cs="微软雅黑"/>
                <w:sz w:val="17"/>
                <w:szCs w:val="17"/>
              </w:rPr>
            </w:pPr>
            <w:r>
              <w:drawing>
                <wp:anchor distT="0" distB="0" distL="0" distR="0" simplePos="0" relativeHeight="252039168" behindDoc="0" locked="0" layoutInCell="1" allowOverlap="1">
                  <wp:simplePos x="0" y="0"/>
                  <wp:positionH relativeFrom="rightMargin">
                    <wp:posOffset>-500380</wp:posOffset>
                  </wp:positionH>
                  <wp:positionV relativeFrom="topMargin">
                    <wp:posOffset>202565</wp:posOffset>
                  </wp:positionV>
                  <wp:extent cx="64770" cy="64770"/>
                  <wp:effectExtent l="0" t="0" r="0" b="0"/>
                  <wp:wrapNone/>
                  <wp:docPr id="279" name="IM 279"/>
                  <wp:cNvGraphicFramePr/>
                  <a:graphic xmlns:a="http://schemas.openxmlformats.org/drawingml/2006/main">
                    <a:graphicData uri="http://schemas.openxmlformats.org/drawingml/2006/picture">
                      <pic:pic xmlns:pic="http://schemas.openxmlformats.org/drawingml/2006/picture">
                        <pic:nvPicPr>
                          <pic:cNvPr id="279" name="IM 279"/>
                          <pic:cNvPicPr/>
                        </pic:nvPicPr>
                        <pic:blipFill>
                          <a:blip r:embed="rId128"/>
                          <a:stretch>
                            <a:fillRect/>
                          </a:stretch>
                        </pic:blipFill>
                        <pic:spPr>
                          <a:xfrm>
                            <a:off x="0" y="0"/>
                            <a:ext cx="64795" cy="64820"/>
                          </a:xfrm>
                          <a:prstGeom prst="rect">
                            <a:avLst/>
                          </a:prstGeom>
                        </pic:spPr>
                      </pic:pic>
                    </a:graphicData>
                  </a:graphic>
                </wp:anchor>
              </w:drawing>
            </w:r>
            <w:r>
              <w:rPr>
                <w:rFonts w:ascii="微软雅黑" w:hAnsi="微软雅黑" w:eastAsia="微软雅黑" w:cs="微软雅黑"/>
                <w:color w:val="231F20"/>
                <w:spacing w:val="1"/>
                <w:sz w:val="17"/>
                <w:szCs w:val="17"/>
              </w:rPr>
              <w:t>10.5%</w:t>
            </w:r>
          </w:p>
        </w:tc>
        <w:tc>
          <w:tcPr>
            <w:tcW w:w="1292" w:type="dxa"/>
            <w:tcBorders>
              <w:top w:val="dashed" w:color="CEE6ED" w:sz="2" w:space="0"/>
              <w:bottom w:val="dashed" w:color="CEE6ED" w:sz="2" w:space="0"/>
            </w:tcBorders>
            <w:vAlign w:val="top"/>
          </w:tcPr>
          <w:p>
            <w:pPr>
              <w:rPr>
                <w:rFonts w:ascii="Arial"/>
                <w:sz w:val="21"/>
              </w:rPr>
            </w:pPr>
            <w:r>
              <w:drawing>
                <wp:anchor distT="0" distB="0" distL="0" distR="0" simplePos="0" relativeHeight="252038144" behindDoc="0" locked="0" layoutInCell="1" allowOverlap="1">
                  <wp:simplePos x="0" y="0"/>
                  <wp:positionH relativeFrom="rightMargin">
                    <wp:posOffset>-474980</wp:posOffset>
                  </wp:positionH>
                  <wp:positionV relativeFrom="topMargin">
                    <wp:posOffset>267335</wp:posOffset>
                  </wp:positionV>
                  <wp:extent cx="64770" cy="64770"/>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29"/>
                          <a:stretch>
                            <a:fillRect/>
                          </a:stretch>
                        </pic:blipFill>
                        <pic:spPr>
                          <a:xfrm>
                            <a:off x="0" y="0"/>
                            <a:ext cx="64795" cy="64820"/>
                          </a:xfrm>
                          <a:prstGeom prst="rect">
                            <a:avLst/>
                          </a:prstGeom>
                        </pic:spPr>
                      </pic:pic>
                    </a:graphicData>
                  </a:graphic>
                </wp:anchor>
              </w:drawing>
            </w:r>
            <w:r>
              <w:pict>
                <v:shape id="_x0000_s1375" o:spid="_x0000_s1375" o:spt="202" type="#_x0000_t202" style="position:absolute;left:0pt;margin-left:19.5pt;margin-top:12.1pt;height:12.75pt;width:26.7pt;mso-position-horizontal-relative:page;mso-position-vertical-relative:page;z-index:252041216;mso-width-relative:page;mso-height-relative:page;" filled="f" stroked="f" coordsize="21600,21600">
                  <v:path/>
                  <v:fill on="f" focussize="0,0"/>
                  <v:stroke on="f"/>
                  <v:imagedata o:title=""/>
                  <o:lock v:ext="edit" aspectratio="f"/>
                  <v:textbox inset="0mm,0mm,0mm,0mm">
                    <w:txbxContent>
                      <w:p>
                        <w:pPr>
                          <w:spacing w:before="20" w:line="176" w:lineRule="auto"/>
                          <w:ind w:left="20"/>
                          <w:rPr>
                            <w:rFonts w:ascii="微软雅黑" w:hAnsi="微软雅黑" w:eastAsia="微软雅黑" w:cs="微软雅黑"/>
                            <w:sz w:val="17"/>
                            <w:szCs w:val="17"/>
                          </w:rPr>
                        </w:pPr>
                        <w:r>
                          <w:rPr>
                            <w:rFonts w:ascii="微软雅黑" w:hAnsi="微软雅黑" w:eastAsia="微软雅黑" w:cs="微软雅黑"/>
                            <w:color w:val="231F20"/>
                            <w:spacing w:val="1"/>
                            <w:sz w:val="17"/>
                            <w:szCs w:val="17"/>
                          </w:rPr>
                          <w:t>10</w:t>
                        </w:r>
                        <w:r>
                          <w:rPr>
                            <w:rFonts w:ascii="微软雅黑" w:hAnsi="微软雅黑" w:eastAsia="微软雅黑" w:cs="微软雅黑"/>
                            <w:color w:val="231F20"/>
                            <w:sz w:val="17"/>
                            <w:szCs w:val="17"/>
                          </w:rPr>
                          <w:t>.0%</w:t>
                        </w:r>
                      </w:p>
                    </w:txbxContent>
                  </v:textbox>
                </v:shape>
              </w:pict>
            </w:r>
          </w:p>
        </w:tc>
        <w:tc>
          <w:tcPr>
            <w:tcW w:w="1265" w:type="dxa"/>
            <w:tcBorders>
              <w:top w:val="dashed" w:color="CEE6ED" w:sz="2" w:space="0"/>
              <w:bottom w:val="dashed" w:color="CEE6ED" w:sz="2" w:space="0"/>
            </w:tcBorders>
            <w:vAlign w:val="top"/>
          </w:tcPr>
          <w:p>
            <w:pPr>
              <w:spacing w:before="80" w:line="176" w:lineRule="auto"/>
              <w:ind w:left="364"/>
              <w:rPr>
                <w:rFonts w:ascii="微软雅黑" w:hAnsi="微软雅黑" w:eastAsia="微软雅黑" w:cs="微软雅黑"/>
                <w:sz w:val="17"/>
                <w:szCs w:val="17"/>
              </w:rPr>
            </w:pPr>
            <w:r>
              <w:pict>
                <v:shape id="_x0000_s1376" o:spid="_x0000_s1376" style="position:absolute;left:0pt;margin-left:27.2pt;margin-top:10.55pt;height:5.4pt;width:65.2pt;z-index:252034048;mso-width-relative:page;mso-height-relative:page;" filled="f" stroked="t" coordsize="1303,108" path="m1,87l1302,19e">
                  <v:fill on="f" focussize="0,0"/>
                  <v:stroke weight="2pt" color="#92B165" miterlimit="4" joinstyle="miter"/>
                  <v:imagedata o:title=""/>
                  <o:lock v:ext="edit"/>
                </v:shape>
              </w:pict>
            </w:r>
            <w:r>
              <w:drawing>
                <wp:anchor distT="0" distB="0" distL="0" distR="0" simplePos="0" relativeHeight="252040192" behindDoc="0" locked="0" layoutInCell="1" allowOverlap="1">
                  <wp:simplePos x="0" y="0"/>
                  <wp:positionH relativeFrom="rightMargin">
                    <wp:posOffset>-485775</wp:posOffset>
                  </wp:positionH>
                  <wp:positionV relativeFrom="topMargin">
                    <wp:posOffset>151765</wp:posOffset>
                  </wp:positionV>
                  <wp:extent cx="64770" cy="64770"/>
                  <wp:effectExtent l="0" t="0" r="0" b="0"/>
                  <wp:wrapNone/>
                  <wp:docPr id="281" name="IM 281"/>
                  <wp:cNvGraphicFramePr/>
                  <a:graphic xmlns:a="http://schemas.openxmlformats.org/drawingml/2006/main">
                    <a:graphicData uri="http://schemas.openxmlformats.org/drawingml/2006/picture">
                      <pic:pic xmlns:pic="http://schemas.openxmlformats.org/drawingml/2006/picture">
                        <pic:nvPicPr>
                          <pic:cNvPr id="281" name="IM 281"/>
                          <pic:cNvPicPr/>
                        </pic:nvPicPr>
                        <pic:blipFill>
                          <a:blip r:embed="rId130"/>
                          <a:stretch>
                            <a:fillRect/>
                          </a:stretch>
                        </pic:blipFill>
                        <pic:spPr>
                          <a:xfrm>
                            <a:off x="0" y="0"/>
                            <a:ext cx="64795" cy="64820"/>
                          </a:xfrm>
                          <a:prstGeom prst="rect">
                            <a:avLst/>
                          </a:prstGeom>
                        </pic:spPr>
                      </pic:pic>
                    </a:graphicData>
                  </a:graphic>
                </wp:anchor>
              </w:drawing>
            </w:r>
            <w:r>
              <w:rPr>
                <w:rFonts w:ascii="微软雅黑" w:hAnsi="微软雅黑" w:eastAsia="微软雅黑" w:cs="微软雅黑"/>
                <w:color w:val="231F20"/>
                <w:spacing w:val="1"/>
                <w:sz w:val="17"/>
                <w:szCs w:val="17"/>
              </w:rPr>
              <w:t>10</w:t>
            </w:r>
            <w:r>
              <w:rPr>
                <w:rFonts w:ascii="微软雅黑" w:hAnsi="微软雅黑" w:eastAsia="微软雅黑" w:cs="微软雅黑"/>
                <w:color w:val="231F20"/>
                <w:sz w:val="17"/>
                <w:szCs w:val="17"/>
              </w:rPr>
              <w:t>.8%</w:t>
            </w:r>
          </w:p>
        </w:tc>
        <w:tc>
          <w:tcPr>
            <w:tcW w:w="1742" w:type="dxa"/>
            <w:tcBorders>
              <w:top w:val="dashed" w:color="CEE6ED" w:sz="2" w:space="0"/>
              <w:bottom w:val="dashed" w:color="CEE6ED" w:sz="2" w:space="0"/>
            </w:tcBorders>
            <w:vAlign w:val="top"/>
          </w:tcPr>
          <w:p>
            <w:pPr>
              <w:spacing w:before="2" w:line="178" w:lineRule="auto"/>
              <w:ind w:left="410"/>
              <w:rPr>
                <w:rFonts w:ascii="微软雅黑" w:hAnsi="微软雅黑" w:eastAsia="微软雅黑" w:cs="微软雅黑"/>
                <w:sz w:val="17"/>
                <w:szCs w:val="17"/>
              </w:rPr>
            </w:pPr>
            <w:r>
              <w:drawing>
                <wp:anchor distT="0" distB="0" distL="0" distR="0" simplePos="0" relativeHeight="252035072" behindDoc="0" locked="0" layoutInCell="1" allowOverlap="1">
                  <wp:simplePos x="0" y="0"/>
                  <wp:positionH relativeFrom="rightMargin">
                    <wp:posOffset>-778510</wp:posOffset>
                  </wp:positionH>
                  <wp:positionV relativeFrom="topMargin">
                    <wp:posOffset>108585</wp:posOffset>
                  </wp:positionV>
                  <wp:extent cx="64770" cy="6477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31"/>
                          <a:stretch>
                            <a:fillRect/>
                          </a:stretch>
                        </pic:blipFill>
                        <pic:spPr>
                          <a:xfrm>
                            <a:off x="0" y="0"/>
                            <a:ext cx="64795" cy="64820"/>
                          </a:xfrm>
                          <a:prstGeom prst="rect">
                            <a:avLst/>
                          </a:prstGeom>
                        </pic:spPr>
                      </pic:pic>
                    </a:graphicData>
                  </a:graphic>
                </wp:anchor>
              </w:drawing>
            </w:r>
            <w:r>
              <w:rPr>
                <w:rFonts w:ascii="微软雅黑" w:hAnsi="微软雅黑" w:eastAsia="微软雅黑" w:cs="微软雅黑"/>
                <w:color w:val="231F20"/>
                <w:spacing w:val="1"/>
                <w:sz w:val="17"/>
                <w:szCs w:val="17"/>
              </w:rPr>
              <w:t>11</w:t>
            </w:r>
            <w:r>
              <w:rPr>
                <w:rFonts w:ascii="微软雅黑" w:hAnsi="微软雅黑" w:eastAsia="微软雅黑" w:cs="微软雅黑"/>
                <w:color w:val="231F20"/>
                <w:sz w:val="17"/>
                <w:szCs w:val="17"/>
              </w:rPr>
              <w:t>.2%</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33" w:hRule="atLeast"/>
        </w:trPr>
        <w:tc>
          <w:tcPr>
            <w:tcW w:w="1518" w:type="dxa"/>
            <w:tcBorders>
              <w:top w:val="dashed" w:color="CEE6ED" w:sz="2" w:space="0"/>
              <w:bottom w:val="dashed" w:color="CEE6ED" w:sz="2" w:space="0"/>
            </w:tcBorders>
            <w:vAlign w:val="top"/>
          </w:tcPr>
          <w:p>
            <w:pPr>
              <w:rPr>
                <w:rFonts w:ascii="Arial"/>
                <w:sz w:val="21"/>
              </w:rPr>
            </w:pPr>
            <w:r>
              <w:pict>
                <v:rect id="_x0000_s1377" o:spid="_x0000_s1377" o:spt="1" style="position:absolute;left:0pt;margin-left:37.7pt;margin-top:11.1pt;height:5.15pt;width:5.15pt;mso-position-horizontal-relative:page;mso-position-vertical-relative:page;z-index:252046336;mso-width-relative:page;mso-height-relative:page;" fillcolor="#5493C7" filled="t" stroked="f" coordsize="21600,21600">
                  <v:path/>
                  <v:fill on="t" focussize="0,0"/>
                  <v:stroke on="f"/>
                  <v:imagedata o:title=""/>
                  <o:lock v:ext="edit"/>
                </v:rect>
              </w:pict>
            </w:r>
            <w:r>
              <w:pict>
                <v:rect id="_x0000_s1378" o:spid="_x0000_s1378" o:spt="1" style="position:absolute;left:0pt;margin-left:37.4pt;margin-top:1.15pt;height:5.15pt;width:5.15pt;mso-position-horizontal-relative:page;mso-position-vertical-relative:page;z-index:252047360;mso-width-relative:page;mso-height-relative:page;" fillcolor="#92B165" filled="t" stroked="f" coordsize="21600,21600">
                  <v:path/>
                  <v:fill on="t" focussize="0,0"/>
                  <v:stroke on="f"/>
                  <v:imagedata o:title=""/>
                  <o:lock v:ext="edit"/>
                </v:rect>
              </w:pict>
            </w:r>
          </w:p>
        </w:tc>
        <w:tc>
          <w:tcPr>
            <w:tcW w:w="1299" w:type="dxa"/>
            <w:tcBorders>
              <w:top w:val="dashed" w:color="CEE6ED" w:sz="2" w:space="0"/>
              <w:bottom w:val="dashed" w:color="CEE6ED" w:sz="2" w:space="0"/>
            </w:tcBorders>
            <w:vAlign w:val="top"/>
          </w:tcPr>
          <w:p>
            <w:pPr>
              <w:spacing w:line="289" w:lineRule="auto"/>
              <w:rPr>
                <w:rFonts w:ascii="Arial"/>
                <w:sz w:val="21"/>
              </w:rPr>
            </w:pPr>
          </w:p>
          <w:p>
            <w:pPr>
              <w:spacing w:line="102" w:lineRule="exact"/>
              <w:ind w:firstLine="522"/>
              <w:textAlignment w:val="center"/>
            </w:pPr>
            <w:r>
              <w:drawing>
                <wp:inline distT="0" distB="0" distL="0" distR="0">
                  <wp:extent cx="64770" cy="64770"/>
                  <wp:effectExtent l="0" t="0" r="0" b="0"/>
                  <wp:docPr id="283" name="IM 283"/>
                  <wp:cNvGraphicFramePr/>
                  <a:graphic xmlns:a="http://schemas.openxmlformats.org/drawingml/2006/main">
                    <a:graphicData uri="http://schemas.openxmlformats.org/drawingml/2006/picture">
                      <pic:pic xmlns:pic="http://schemas.openxmlformats.org/drawingml/2006/picture">
                        <pic:nvPicPr>
                          <pic:cNvPr id="283" name="IM 283"/>
                          <pic:cNvPicPr/>
                        </pic:nvPicPr>
                        <pic:blipFill>
                          <a:blip r:embed="rId132"/>
                          <a:stretch>
                            <a:fillRect/>
                          </a:stretch>
                        </pic:blipFill>
                        <pic:spPr>
                          <a:xfrm>
                            <a:off x="0" y="0"/>
                            <a:ext cx="64795" cy="64820"/>
                          </a:xfrm>
                          <a:prstGeom prst="rect">
                            <a:avLst/>
                          </a:prstGeom>
                        </pic:spPr>
                      </pic:pic>
                    </a:graphicData>
                  </a:graphic>
                </wp:inline>
              </w:drawing>
            </w:r>
          </w:p>
        </w:tc>
        <w:tc>
          <w:tcPr>
            <w:tcW w:w="1292" w:type="dxa"/>
            <w:tcBorders>
              <w:top w:val="dashed" w:color="CEE6ED" w:sz="2" w:space="0"/>
              <w:bottom w:val="dashed" w:color="CEE6ED" w:sz="2" w:space="0"/>
            </w:tcBorders>
            <w:vAlign w:val="top"/>
          </w:tcPr>
          <w:p>
            <w:pPr>
              <w:rPr>
                <w:rFonts w:ascii="Arial"/>
                <w:sz w:val="21"/>
              </w:rPr>
            </w:pPr>
            <w:r>
              <w:drawing>
                <wp:anchor distT="0" distB="0" distL="0" distR="0" simplePos="0" relativeHeight="252044288" behindDoc="0" locked="0" layoutInCell="1" allowOverlap="1">
                  <wp:simplePos x="0" y="0"/>
                  <wp:positionH relativeFrom="rightMargin">
                    <wp:posOffset>-453390</wp:posOffset>
                  </wp:positionH>
                  <wp:positionV relativeFrom="topMargin">
                    <wp:posOffset>186055</wp:posOffset>
                  </wp:positionV>
                  <wp:extent cx="64770" cy="6477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33"/>
                          <a:stretch>
                            <a:fillRect/>
                          </a:stretch>
                        </pic:blipFill>
                        <pic:spPr>
                          <a:xfrm>
                            <a:off x="0" y="0"/>
                            <a:ext cx="64795" cy="64820"/>
                          </a:xfrm>
                          <a:prstGeom prst="rect">
                            <a:avLst/>
                          </a:prstGeom>
                        </pic:spPr>
                      </pic:pic>
                    </a:graphicData>
                  </a:graphic>
                </wp:anchor>
              </w:drawing>
            </w:r>
          </w:p>
        </w:tc>
        <w:tc>
          <w:tcPr>
            <w:tcW w:w="1265" w:type="dxa"/>
            <w:tcBorders>
              <w:top w:val="dashed" w:color="CEE6ED" w:sz="2" w:space="0"/>
              <w:bottom w:val="dashed" w:color="CEE6ED" w:sz="2" w:space="0"/>
            </w:tcBorders>
            <w:vAlign w:val="top"/>
          </w:tcPr>
          <w:p>
            <w:pPr>
              <w:spacing w:before="227" w:line="169" w:lineRule="auto"/>
              <w:ind w:left="462"/>
              <w:rPr>
                <w:rFonts w:ascii="微软雅黑" w:hAnsi="微软雅黑" w:eastAsia="微软雅黑" w:cs="微软雅黑"/>
                <w:sz w:val="17"/>
                <w:szCs w:val="17"/>
              </w:rPr>
            </w:pPr>
            <w:r>
              <w:pict>
                <v:shape id="_x0000_s1379" o:spid="_x0000_s1379" style="position:absolute;left:0pt;margin-left:-32.25pt;margin-top:7.15pt;height:11.5pt;width:124.45pt;z-index:252042240;mso-width-relative:page;mso-height-relative:page;" filled="f" stroked="t" coordsize="2488,230" path="m1186,19l2487,104m2,209l1210,31e">
                  <v:fill on="f" focussize="0,0"/>
                  <v:stroke weight="2pt" color="#5493C7" miterlimit="4" joinstyle="miter"/>
                  <v:imagedata o:title=""/>
                  <o:lock v:ext="edit"/>
                </v:shape>
              </w:pict>
            </w:r>
            <w:r>
              <w:drawing>
                <wp:anchor distT="0" distB="0" distL="0" distR="0" simplePos="0" relativeHeight="252045312" behindDoc="0" locked="0" layoutInCell="1" allowOverlap="1">
                  <wp:simplePos x="0" y="0"/>
                  <wp:positionH relativeFrom="rightMargin">
                    <wp:posOffset>-489585</wp:posOffset>
                  </wp:positionH>
                  <wp:positionV relativeFrom="topMargin">
                    <wp:posOffset>65405</wp:posOffset>
                  </wp:positionV>
                  <wp:extent cx="64770" cy="64770"/>
                  <wp:effectExtent l="0" t="0" r="0" b="0"/>
                  <wp:wrapNone/>
                  <wp:docPr id="285" name="IM 285"/>
                  <wp:cNvGraphicFramePr/>
                  <a:graphic xmlns:a="http://schemas.openxmlformats.org/drawingml/2006/main">
                    <a:graphicData uri="http://schemas.openxmlformats.org/drawingml/2006/picture">
                      <pic:pic xmlns:pic="http://schemas.openxmlformats.org/drawingml/2006/picture">
                        <pic:nvPicPr>
                          <pic:cNvPr id="285" name="IM 285"/>
                          <pic:cNvPicPr/>
                        </pic:nvPicPr>
                        <pic:blipFill>
                          <a:blip r:embed="rId134"/>
                          <a:stretch>
                            <a:fillRect/>
                          </a:stretch>
                        </pic:blipFill>
                        <pic:spPr>
                          <a:xfrm>
                            <a:off x="0" y="0"/>
                            <a:ext cx="64795" cy="64820"/>
                          </a:xfrm>
                          <a:prstGeom prst="rect">
                            <a:avLst/>
                          </a:prstGeom>
                        </pic:spPr>
                      </pic:pic>
                    </a:graphicData>
                  </a:graphic>
                </wp:anchor>
              </w:drawing>
            </w:r>
            <w:r>
              <w:rPr>
                <w:rFonts w:ascii="微软雅黑" w:hAnsi="微软雅黑" w:eastAsia="微软雅黑" w:cs="微软雅黑"/>
                <w:color w:val="231F20"/>
                <w:spacing w:val="2"/>
                <w:sz w:val="17"/>
                <w:szCs w:val="17"/>
              </w:rPr>
              <w:t>9.2%</w:t>
            </w:r>
          </w:p>
        </w:tc>
        <w:tc>
          <w:tcPr>
            <w:tcW w:w="1742" w:type="dxa"/>
            <w:tcBorders>
              <w:top w:val="dashed" w:color="CEE6ED" w:sz="2" w:space="0"/>
              <w:bottom w:val="dashed" w:color="CEE6ED" w:sz="2" w:space="0"/>
            </w:tcBorders>
            <w:vAlign w:val="top"/>
          </w:tcPr>
          <w:p>
            <w:pPr>
              <w:spacing w:before="283" w:line="150" w:lineRule="exact"/>
              <w:ind w:left="472"/>
              <w:rPr>
                <w:rFonts w:ascii="微软雅黑" w:hAnsi="微软雅黑" w:eastAsia="微软雅黑" w:cs="微软雅黑"/>
                <w:sz w:val="17"/>
                <w:szCs w:val="17"/>
              </w:rPr>
            </w:pPr>
            <w:r>
              <w:pict>
                <v:rect id="_x0000_s1380" o:spid="_x0000_s1380" o:spt="1" style="position:absolute;left:0pt;margin-left:25.8pt;margin-top:9.4pt;height:5.15pt;width:5.15pt;mso-position-horizontal-relative:page;mso-position-vertical-relative:page;z-index:252043264;mso-width-relative:page;mso-height-relative:page;" fillcolor="#5493C7" filled="t" stroked="f" coordsize="21600,21600">
                  <v:path/>
                  <v:fill on="t" focussize="0,0"/>
                  <v:stroke on="f"/>
                  <v:imagedata o:title=""/>
                  <o:lock v:ext="edit"/>
                </v:rect>
              </w:pict>
            </w:r>
            <w:r>
              <w:rPr>
                <w:rFonts w:ascii="微软雅黑" w:hAnsi="微软雅黑" w:eastAsia="微软雅黑" w:cs="微软雅黑"/>
                <w:color w:val="231F20"/>
                <w:spacing w:val="-1"/>
                <w:position w:val="-2"/>
                <w:sz w:val="17"/>
                <w:szCs w:val="17"/>
              </w:rPr>
              <w:t xml:space="preserve">8 </w:t>
            </w:r>
            <w:r>
              <w:rPr>
                <w:rFonts w:ascii="微软雅黑" w:hAnsi="微软雅黑" w:eastAsia="微软雅黑" w:cs="微软雅黑"/>
                <w:color w:val="231F20"/>
                <w:position w:val="-2"/>
                <w:sz w:val="17"/>
                <w:szCs w:val="17"/>
              </w:rPr>
              <w:t>9%</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52" w:hRule="atLeast"/>
        </w:trPr>
        <w:tc>
          <w:tcPr>
            <w:tcW w:w="1518" w:type="dxa"/>
            <w:tcBorders>
              <w:top w:val="dashed" w:color="CEE6ED" w:sz="2" w:space="0"/>
              <w:bottom w:val="dashed" w:color="CEE6ED" w:sz="2" w:space="0"/>
            </w:tcBorders>
            <w:vAlign w:val="top"/>
          </w:tcPr>
          <w:p>
            <w:pPr>
              <w:rPr>
                <w:rFonts w:ascii="Arial"/>
                <w:sz w:val="21"/>
              </w:rPr>
            </w:pPr>
          </w:p>
        </w:tc>
        <w:tc>
          <w:tcPr>
            <w:tcW w:w="1299" w:type="dxa"/>
            <w:tcBorders>
              <w:top w:val="dashed" w:color="CEE6ED" w:sz="2" w:space="0"/>
              <w:bottom w:val="dashed" w:color="CEE6ED" w:sz="2" w:space="0"/>
            </w:tcBorders>
            <w:vAlign w:val="top"/>
          </w:tcPr>
          <w:p>
            <w:pPr>
              <w:spacing w:line="176" w:lineRule="auto"/>
              <w:ind w:left="445"/>
              <w:rPr>
                <w:rFonts w:ascii="微软雅黑" w:hAnsi="微软雅黑" w:eastAsia="微软雅黑" w:cs="微软雅黑"/>
                <w:sz w:val="11"/>
                <w:szCs w:val="11"/>
              </w:rPr>
            </w:pPr>
            <w:r>
              <w:rPr>
                <w:rFonts w:ascii="微软雅黑" w:hAnsi="微软雅黑" w:eastAsia="微软雅黑" w:cs="微软雅黑"/>
                <w:color w:val="231F20"/>
                <w:spacing w:val="25"/>
                <w:sz w:val="11"/>
                <w:szCs w:val="11"/>
              </w:rPr>
              <w:t>8</w:t>
            </w:r>
            <w:r>
              <w:rPr>
                <w:rFonts w:ascii="微软雅黑" w:hAnsi="微软雅黑" w:eastAsia="微软雅黑" w:cs="微软雅黑"/>
                <w:color w:val="231F20"/>
                <w:spacing w:val="22"/>
                <w:sz w:val="11"/>
                <w:szCs w:val="11"/>
              </w:rPr>
              <w:t>. 3%</w:t>
            </w:r>
          </w:p>
        </w:tc>
        <w:tc>
          <w:tcPr>
            <w:tcW w:w="1292" w:type="dxa"/>
            <w:tcBorders>
              <w:top w:val="dashed" w:color="CEE6ED" w:sz="2" w:space="0"/>
              <w:bottom w:val="dashed" w:color="CEE6ED" w:sz="2" w:space="0"/>
            </w:tcBorders>
            <w:vAlign w:val="top"/>
          </w:tcPr>
          <w:p>
            <w:pPr>
              <w:spacing w:line="174" w:lineRule="auto"/>
              <w:ind w:left="535"/>
              <w:rPr>
                <w:rFonts w:ascii="微软雅黑" w:hAnsi="微软雅黑" w:eastAsia="微软雅黑" w:cs="微软雅黑"/>
                <w:sz w:val="13"/>
                <w:szCs w:val="13"/>
              </w:rPr>
            </w:pPr>
            <w:r>
              <w:rPr>
                <w:rFonts w:ascii="微软雅黑" w:hAnsi="微软雅黑" w:eastAsia="微软雅黑" w:cs="微软雅黑"/>
                <w:color w:val="231F20"/>
                <w:spacing w:val="25"/>
                <w:sz w:val="13"/>
                <w:szCs w:val="13"/>
              </w:rPr>
              <w:t>8.3%</w:t>
            </w:r>
          </w:p>
        </w:tc>
        <w:tc>
          <w:tcPr>
            <w:tcW w:w="1265" w:type="dxa"/>
            <w:tcBorders>
              <w:top w:val="dashed" w:color="CEE6ED" w:sz="2" w:space="0"/>
              <w:bottom w:val="dashed" w:color="CEE6ED" w:sz="2" w:space="0"/>
            </w:tcBorders>
            <w:vAlign w:val="top"/>
          </w:tcPr>
          <w:p>
            <w:pPr>
              <w:rPr>
                <w:rFonts w:ascii="Arial"/>
                <w:sz w:val="21"/>
              </w:rPr>
            </w:pPr>
          </w:p>
        </w:tc>
        <w:tc>
          <w:tcPr>
            <w:tcW w:w="1742" w:type="dxa"/>
            <w:tcBorders>
              <w:top w:val="dashed" w:color="CEE6ED" w:sz="2" w:space="0"/>
              <w:bottom w:val="dashed" w:color="CEE6ED" w:sz="2" w:space="0"/>
            </w:tcBorders>
            <w:vAlign w:val="top"/>
          </w:tcPr>
          <w:p>
            <w:pPr>
              <w:rPr>
                <w:rFonts w:ascii="Arial"/>
                <w:sz w:val="21"/>
              </w:rPr>
            </w:pPr>
          </w:p>
        </w:tc>
      </w:tr>
    </w:tbl>
    <w:p>
      <w:pPr>
        <w:spacing w:line="309" w:lineRule="auto"/>
        <w:rPr>
          <w:rFonts w:ascii="Arial"/>
          <w:sz w:val="21"/>
        </w:rPr>
      </w:pPr>
    </w:p>
    <w:p>
      <w:pPr>
        <w:spacing w:before="49" w:line="199" w:lineRule="auto"/>
        <w:ind w:left="2489"/>
        <w:rPr>
          <w:rFonts w:ascii="Arial" w:hAnsi="Arial" w:eastAsia="Arial" w:cs="Arial"/>
          <w:sz w:val="17"/>
          <w:szCs w:val="17"/>
        </w:rPr>
      </w:pPr>
      <w:r>
        <w:rPr>
          <w:rFonts w:ascii="Arial" w:hAnsi="Arial" w:eastAsia="Arial" w:cs="Arial"/>
          <w:color w:val="231F20"/>
          <w:spacing w:val="1"/>
          <w:sz w:val="17"/>
          <w:szCs w:val="17"/>
        </w:rPr>
        <w:t>4</w:t>
      </w:r>
      <w:r>
        <w:rPr>
          <w:rFonts w:ascii="Arial" w:hAnsi="Arial" w:eastAsia="Arial" w:cs="Arial"/>
          <w:strike/>
          <w:color w:val="231F20"/>
          <w:sz w:val="17"/>
          <w:szCs w:val="17"/>
        </w:rPr>
        <w:t xml:space="preserve"> </w:t>
      </w:r>
    </w:p>
    <w:p>
      <w:pPr>
        <w:spacing w:before="277" w:line="200" w:lineRule="auto"/>
        <w:ind w:left="2492"/>
        <w:rPr>
          <w:rFonts w:ascii="Arial" w:hAnsi="Arial" w:eastAsia="Arial" w:cs="Arial"/>
          <w:sz w:val="17"/>
          <w:szCs w:val="17"/>
        </w:rPr>
      </w:pPr>
      <w:r>
        <w:rPr>
          <w:rFonts w:ascii="Arial" w:hAnsi="Arial" w:eastAsia="Arial" w:cs="Arial"/>
          <w:color w:val="231F20"/>
          <w:spacing w:val="-2"/>
          <w:sz w:val="17"/>
          <w:szCs w:val="17"/>
        </w:rPr>
        <w:t>2</w:t>
      </w:r>
      <w:r>
        <w:rPr>
          <w:rFonts w:ascii="Arial" w:hAnsi="Arial" w:eastAsia="Arial" w:cs="Arial"/>
          <w:strike/>
          <w:color w:val="231F20"/>
          <w:sz w:val="17"/>
          <w:szCs w:val="17"/>
        </w:rPr>
        <w:t xml:space="preserve"> </w:t>
      </w:r>
    </w:p>
    <w:p>
      <w:pPr>
        <w:spacing w:before="278" w:line="199" w:lineRule="auto"/>
        <w:ind w:left="2494"/>
        <w:rPr>
          <w:rFonts w:ascii="Arial" w:hAnsi="Arial" w:eastAsia="Arial" w:cs="Arial"/>
          <w:sz w:val="17"/>
          <w:szCs w:val="17"/>
        </w:rPr>
      </w:pPr>
      <w:r>
        <w:rPr>
          <w:rFonts w:ascii="Arial" w:hAnsi="Arial" w:eastAsia="Arial" w:cs="Arial"/>
          <w:color w:val="231F20"/>
          <w:sz w:val="17"/>
          <w:szCs w:val="17"/>
        </w:rPr>
        <w:t>0</w:t>
      </w:r>
    </w:p>
    <w:p>
      <w:pPr>
        <w:spacing w:before="115" w:line="199" w:lineRule="auto"/>
        <w:ind w:left="3298"/>
        <w:rPr>
          <w:rFonts w:ascii="Arial" w:hAnsi="Arial" w:eastAsia="Arial" w:cs="Arial"/>
          <w:sz w:val="17"/>
          <w:szCs w:val="17"/>
        </w:rPr>
      </w:pPr>
      <w:r>
        <w:rPr>
          <w:rFonts w:ascii="Arial" w:hAnsi="Arial" w:eastAsia="Arial" w:cs="Arial"/>
          <w:color w:val="231F20"/>
          <w:spacing w:val="2"/>
          <w:sz w:val="17"/>
          <w:szCs w:val="17"/>
        </w:rPr>
        <w:t xml:space="preserve">2016                    2017                   </w:t>
      </w:r>
      <w:r>
        <w:rPr>
          <w:rFonts w:ascii="Arial" w:hAnsi="Arial" w:eastAsia="Arial" w:cs="Arial"/>
          <w:color w:val="231F20"/>
          <w:spacing w:val="1"/>
          <w:sz w:val="17"/>
          <w:szCs w:val="17"/>
        </w:rPr>
        <w:t xml:space="preserve">  2018                  2019              2020</w:t>
      </w:r>
    </w:p>
    <w:p>
      <w:pPr>
        <w:spacing w:before="224" w:line="226" w:lineRule="auto"/>
        <w:ind w:left="2854"/>
        <w:rPr>
          <w:rFonts w:ascii="宋体" w:hAnsi="宋体" w:eastAsia="宋体" w:cs="宋体"/>
          <w:sz w:val="17"/>
          <w:szCs w:val="17"/>
        </w:rPr>
      </w:pPr>
      <w:r>
        <w:rPr>
          <w:rFonts w:ascii="宋体" w:hAnsi="宋体" w:eastAsia="宋体" w:cs="宋体"/>
          <w:color w:val="231F20"/>
          <w:position w:val="1"/>
          <w:sz w:val="17"/>
          <w:szCs w:val="17"/>
        </w:rPr>
        <w:drawing>
          <wp:inline distT="0" distB="0" distL="0" distR="0">
            <wp:extent cx="186690" cy="6477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35"/>
                    <a:stretch>
                      <a:fillRect/>
                    </a:stretch>
                  </pic:blipFill>
                  <pic:spPr>
                    <a:xfrm>
                      <a:off x="0" y="0"/>
                      <a:ext cx="187206" cy="64820"/>
                    </a:xfrm>
                    <a:prstGeom prst="rect">
                      <a:avLst/>
                    </a:prstGeom>
                  </pic:spPr>
                </pic:pic>
              </a:graphicData>
            </a:graphic>
          </wp:inline>
        </w:drawing>
      </w:r>
      <w:r>
        <w:rPr>
          <w:rFonts w:ascii="宋体" w:hAnsi="宋体" w:eastAsia="宋体" w:cs="宋体"/>
          <w:color w:val="231F20"/>
          <w:spacing w:val="10"/>
          <w:sz w:val="17"/>
          <w:szCs w:val="17"/>
        </w:rPr>
        <w:t xml:space="preserve"> 全国食</w:t>
      </w:r>
      <w:r>
        <w:rPr>
          <w:rFonts w:ascii="宋体" w:hAnsi="宋体" w:eastAsia="宋体" w:cs="宋体"/>
          <w:color w:val="231F20"/>
          <w:spacing w:val="9"/>
          <w:sz w:val="17"/>
          <w:szCs w:val="17"/>
        </w:rPr>
        <w:t>品</w:t>
      </w:r>
      <w:r>
        <w:rPr>
          <w:rFonts w:ascii="宋体" w:hAnsi="宋体" w:eastAsia="宋体" w:cs="宋体"/>
          <w:color w:val="231F20"/>
          <w:spacing w:val="5"/>
          <w:sz w:val="17"/>
          <w:szCs w:val="17"/>
        </w:rPr>
        <w:t xml:space="preserve">制作企业营收利润率      </w:t>
      </w:r>
      <w:r>
        <w:rPr>
          <w:sz w:val="17"/>
          <w:szCs w:val="17"/>
        </w:rPr>
        <w:drawing>
          <wp:inline distT="0" distB="0" distL="0" distR="0">
            <wp:extent cx="186690" cy="64770"/>
            <wp:effectExtent l="0" t="0" r="0" b="0"/>
            <wp:docPr id="287" name="IM 287"/>
            <wp:cNvGraphicFramePr/>
            <a:graphic xmlns:a="http://schemas.openxmlformats.org/drawingml/2006/main">
              <a:graphicData uri="http://schemas.openxmlformats.org/drawingml/2006/picture">
                <pic:pic xmlns:pic="http://schemas.openxmlformats.org/drawingml/2006/picture">
                  <pic:nvPicPr>
                    <pic:cNvPr id="287" name="IM 287"/>
                    <pic:cNvPicPr/>
                  </pic:nvPicPr>
                  <pic:blipFill>
                    <a:blip r:embed="rId136"/>
                    <a:stretch>
                      <a:fillRect/>
                    </a:stretch>
                  </pic:blipFill>
                  <pic:spPr>
                    <a:xfrm>
                      <a:off x="0" y="0"/>
                      <a:ext cx="187207" cy="64820"/>
                    </a:xfrm>
                    <a:prstGeom prst="rect">
                      <a:avLst/>
                    </a:prstGeom>
                  </pic:spPr>
                </pic:pic>
              </a:graphicData>
            </a:graphic>
          </wp:inline>
        </w:drawing>
      </w:r>
      <w:r>
        <w:rPr>
          <w:rFonts w:ascii="宋体" w:hAnsi="宋体" w:eastAsia="宋体" w:cs="宋体"/>
          <w:color w:val="231F20"/>
          <w:spacing w:val="5"/>
          <w:sz w:val="17"/>
          <w:szCs w:val="17"/>
        </w:rPr>
        <w:t xml:space="preserve"> 外资食品制作企业营收利润率</w:t>
      </w:r>
    </w:p>
    <w:p>
      <w:pPr>
        <w:spacing w:before="288" w:line="383" w:lineRule="exact"/>
        <w:ind w:left="3457"/>
        <w:rPr>
          <w:rFonts w:ascii="SimHei" w:hAnsi="SimHei" w:eastAsia="SimHei" w:cs="SimHei"/>
          <w:sz w:val="20"/>
          <w:szCs w:val="20"/>
        </w:rPr>
      </w:pPr>
      <w:r>
        <w:rPr>
          <w:rFonts w:ascii="SimHei" w:hAnsi="SimHei" w:eastAsia="SimHei" w:cs="SimHei"/>
          <w:color w:val="231F20"/>
          <w:spacing w:val="2"/>
          <w:position w:val="13"/>
          <w:sz w:val="20"/>
          <w:szCs w:val="20"/>
        </w:rPr>
        <w:t xml:space="preserve">图 </w:t>
      </w:r>
      <w:r>
        <w:rPr>
          <w:rFonts w:ascii="Times New Roman" w:hAnsi="Times New Roman" w:eastAsia="Times New Roman" w:cs="Times New Roman"/>
          <w:color w:val="231F20"/>
          <w:spacing w:val="2"/>
          <w:position w:val="13"/>
          <w:sz w:val="20"/>
          <w:szCs w:val="20"/>
        </w:rPr>
        <w:t xml:space="preserve">2- 12 2016-2020 </w:t>
      </w:r>
      <w:r>
        <w:rPr>
          <w:rFonts w:ascii="SimHei" w:hAnsi="SimHei" w:eastAsia="SimHei" w:cs="SimHei"/>
          <w:color w:val="231F20"/>
          <w:spacing w:val="2"/>
          <w:position w:val="13"/>
          <w:sz w:val="20"/>
          <w:szCs w:val="20"/>
        </w:rPr>
        <w:t>年规模以上食品制造企业营收利润率</w:t>
      </w:r>
      <w:r>
        <w:rPr>
          <w:rFonts w:ascii="SimHei" w:hAnsi="SimHei" w:eastAsia="SimHei" w:cs="SimHei"/>
          <w:color w:val="231F20"/>
          <w:position w:val="13"/>
          <w:sz w:val="20"/>
          <w:szCs w:val="20"/>
        </w:rPr>
        <w:t>情况</w:t>
      </w:r>
    </w:p>
    <w:p>
      <w:pPr>
        <w:spacing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52" w:line="227" w:lineRule="auto"/>
        <w:ind w:left="2287"/>
        <w:rPr>
          <w:rFonts w:ascii="宋体" w:hAnsi="宋体" w:eastAsia="宋体" w:cs="宋体"/>
          <w:sz w:val="16"/>
          <w:szCs w:val="16"/>
        </w:rPr>
      </w:pPr>
      <w:r>
        <w:rPr>
          <w:rFonts w:ascii="宋体" w:hAnsi="宋体" w:eastAsia="宋体" w:cs="宋体"/>
          <w:color w:val="030303"/>
          <w:spacing w:val="7"/>
          <w:sz w:val="16"/>
          <w:szCs w:val="16"/>
        </w:rPr>
        <w:t>万元/人</w:t>
      </w:r>
    </w:p>
    <w:p>
      <w:pPr>
        <w:spacing w:before="216" w:line="180" w:lineRule="auto"/>
        <w:ind w:left="2287"/>
        <w:rPr>
          <w:rFonts w:ascii="Calibri" w:hAnsi="Calibri" w:eastAsia="Calibri" w:cs="Calibri"/>
          <w:sz w:val="19"/>
          <w:szCs w:val="19"/>
        </w:rPr>
      </w:pPr>
      <w:r>
        <w:rPr>
          <w:rFonts w:ascii="Calibri" w:hAnsi="Calibri" w:eastAsia="Calibri" w:cs="Calibri"/>
          <w:color w:val="595C5D"/>
          <w:spacing w:val="-6"/>
          <w:sz w:val="19"/>
          <w:szCs w:val="19"/>
        </w:rPr>
        <w:t>1</w:t>
      </w:r>
      <w:r>
        <w:rPr>
          <w:rFonts w:ascii="Calibri" w:hAnsi="Calibri" w:eastAsia="Calibri" w:cs="Calibri"/>
          <w:color w:val="595C5D"/>
          <w:spacing w:val="-4"/>
          <w:sz w:val="19"/>
          <w:szCs w:val="19"/>
        </w:rPr>
        <w:t>60</w:t>
      </w:r>
      <w:r>
        <w:rPr>
          <w:rFonts w:ascii="Calibri" w:hAnsi="Calibri" w:eastAsia="Calibri" w:cs="Calibri"/>
          <w:color w:val="595C5D"/>
          <w:sz w:val="19"/>
          <w:szCs w:val="19"/>
        </w:rPr>
        <w:t xml:space="preserve">  </w:t>
      </w:r>
    </w:p>
    <w:p>
      <w:pPr>
        <w:spacing w:before="207" w:line="180" w:lineRule="auto"/>
        <w:ind w:left="2287"/>
        <w:rPr>
          <w:rFonts w:ascii="Calibri" w:hAnsi="Calibri" w:eastAsia="Calibri" w:cs="Calibri"/>
          <w:sz w:val="19"/>
          <w:szCs w:val="19"/>
        </w:rPr>
      </w:pPr>
      <w:r>
        <w:rPr>
          <w:rFonts w:ascii="Calibri" w:hAnsi="Calibri" w:eastAsia="Calibri" w:cs="Calibri"/>
          <w:color w:val="595C5D"/>
          <w:spacing w:val="-6"/>
          <w:sz w:val="19"/>
          <w:szCs w:val="19"/>
        </w:rPr>
        <w:t>1</w:t>
      </w:r>
      <w:r>
        <w:rPr>
          <w:rFonts w:ascii="Calibri" w:hAnsi="Calibri" w:eastAsia="Calibri" w:cs="Calibri"/>
          <w:color w:val="595C5D"/>
          <w:spacing w:val="-4"/>
          <w:sz w:val="19"/>
          <w:szCs w:val="19"/>
        </w:rPr>
        <w:t>40</w:t>
      </w:r>
      <w:r>
        <w:rPr>
          <w:rFonts w:ascii="Calibri" w:hAnsi="Calibri" w:eastAsia="Calibri" w:cs="Calibri"/>
          <w:color w:val="595C5D"/>
          <w:sz w:val="19"/>
          <w:szCs w:val="19"/>
        </w:rPr>
        <w:t xml:space="preserve">  </w:t>
      </w:r>
    </w:p>
    <w:p>
      <w:pPr>
        <w:spacing w:before="208" w:line="180" w:lineRule="auto"/>
        <w:ind w:left="2287"/>
        <w:rPr>
          <w:rFonts w:ascii="Calibri" w:hAnsi="Calibri" w:eastAsia="Calibri" w:cs="Calibri"/>
          <w:sz w:val="19"/>
          <w:szCs w:val="19"/>
        </w:rPr>
      </w:pPr>
      <w:r>
        <w:rPr>
          <w:rFonts w:ascii="Calibri" w:hAnsi="Calibri" w:eastAsia="Calibri" w:cs="Calibri"/>
          <w:color w:val="595C5D"/>
          <w:spacing w:val="-6"/>
          <w:sz w:val="19"/>
          <w:szCs w:val="19"/>
        </w:rPr>
        <w:t>1</w:t>
      </w:r>
      <w:r>
        <w:rPr>
          <w:rFonts w:ascii="Calibri" w:hAnsi="Calibri" w:eastAsia="Calibri" w:cs="Calibri"/>
          <w:color w:val="595C5D"/>
          <w:spacing w:val="-4"/>
          <w:sz w:val="19"/>
          <w:szCs w:val="19"/>
        </w:rPr>
        <w:t>20</w:t>
      </w:r>
      <w:r>
        <w:rPr>
          <w:rFonts w:ascii="Calibri" w:hAnsi="Calibri" w:eastAsia="Calibri" w:cs="Calibri"/>
          <w:color w:val="595C5D"/>
          <w:sz w:val="19"/>
          <w:szCs w:val="19"/>
        </w:rPr>
        <w:t xml:space="preserve">  </w:t>
      </w:r>
    </w:p>
    <w:p>
      <w:pPr>
        <w:spacing w:before="208" w:line="180" w:lineRule="auto"/>
        <w:ind w:left="2287"/>
        <w:rPr>
          <w:rFonts w:ascii="Calibri" w:hAnsi="Calibri" w:eastAsia="Calibri" w:cs="Calibri"/>
          <w:sz w:val="19"/>
          <w:szCs w:val="19"/>
        </w:rPr>
      </w:pPr>
      <w:r>
        <w:rPr>
          <w:rFonts w:ascii="Calibri" w:hAnsi="Calibri" w:eastAsia="Calibri" w:cs="Calibri"/>
          <w:color w:val="595C5D"/>
          <w:spacing w:val="-6"/>
          <w:sz w:val="19"/>
          <w:szCs w:val="19"/>
        </w:rPr>
        <w:t>1</w:t>
      </w:r>
      <w:r>
        <w:rPr>
          <w:rFonts w:ascii="Calibri" w:hAnsi="Calibri" w:eastAsia="Calibri" w:cs="Calibri"/>
          <w:color w:val="595C5D"/>
          <w:spacing w:val="-4"/>
          <w:sz w:val="19"/>
          <w:szCs w:val="19"/>
        </w:rPr>
        <w:t>00</w:t>
      </w:r>
      <w:r>
        <w:rPr>
          <w:rFonts w:ascii="Calibri" w:hAnsi="Calibri" w:eastAsia="Calibri" w:cs="Calibri"/>
          <w:color w:val="595C5D"/>
          <w:sz w:val="19"/>
          <w:szCs w:val="19"/>
        </w:rPr>
        <w:t xml:space="preserve">  </w:t>
      </w:r>
    </w:p>
    <w:p>
      <w:pPr>
        <w:tabs>
          <w:tab w:val="left" w:pos="2967"/>
        </w:tabs>
        <w:spacing w:before="208" w:line="764" w:lineRule="exact"/>
        <w:ind w:left="2684"/>
        <w:rPr>
          <w:rFonts w:ascii="微软雅黑" w:hAnsi="微软雅黑" w:eastAsia="微软雅黑" w:cs="微软雅黑"/>
          <w:sz w:val="16"/>
          <w:szCs w:val="16"/>
        </w:rPr>
      </w:pPr>
      <w:r>
        <w:pict>
          <v:shape id="_x0000_s1381" o:spid="_x0000_s1381" style="position:absolute;left:0pt;margin-left:134.2pt;margin-top:13.1pt;height:0.65pt;width:341pt;z-index:-251299840;mso-width-relative:page;mso-height-relative:page;" filled="f" stroked="t" coordsize="6820,12" path="m0,6l6819,6e">
            <v:fill on="f" focussize="0,0"/>
            <v:stroke weight="0.64pt" color="#D1E3F0" miterlimit="10" dashstyle="dash"/>
            <v:imagedata o:title=""/>
            <o:lock v:ext="edit"/>
          </v:shape>
        </w:pict>
      </w:r>
      <w:r>
        <w:pict>
          <v:shape id="_x0000_s1382" o:spid="_x0000_s1382" o:spt="202" type="#_x0000_t202" style="position:absolute;left:0pt;margin-left:117.75pt;margin-top:9.4pt;height:29.8pt;width:15.75pt;z-index:252019712;mso-width-relative:page;mso-height-relative:page;" filled="f" stroked="f" coordsize="21600,21600">
            <v:path/>
            <v:fill on="f" focussize="0,0"/>
            <v:stroke on="f"/>
            <v:imagedata o:title=""/>
            <o:lock v:ext="edit" aspectratio="f"/>
            <v:textbox inset="0mm,0mm,0mm,0mm">
              <w:txbxContent>
                <w:p>
                  <w:pPr>
                    <w:spacing w:before="19" w:line="180" w:lineRule="auto"/>
                    <w:ind w:left="20"/>
                    <w:rPr>
                      <w:rFonts w:ascii="Calibri" w:hAnsi="Calibri" w:eastAsia="Calibri" w:cs="Calibri"/>
                      <w:sz w:val="19"/>
                      <w:szCs w:val="19"/>
                    </w:rPr>
                  </w:pPr>
                  <w:r>
                    <w:rPr>
                      <w:rFonts w:ascii="Calibri" w:hAnsi="Calibri" w:eastAsia="Calibri" w:cs="Calibri"/>
                      <w:color w:val="595C5D"/>
                      <w:spacing w:val="-4"/>
                      <w:sz w:val="19"/>
                      <w:szCs w:val="19"/>
                    </w:rPr>
                    <w:t>8</w:t>
                  </w:r>
                  <w:r>
                    <w:rPr>
                      <w:rFonts w:ascii="Calibri" w:hAnsi="Calibri" w:eastAsia="Calibri" w:cs="Calibri"/>
                      <w:color w:val="595C5D"/>
                      <w:spacing w:val="-2"/>
                      <w:sz w:val="19"/>
                      <w:szCs w:val="19"/>
                    </w:rPr>
                    <w:t>0</w:t>
                  </w:r>
                  <w:r>
                    <w:rPr>
                      <w:rFonts w:ascii="Calibri" w:hAnsi="Calibri" w:eastAsia="Calibri" w:cs="Calibri"/>
                      <w:color w:val="595C5D"/>
                      <w:sz w:val="19"/>
                      <w:szCs w:val="19"/>
                    </w:rPr>
                    <w:t xml:space="preserve">  </w:t>
                  </w:r>
                </w:p>
                <w:p>
                  <w:pPr>
                    <w:spacing w:before="208" w:line="180" w:lineRule="auto"/>
                    <w:ind w:left="22"/>
                    <w:rPr>
                      <w:rFonts w:ascii="Calibri" w:hAnsi="Calibri" w:eastAsia="Calibri" w:cs="Calibri"/>
                      <w:sz w:val="19"/>
                      <w:szCs w:val="19"/>
                    </w:rPr>
                  </w:pPr>
                  <w:r>
                    <w:rPr>
                      <w:rFonts w:ascii="Calibri" w:hAnsi="Calibri" w:eastAsia="Calibri" w:cs="Calibri"/>
                      <w:color w:val="595C5D"/>
                      <w:spacing w:val="-4"/>
                      <w:sz w:val="19"/>
                      <w:szCs w:val="19"/>
                    </w:rPr>
                    <w:t>60</w:t>
                  </w:r>
                  <w:r>
                    <w:rPr>
                      <w:rFonts w:ascii="Calibri" w:hAnsi="Calibri" w:eastAsia="Calibri" w:cs="Calibri"/>
                      <w:color w:val="595C5D"/>
                      <w:sz w:val="19"/>
                      <w:szCs w:val="19"/>
                    </w:rPr>
                    <w:t xml:space="preserve">  </w:t>
                  </w:r>
                </w:p>
              </w:txbxContent>
            </v:textbox>
          </v:shape>
        </w:pict>
      </w:r>
      <w:r>
        <w:rPr>
          <w:rFonts w:ascii="微软雅黑" w:hAnsi="微软雅黑" w:eastAsia="微软雅黑" w:cs="微软雅黑"/>
          <w:strike/>
          <w:color w:val="404142"/>
          <w:position w:val="8"/>
          <w:sz w:val="16"/>
          <w:szCs w:val="16"/>
        </w:rPr>
        <w:tab/>
      </w:r>
      <w:r>
        <w:rPr>
          <w:rFonts w:ascii="微软雅黑" w:hAnsi="微软雅黑" w:eastAsia="微软雅黑" w:cs="微软雅黑"/>
          <w:strike/>
          <w:color w:val="404142"/>
          <w:spacing w:val="1"/>
          <w:position w:val="8"/>
          <w:sz w:val="16"/>
          <w:szCs w:val="16"/>
        </w:rPr>
        <w:t>110.8</w:t>
      </w:r>
      <w:r>
        <w:rPr>
          <w:rFonts w:ascii="微软雅黑" w:hAnsi="微软雅黑" w:eastAsia="微软雅黑" w:cs="微软雅黑"/>
          <w:strike/>
          <w:color w:val="404142"/>
          <w:spacing w:val="1"/>
          <w:position w:val="48"/>
          <w:sz w:val="16"/>
          <w:szCs w:val="16"/>
        </w:rPr>
        <w:t xml:space="preserve">148.1           </w:t>
      </w:r>
      <w:r>
        <w:rPr>
          <w:rFonts w:ascii="微软雅黑" w:hAnsi="微软雅黑" w:eastAsia="微软雅黑" w:cs="微软雅黑"/>
          <w:strike/>
          <w:color w:val="404142"/>
          <w:spacing w:val="1"/>
          <w:position w:val="3"/>
          <w:sz w:val="16"/>
          <w:szCs w:val="16"/>
        </w:rPr>
        <w:t>110.7</w:t>
      </w:r>
      <w:r>
        <w:rPr>
          <w:rFonts w:ascii="微软雅黑" w:hAnsi="微软雅黑" w:eastAsia="微软雅黑" w:cs="微软雅黑"/>
          <w:strike/>
          <w:color w:val="404142"/>
          <w:spacing w:val="1"/>
          <w:position w:val="32"/>
          <w:sz w:val="16"/>
          <w:szCs w:val="16"/>
        </w:rPr>
        <w:t xml:space="preserve">136.3           </w:t>
      </w:r>
      <w:r>
        <w:rPr>
          <w:rFonts w:ascii="微软雅黑" w:hAnsi="微软雅黑" w:eastAsia="微软雅黑" w:cs="微软雅黑"/>
          <w:strike/>
          <w:color w:val="404142"/>
          <w:spacing w:val="1"/>
          <w:position w:val="-14"/>
          <w:sz w:val="16"/>
          <w:szCs w:val="16"/>
        </w:rPr>
        <w:t>104.1</w:t>
      </w:r>
      <w:r>
        <w:rPr>
          <w:rFonts w:ascii="微软雅黑" w:hAnsi="微软雅黑" w:eastAsia="微软雅黑" w:cs="微软雅黑"/>
          <w:strike/>
          <w:color w:val="404142"/>
          <w:spacing w:val="1"/>
          <w:position w:val="23"/>
          <w:sz w:val="16"/>
          <w:szCs w:val="16"/>
        </w:rPr>
        <w:t xml:space="preserve">131.1           </w:t>
      </w:r>
      <w:r>
        <w:rPr>
          <w:rFonts w:ascii="微软雅黑" w:hAnsi="微软雅黑" w:eastAsia="微软雅黑" w:cs="微软雅黑"/>
          <w:strike/>
          <w:color w:val="404142"/>
          <w:spacing w:val="1"/>
          <w:position w:val="-6"/>
          <w:sz w:val="16"/>
          <w:szCs w:val="16"/>
        </w:rPr>
        <w:t>112.0</w:t>
      </w:r>
      <w:r>
        <w:rPr>
          <w:rFonts w:ascii="微软雅黑" w:hAnsi="微软雅黑" w:eastAsia="微软雅黑" w:cs="微软雅黑"/>
          <w:strike/>
          <w:color w:val="404142"/>
          <w:spacing w:val="1"/>
          <w:position w:val="18"/>
          <w:sz w:val="16"/>
          <w:szCs w:val="16"/>
        </w:rPr>
        <w:t xml:space="preserve">124.3 </w:t>
      </w:r>
      <w:r>
        <w:rPr>
          <w:rFonts w:ascii="微软雅黑" w:hAnsi="微软雅黑" w:eastAsia="微软雅黑" w:cs="微软雅黑"/>
          <w:strike/>
          <w:color w:val="404142"/>
          <w:position w:val="18"/>
          <w:sz w:val="16"/>
          <w:szCs w:val="16"/>
        </w:rPr>
        <w:t xml:space="preserve">          </w:t>
      </w:r>
      <w:r>
        <w:rPr>
          <w:rFonts w:ascii="微软雅黑" w:hAnsi="微软雅黑" w:eastAsia="微软雅黑" w:cs="微软雅黑"/>
          <w:strike/>
          <w:color w:val="404142"/>
          <w:position w:val="3"/>
          <w:sz w:val="16"/>
          <w:szCs w:val="16"/>
        </w:rPr>
        <w:t>113.2</w:t>
      </w:r>
      <w:r>
        <w:rPr>
          <w:rFonts w:ascii="微软雅黑" w:hAnsi="微软雅黑" w:eastAsia="微软雅黑" w:cs="微软雅黑"/>
          <w:strike/>
          <w:color w:val="404142"/>
          <w:position w:val="25"/>
          <w:sz w:val="16"/>
          <w:szCs w:val="16"/>
        </w:rPr>
        <w:t xml:space="preserve">124.6     </w:t>
      </w:r>
    </w:p>
    <w:p>
      <w:pPr>
        <w:spacing w:before="1" w:line="179" w:lineRule="auto"/>
        <w:ind w:left="2372"/>
        <w:rPr>
          <w:rFonts w:ascii="Calibri" w:hAnsi="Calibri" w:eastAsia="Calibri" w:cs="Calibri"/>
          <w:sz w:val="19"/>
          <w:szCs w:val="19"/>
        </w:rPr>
      </w:pPr>
      <w:r>
        <w:rPr>
          <w:rFonts w:ascii="Calibri" w:hAnsi="Calibri" w:eastAsia="Calibri" w:cs="Calibri"/>
          <w:color w:val="595C5D"/>
          <w:spacing w:val="-2"/>
          <w:sz w:val="19"/>
          <w:szCs w:val="19"/>
        </w:rPr>
        <w:t>4</w:t>
      </w:r>
      <w:r>
        <w:rPr>
          <w:rFonts w:ascii="Calibri" w:hAnsi="Calibri" w:eastAsia="Calibri" w:cs="Calibri"/>
          <w:color w:val="595C5D"/>
          <w:spacing w:val="-1"/>
          <w:sz w:val="19"/>
          <w:szCs w:val="19"/>
        </w:rPr>
        <w:t>0</w:t>
      </w:r>
      <w:r>
        <w:rPr>
          <w:rFonts w:ascii="Calibri" w:hAnsi="Calibri" w:eastAsia="Calibri" w:cs="Calibri"/>
          <w:color w:val="595C5D"/>
          <w:sz w:val="19"/>
          <w:szCs w:val="19"/>
        </w:rPr>
        <w:t xml:space="preserve">  </w:t>
      </w:r>
    </w:p>
    <w:p>
      <w:pPr>
        <w:spacing w:before="208" w:line="180" w:lineRule="auto"/>
        <w:ind w:left="2378"/>
        <w:rPr>
          <w:rFonts w:ascii="Calibri" w:hAnsi="Calibri" w:eastAsia="Calibri" w:cs="Calibri"/>
          <w:sz w:val="19"/>
          <w:szCs w:val="19"/>
        </w:rPr>
      </w:pPr>
      <w:r>
        <w:rPr>
          <w:rFonts w:ascii="Calibri" w:hAnsi="Calibri" w:eastAsia="Calibri" w:cs="Calibri"/>
          <w:color w:val="595C5D"/>
          <w:spacing w:val="-5"/>
          <w:sz w:val="19"/>
          <w:szCs w:val="19"/>
        </w:rPr>
        <w:t>2</w:t>
      </w:r>
      <w:r>
        <w:rPr>
          <w:rFonts w:ascii="Calibri" w:hAnsi="Calibri" w:eastAsia="Calibri" w:cs="Calibri"/>
          <w:color w:val="595C5D"/>
          <w:spacing w:val="-4"/>
          <w:sz w:val="19"/>
          <w:szCs w:val="19"/>
        </w:rPr>
        <w:t>0</w:t>
      </w:r>
      <w:r>
        <w:rPr>
          <w:rFonts w:ascii="Calibri" w:hAnsi="Calibri" w:eastAsia="Calibri" w:cs="Calibri"/>
          <w:color w:val="595C5D"/>
          <w:sz w:val="19"/>
          <w:szCs w:val="19"/>
        </w:rPr>
        <w:t xml:space="preserve">  </w:t>
      </w:r>
    </w:p>
    <w:p>
      <w:pPr>
        <w:spacing w:before="207" w:line="180" w:lineRule="auto"/>
        <w:ind w:left="2471"/>
        <w:rPr>
          <w:rFonts w:ascii="Calibri" w:hAnsi="Calibri" w:eastAsia="Calibri" w:cs="Calibri"/>
          <w:sz w:val="19"/>
          <w:szCs w:val="19"/>
        </w:rPr>
      </w:pPr>
      <w:r>
        <w:rPr>
          <w:rFonts w:ascii="Calibri" w:hAnsi="Calibri" w:eastAsia="Calibri" w:cs="Calibri"/>
          <w:color w:val="595C5D"/>
          <w:sz w:val="19"/>
          <w:szCs w:val="19"/>
        </w:rPr>
        <w:t>0</w:t>
      </w:r>
    </w:p>
    <w:p>
      <w:pPr>
        <w:spacing w:before="150" w:line="199" w:lineRule="auto"/>
        <w:ind w:left="3151"/>
        <w:rPr>
          <w:rFonts w:ascii="Arial" w:hAnsi="Arial" w:eastAsia="Arial" w:cs="Arial"/>
          <w:sz w:val="17"/>
          <w:szCs w:val="17"/>
        </w:rPr>
      </w:pPr>
      <w:r>
        <w:rPr>
          <w:rFonts w:ascii="Arial" w:hAnsi="Arial" w:eastAsia="Arial" w:cs="Arial"/>
          <w:color w:val="231F20"/>
          <w:spacing w:val="2"/>
          <w:sz w:val="17"/>
          <w:szCs w:val="17"/>
        </w:rPr>
        <w:t xml:space="preserve">2016     </w:t>
      </w:r>
      <w:r>
        <w:rPr>
          <w:rFonts w:ascii="Arial" w:hAnsi="Arial" w:eastAsia="Arial" w:cs="Arial"/>
          <w:color w:val="231F20"/>
          <w:spacing w:val="1"/>
          <w:sz w:val="17"/>
          <w:szCs w:val="17"/>
        </w:rPr>
        <w:t xml:space="preserve">               2017                     2018                    2019                    2020</w:t>
      </w:r>
    </w:p>
    <w:p>
      <w:pPr>
        <w:spacing w:before="152" w:line="221" w:lineRule="auto"/>
        <w:ind w:left="3029"/>
        <w:rPr>
          <w:rFonts w:ascii="宋体" w:hAnsi="宋体" w:eastAsia="宋体" w:cs="宋体"/>
          <w:sz w:val="19"/>
          <w:szCs w:val="19"/>
        </w:rPr>
      </w:pPr>
      <w:r>
        <w:rPr>
          <w:rFonts w:ascii="宋体" w:hAnsi="宋体" w:eastAsia="宋体" w:cs="宋体"/>
          <w:color w:val="595C5D"/>
          <w:spacing w:val="-1"/>
          <w:sz w:val="19"/>
          <w:szCs w:val="19"/>
        </w:rPr>
        <w:t>全国食品制造企业人</w:t>
      </w:r>
      <w:r>
        <w:rPr>
          <w:rFonts w:ascii="宋体" w:hAnsi="宋体" w:eastAsia="宋体" w:cs="宋体"/>
          <w:color w:val="595C5D"/>
          <w:sz w:val="19"/>
          <w:szCs w:val="19"/>
        </w:rPr>
        <w:t>均营业收入      外资食品制造企业人均营业收入</w:t>
      </w:r>
    </w:p>
    <w:p>
      <w:pPr>
        <w:spacing w:before="242" w:line="382" w:lineRule="exact"/>
        <w:ind w:left="3353"/>
        <w:rPr>
          <w:rFonts w:ascii="SimHei" w:hAnsi="SimHei" w:eastAsia="SimHei" w:cs="SimHei"/>
          <w:sz w:val="20"/>
          <w:szCs w:val="20"/>
        </w:rPr>
      </w:pPr>
      <w:r>
        <w:rPr>
          <w:rFonts w:ascii="SimHei" w:hAnsi="SimHei" w:eastAsia="SimHei" w:cs="SimHei"/>
          <w:color w:val="231F20"/>
          <w:spacing w:val="3"/>
          <w:position w:val="13"/>
          <w:sz w:val="20"/>
          <w:szCs w:val="20"/>
        </w:rPr>
        <w:t>图</w:t>
      </w:r>
      <w:r>
        <w:rPr>
          <w:rFonts w:ascii="SimHei" w:hAnsi="SimHei" w:eastAsia="SimHei" w:cs="SimHei"/>
          <w:color w:val="231F20"/>
          <w:spacing w:val="2"/>
          <w:position w:val="13"/>
          <w:sz w:val="20"/>
          <w:szCs w:val="20"/>
        </w:rPr>
        <w:t xml:space="preserve"> </w:t>
      </w:r>
      <w:r>
        <w:rPr>
          <w:rFonts w:ascii="Times New Roman" w:hAnsi="Times New Roman" w:eastAsia="Times New Roman" w:cs="Times New Roman"/>
          <w:color w:val="231F20"/>
          <w:spacing w:val="2"/>
          <w:position w:val="13"/>
          <w:sz w:val="20"/>
          <w:szCs w:val="20"/>
        </w:rPr>
        <w:t xml:space="preserve">2- 13 2016-2020 </w:t>
      </w:r>
      <w:r>
        <w:rPr>
          <w:rFonts w:ascii="SimHei" w:hAnsi="SimHei" w:eastAsia="SimHei" w:cs="SimHei"/>
          <w:color w:val="231F20"/>
          <w:spacing w:val="2"/>
          <w:position w:val="13"/>
          <w:sz w:val="20"/>
          <w:szCs w:val="20"/>
        </w:rPr>
        <w:t>年规模以上食品制造企业人均营收变化情况</w:t>
      </w:r>
    </w:p>
    <w:p>
      <w:pPr>
        <w:spacing w:before="1" w:line="222" w:lineRule="auto"/>
        <w:ind w:left="1987"/>
        <w:rPr>
          <w:rFonts w:ascii="KaiTi" w:hAnsi="KaiTi" w:eastAsia="KaiTi" w:cs="KaiTi"/>
          <w:sz w:val="17"/>
          <w:szCs w:val="17"/>
        </w:rPr>
      </w:pPr>
      <w:r>
        <w:rPr>
          <w:rFonts w:ascii="KaiTi" w:hAnsi="KaiTi" w:eastAsia="KaiTi" w:cs="KaiTi"/>
          <w:color w:val="231F20"/>
          <w:spacing w:val="-2"/>
          <w:sz w:val="17"/>
          <w:szCs w:val="17"/>
        </w:rPr>
        <w:t>数据来源： 国家统</w:t>
      </w:r>
      <w:r>
        <w:rPr>
          <w:rFonts w:ascii="KaiTi" w:hAnsi="KaiTi" w:eastAsia="KaiTi" w:cs="KaiTi"/>
          <w:color w:val="231F20"/>
          <w:spacing w:val="-1"/>
          <w:sz w:val="17"/>
          <w:szCs w:val="17"/>
        </w:rPr>
        <w:t>计局。</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04838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bookmarkStart w:id="53" w:name="_bookmark36"/>
      <w:bookmarkEnd w:id="53"/>
      <w:bookmarkStart w:id="54" w:name="_bookmark37"/>
      <w:bookmarkEnd w:id="54"/>
      <w:r>
        <w:rPr>
          <w:rFonts w:ascii="Arial" w:hAnsi="Arial" w:eastAsia="Arial" w:cs="Arial"/>
          <w:color w:val="231F20"/>
          <w:spacing w:val="40"/>
          <w:sz w:val="20"/>
          <w:szCs w:val="20"/>
        </w:rPr>
        <w:t>5</w:t>
      </w:r>
      <w:r>
        <w:rPr>
          <w:rFonts w:ascii="Arial" w:hAnsi="Arial" w:eastAsia="Arial" w:cs="Arial"/>
          <w:color w:val="231F20"/>
          <w:spacing w:val="21"/>
          <w:sz w:val="20"/>
          <w:szCs w:val="20"/>
        </w:rPr>
        <w:t xml:space="preserve">4  </w:t>
      </w:r>
      <w:r>
        <w:rPr>
          <w:position w:val="-5"/>
          <w:sz w:val="20"/>
          <w:szCs w:val="20"/>
        </w:rPr>
        <w:drawing>
          <wp:inline distT="0" distB="0" distL="0" distR="0">
            <wp:extent cx="3175" cy="147320"/>
            <wp:effectExtent l="0" t="0" r="0" b="0"/>
            <wp:docPr id="289" name="IM 289"/>
            <wp:cNvGraphicFramePr/>
            <a:graphic xmlns:a="http://schemas.openxmlformats.org/drawingml/2006/main">
              <a:graphicData uri="http://schemas.openxmlformats.org/drawingml/2006/picture">
                <pic:pic xmlns:pic="http://schemas.openxmlformats.org/drawingml/2006/picture">
                  <pic:nvPicPr>
                    <pic:cNvPr id="289" name="IM 289"/>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产业篇</w:t>
      </w: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91" w:line="227" w:lineRule="auto"/>
        <w:ind w:left="2570"/>
        <w:rPr>
          <w:rFonts w:ascii="SimHei" w:hAnsi="SimHei" w:eastAsia="SimHei" w:cs="SimHei"/>
          <w:sz w:val="28"/>
          <w:szCs w:val="28"/>
        </w:rPr>
      </w:pPr>
      <w:r>
        <w:rPr>
          <w:rFonts w:ascii="SimHei" w:hAnsi="SimHei" w:eastAsia="SimHei" w:cs="SimHei"/>
          <w:color w:val="015DAC"/>
          <w:spacing w:val="-2"/>
          <w:sz w:val="28"/>
          <w:szCs w:val="28"/>
        </w:rPr>
        <w:t>六、</w:t>
      </w:r>
      <w:r>
        <w:rPr>
          <w:rFonts w:ascii="SimHei" w:hAnsi="SimHei" w:eastAsia="SimHei" w:cs="SimHei"/>
          <w:color w:val="015DAC"/>
          <w:spacing w:val="-1"/>
          <w:sz w:val="28"/>
          <w:szCs w:val="28"/>
        </w:rPr>
        <w:t>生产性服务业</w:t>
      </w:r>
    </w:p>
    <w:p>
      <w:pPr>
        <w:spacing w:line="349" w:lineRule="auto"/>
        <w:rPr>
          <w:rFonts w:ascii="Arial"/>
          <w:sz w:val="21"/>
        </w:rPr>
      </w:pPr>
    </w:p>
    <w:p>
      <w:pPr>
        <w:spacing w:before="95" w:line="260" w:lineRule="auto"/>
        <w:ind w:left="1988" w:right="1899" w:firstLine="463"/>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生</w:t>
      </w:r>
      <w:r>
        <w:rPr>
          <w:rFonts w:ascii="微软雅黑" w:hAnsi="微软雅黑" w:eastAsia="微软雅黑" w:cs="微软雅黑"/>
          <w:color w:val="231F20"/>
          <w:spacing w:val="3"/>
          <w:sz w:val="22"/>
          <w:szCs w:val="22"/>
        </w:rPr>
        <w:t>产性服务业是指为保持工业生产过程的连续性、促进工业技术进步、产业升级</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和提高生产效</w:t>
      </w:r>
      <w:r>
        <w:rPr>
          <w:rFonts w:ascii="微软雅黑" w:hAnsi="微软雅黑" w:eastAsia="微软雅黑" w:cs="微软雅黑"/>
          <w:color w:val="231F20"/>
          <w:spacing w:val="4"/>
          <w:sz w:val="22"/>
          <w:szCs w:val="22"/>
        </w:rPr>
        <w:t>率</w:t>
      </w:r>
      <w:r>
        <w:rPr>
          <w:rFonts w:ascii="微软雅黑" w:hAnsi="微软雅黑" w:eastAsia="微软雅黑" w:cs="微软雅黑"/>
          <w:color w:val="231F20"/>
          <w:spacing w:val="3"/>
          <w:sz w:val="22"/>
          <w:szCs w:val="22"/>
        </w:rPr>
        <w:t>提供保障服务的服务行业。按照国家统计局关于印发的《生产性服务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业统计分</w:t>
      </w:r>
      <w:r>
        <w:rPr>
          <w:rFonts w:ascii="微软雅黑" w:hAnsi="微软雅黑" w:eastAsia="微软雅黑" w:cs="微软雅黑"/>
          <w:color w:val="231F20"/>
          <w:spacing w:val="-5"/>
          <w:sz w:val="22"/>
          <w:szCs w:val="22"/>
        </w:rPr>
        <w:t>类</w:t>
      </w:r>
      <w:r>
        <w:rPr>
          <w:rFonts w:ascii="微软雅黑" w:hAnsi="微软雅黑" w:eastAsia="微软雅黑" w:cs="微软雅黑"/>
          <w:color w:val="231F20"/>
          <w:spacing w:val="-3"/>
          <w:sz w:val="22"/>
          <w:szCs w:val="22"/>
        </w:rPr>
        <w:t xml:space="preserve"> ( </w:t>
      </w:r>
      <w:r>
        <w:rPr>
          <w:rFonts w:ascii="Times New Roman" w:hAnsi="Times New Roman" w:eastAsia="Times New Roman" w:cs="Times New Roman"/>
          <w:color w:val="231F20"/>
          <w:spacing w:val="-3"/>
          <w:sz w:val="22"/>
          <w:szCs w:val="22"/>
        </w:rPr>
        <w:t xml:space="preserve">2019 </w:t>
      </w:r>
      <w:r>
        <w:rPr>
          <w:rFonts w:ascii="微软雅黑" w:hAnsi="微软雅黑" w:eastAsia="微软雅黑" w:cs="微软雅黑"/>
          <w:color w:val="231F20"/>
          <w:spacing w:val="-3"/>
          <w:sz w:val="22"/>
          <w:szCs w:val="22"/>
        </w:rPr>
        <w:t>)  》  ，生产性服务业主要包括研发设计与其他技术服务、信息服务、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金融服</w:t>
      </w:r>
      <w:r>
        <w:rPr>
          <w:rFonts w:ascii="微软雅黑" w:hAnsi="微软雅黑" w:eastAsia="微软雅黑" w:cs="微软雅黑"/>
          <w:color w:val="231F20"/>
          <w:sz w:val="22"/>
          <w:szCs w:val="22"/>
        </w:rPr>
        <w:t xml:space="preserve">务、商务服务、批发与贸易经纪代理等。近年来，在中国持续扩大服务业开放、 </w:t>
      </w:r>
      <w:r>
        <w:rPr>
          <w:rFonts w:ascii="微软雅黑" w:hAnsi="微软雅黑" w:eastAsia="微软雅黑" w:cs="微软雅黑"/>
          <w:color w:val="231F20"/>
          <w:spacing w:val="-1"/>
          <w:sz w:val="22"/>
          <w:szCs w:val="22"/>
        </w:rPr>
        <w:t>推动制</w:t>
      </w:r>
      <w:r>
        <w:rPr>
          <w:rFonts w:ascii="微软雅黑" w:hAnsi="微软雅黑" w:eastAsia="微软雅黑" w:cs="微软雅黑"/>
          <w:color w:val="231F20"/>
          <w:sz w:val="22"/>
          <w:szCs w:val="22"/>
        </w:rPr>
        <w:t xml:space="preserve">造业与服务业融合发展等政策的推动下，生产性服务业利用外资规模不断扩大， </w:t>
      </w:r>
      <w:r>
        <w:rPr>
          <w:rFonts w:ascii="微软雅黑" w:hAnsi="微软雅黑" w:eastAsia="微软雅黑" w:cs="微软雅黑"/>
          <w:color w:val="231F20"/>
          <w:spacing w:val="1"/>
          <w:sz w:val="22"/>
          <w:szCs w:val="22"/>
        </w:rPr>
        <w:t>促进了生产性服务业</w:t>
      </w:r>
      <w:r>
        <w:rPr>
          <w:rFonts w:ascii="微软雅黑" w:hAnsi="微软雅黑" w:eastAsia="微软雅黑" w:cs="微软雅黑"/>
          <w:color w:val="231F20"/>
          <w:sz w:val="22"/>
          <w:szCs w:val="22"/>
        </w:rPr>
        <w:t>高质量发展。</w:t>
      </w:r>
    </w:p>
    <w:p>
      <w:pPr>
        <w:spacing w:before="178"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0"/>
          <w:sz w:val="24"/>
          <w:szCs w:val="24"/>
        </w:rPr>
        <w:t>一) 行业政策变化</w:t>
      </w:r>
    </w:p>
    <w:p>
      <w:pPr>
        <w:spacing w:before="331" w:line="266" w:lineRule="auto"/>
        <w:ind w:left="1993" w:right="1981" w:firstLine="460"/>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近年来 ，</w:t>
      </w:r>
      <w:r>
        <w:rPr>
          <w:rFonts w:ascii="微软雅黑" w:hAnsi="微软雅黑" w:eastAsia="微软雅黑" w:cs="微软雅黑"/>
          <w:color w:val="231F20"/>
          <w:spacing w:val="-2"/>
          <w:sz w:val="22"/>
          <w:szCs w:val="22"/>
        </w:rPr>
        <w:t>为促进生产性服务业发展，  中国在推动服务业扩大开放、鼓励重点生产</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性服务行业发</w:t>
      </w:r>
      <w:r>
        <w:rPr>
          <w:rFonts w:ascii="微软雅黑" w:hAnsi="微软雅黑" w:eastAsia="微软雅黑" w:cs="微软雅黑"/>
          <w:color w:val="231F20"/>
          <w:spacing w:val="4"/>
          <w:sz w:val="22"/>
          <w:szCs w:val="22"/>
        </w:rPr>
        <w:t>展</w:t>
      </w:r>
      <w:r>
        <w:rPr>
          <w:rFonts w:ascii="微软雅黑" w:hAnsi="微软雅黑" w:eastAsia="微软雅黑" w:cs="微软雅黑"/>
          <w:color w:val="231F20"/>
          <w:spacing w:val="3"/>
          <w:sz w:val="22"/>
          <w:szCs w:val="22"/>
        </w:rPr>
        <w:t>、促进制造业与服务业深入融合、优化营商环境等方面出台了系列政</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策文件 ，为外资企业投资生产性服务业营</w:t>
      </w:r>
      <w:r>
        <w:rPr>
          <w:rFonts w:ascii="微软雅黑" w:hAnsi="微软雅黑" w:eastAsia="微软雅黑" w:cs="微软雅黑"/>
          <w:color w:val="231F20"/>
          <w:spacing w:val="-1"/>
          <w:sz w:val="22"/>
          <w:szCs w:val="22"/>
        </w:rPr>
        <w:t>造了良好的环境。</w:t>
      </w:r>
    </w:p>
    <w:p>
      <w:pPr>
        <w:spacing w:before="180" w:line="214" w:lineRule="auto"/>
        <w:ind w:left="2465"/>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1. </w:t>
      </w:r>
      <w:r>
        <w:rPr>
          <w:rFonts w:ascii="KaiTi" w:hAnsi="KaiTi" w:eastAsia="KaiTi" w:cs="KaiTi"/>
          <w:color w:val="015DAC"/>
          <w:spacing w:val="-1"/>
          <w:sz w:val="22"/>
          <w:szCs w:val="22"/>
        </w:rPr>
        <w:t>生产性服务业</w:t>
      </w:r>
      <w:r>
        <w:rPr>
          <w:rFonts w:ascii="KaiTi" w:hAnsi="KaiTi" w:eastAsia="KaiTi" w:cs="KaiTi"/>
          <w:color w:val="015DAC"/>
          <w:sz w:val="22"/>
          <w:szCs w:val="22"/>
        </w:rPr>
        <w:t>开放政策逐步完善</w:t>
      </w:r>
    </w:p>
    <w:p>
      <w:pPr>
        <w:spacing w:line="268" w:lineRule="auto"/>
        <w:rPr>
          <w:rFonts w:ascii="Arial"/>
          <w:sz w:val="21"/>
        </w:rPr>
      </w:pPr>
    </w:p>
    <w:p>
      <w:pPr>
        <w:spacing w:before="94" w:line="262" w:lineRule="auto"/>
        <w:ind w:left="1990" w:right="1981" w:firstLine="458"/>
        <w:rPr>
          <w:rFonts w:ascii="微软雅黑" w:hAnsi="微软雅黑" w:eastAsia="微软雅黑" w:cs="微软雅黑"/>
          <w:sz w:val="22"/>
          <w:szCs w:val="22"/>
        </w:rPr>
      </w:pPr>
      <w:r>
        <w:rPr>
          <w:rFonts w:ascii="SimHei" w:hAnsi="SimHei" w:eastAsia="SimHei" w:cs="SimHei"/>
          <w:color w:val="231F20"/>
          <w:spacing w:val="2"/>
          <w:sz w:val="22"/>
          <w:szCs w:val="22"/>
        </w:rPr>
        <w:t>完善外资准入负面清单制度，扩</w:t>
      </w:r>
      <w:r>
        <w:rPr>
          <w:rFonts w:ascii="SimHei" w:hAnsi="SimHei" w:eastAsia="SimHei" w:cs="SimHei"/>
          <w:color w:val="231F20"/>
          <w:spacing w:val="1"/>
          <w:sz w:val="22"/>
          <w:szCs w:val="22"/>
        </w:rPr>
        <w:t>大生产性服务业部分领域开放。</w:t>
      </w:r>
      <w:r>
        <w:rPr>
          <w:rFonts w:ascii="微软雅黑" w:hAnsi="微软雅黑" w:eastAsia="微软雅黑" w:cs="微软雅黑"/>
          <w:color w:val="231F20"/>
          <w:spacing w:val="1"/>
          <w:sz w:val="22"/>
          <w:szCs w:val="22"/>
        </w:rPr>
        <w:t>《 自由贸易试验</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区外商投资准入特别管理措</w:t>
      </w:r>
      <w:r>
        <w:rPr>
          <w:rFonts w:ascii="微软雅黑" w:hAnsi="微软雅黑" w:eastAsia="微软雅黑" w:cs="微软雅黑"/>
          <w:color w:val="231F20"/>
          <w:sz w:val="22"/>
          <w:szCs w:val="22"/>
        </w:rPr>
        <w:t xml:space="preserve">施 ( 负面清单 )   ( </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年版 )  》进一步扩大了生产性服务 </w:t>
      </w:r>
      <w:r>
        <w:rPr>
          <w:rFonts w:ascii="微软雅黑" w:hAnsi="微软雅黑" w:eastAsia="微软雅黑" w:cs="微软雅黑"/>
          <w:color w:val="231F20"/>
          <w:spacing w:val="-1"/>
          <w:sz w:val="22"/>
          <w:szCs w:val="22"/>
        </w:rPr>
        <w:t>领域</w:t>
      </w:r>
      <w:r>
        <w:rPr>
          <w:rFonts w:ascii="微软雅黑" w:hAnsi="微软雅黑" w:eastAsia="微软雅黑" w:cs="微软雅黑"/>
          <w:color w:val="231F20"/>
          <w:sz w:val="22"/>
          <w:szCs w:val="22"/>
        </w:rPr>
        <w:t xml:space="preserve">的开放范围 ，取消了部分生产性服务行业外资准入限制。如在商务服务领域 ，市 </w:t>
      </w:r>
      <w:r>
        <w:rPr>
          <w:rFonts w:ascii="微软雅黑" w:hAnsi="微软雅黑" w:eastAsia="微软雅黑" w:cs="微软雅黑"/>
          <w:color w:val="231F20"/>
          <w:spacing w:val="2"/>
          <w:sz w:val="22"/>
          <w:szCs w:val="22"/>
        </w:rPr>
        <w:t>场调查领域除广播电视收听、收视调查须由中方控</w:t>
      </w:r>
      <w:r>
        <w:rPr>
          <w:rFonts w:ascii="微软雅黑" w:hAnsi="微软雅黑" w:eastAsia="微软雅黑" w:cs="微软雅黑"/>
          <w:color w:val="231F20"/>
          <w:spacing w:val="1"/>
          <w:sz w:val="22"/>
          <w:szCs w:val="22"/>
        </w:rPr>
        <w:t>股外 ，取消外资准入限制。允许外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商投资</w:t>
      </w:r>
      <w:r>
        <w:rPr>
          <w:rFonts w:ascii="微软雅黑" w:hAnsi="微软雅黑" w:eastAsia="微软雅黑" w:cs="微软雅黑"/>
          <w:color w:val="231F20"/>
          <w:spacing w:val="-1"/>
          <w:sz w:val="22"/>
          <w:szCs w:val="22"/>
        </w:rPr>
        <w:t xml:space="preserve">社会调查，但要求中方股比不低于 </w:t>
      </w:r>
      <w:r>
        <w:rPr>
          <w:rFonts w:ascii="Times New Roman" w:hAnsi="Times New Roman" w:eastAsia="Times New Roman" w:cs="Times New Roman"/>
          <w:color w:val="231F20"/>
          <w:spacing w:val="-1"/>
          <w:sz w:val="22"/>
          <w:szCs w:val="22"/>
        </w:rPr>
        <w:t xml:space="preserve">67% </w:t>
      </w:r>
      <w:r>
        <w:rPr>
          <w:rFonts w:ascii="微软雅黑" w:hAnsi="微软雅黑" w:eastAsia="微软雅黑" w:cs="微软雅黑"/>
          <w:color w:val="231F20"/>
          <w:spacing w:val="-1"/>
          <w:sz w:val="22"/>
          <w:szCs w:val="22"/>
        </w:rPr>
        <w:t>，法人代表应当具有中国国籍。</w:t>
      </w:r>
    </w:p>
    <w:p>
      <w:pPr>
        <w:spacing w:before="168" w:line="258" w:lineRule="auto"/>
        <w:ind w:left="1978" w:right="1921" w:firstLine="461"/>
        <w:rPr>
          <w:rFonts w:ascii="微软雅黑" w:hAnsi="微软雅黑" w:eastAsia="微软雅黑" w:cs="微软雅黑"/>
          <w:sz w:val="22"/>
          <w:szCs w:val="22"/>
        </w:rPr>
      </w:pPr>
      <w:r>
        <w:rPr>
          <w:rFonts w:ascii="SimHei" w:hAnsi="SimHei" w:eastAsia="SimHei" w:cs="SimHei"/>
          <w:color w:val="231F20"/>
          <w:spacing w:val="1"/>
          <w:sz w:val="22"/>
          <w:szCs w:val="22"/>
        </w:rPr>
        <w:t>增设服务业扩大开放综合试点，推动生产性服务业开放创新发展</w:t>
      </w:r>
      <w:r>
        <w:rPr>
          <w:rFonts w:ascii="SimHei" w:hAnsi="SimHei" w:eastAsia="SimHei" w:cs="SimHei"/>
          <w:color w:val="231F20"/>
          <w:sz w:val="22"/>
          <w:szCs w:val="22"/>
        </w:rPr>
        <w:t>。</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 </w:t>
      </w:r>
      <w:r>
        <w:rPr>
          <w:rFonts w:ascii="Times New Roman" w:hAnsi="Times New Roman" w:eastAsia="Times New Roman" w:cs="Times New Roman"/>
          <w:color w:val="231F20"/>
          <w:sz w:val="22"/>
          <w:szCs w:val="22"/>
        </w:rPr>
        <w:t xml:space="preserve">4 </w:t>
      </w:r>
      <w:r>
        <w:rPr>
          <w:rFonts w:ascii="微软雅黑" w:hAnsi="微软雅黑" w:eastAsia="微软雅黑" w:cs="微软雅黑"/>
          <w:color w:val="231F20"/>
          <w:sz w:val="22"/>
          <w:szCs w:val="22"/>
        </w:rPr>
        <w:t xml:space="preserve">月 ， </w:t>
      </w:r>
      <w:r>
        <w:rPr>
          <w:rFonts w:ascii="微软雅黑" w:hAnsi="微软雅黑" w:eastAsia="微软雅黑" w:cs="微软雅黑"/>
          <w:color w:val="231F20"/>
          <w:spacing w:val="-1"/>
          <w:sz w:val="22"/>
          <w:szCs w:val="22"/>
        </w:rPr>
        <w:t>国务院发布关于同意在天津、上</w:t>
      </w:r>
      <w:r>
        <w:rPr>
          <w:rFonts w:ascii="微软雅黑" w:hAnsi="微软雅黑" w:eastAsia="微软雅黑" w:cs="微软雅黑"/>
          <w:color w:val="231F20"/>
          <w:sz w:val="22"/>
          <w:szCs w:val="22"/>
        </w:rPr>
        <w:t xml:space="preserve">海、海南、重庆开展服务业扩大开放综合试点的批复， </w:t>
      </w:r>
      <w:r>
        <w:rPr>
          <w:rFonts w:ascii="微软雅黑" w:hAnsi="微软雅黑" w:eastAsia="微软雅黑" w:cs="微软雅黑"/>
          <w:color w:val="231F20"/>
          <w:spacing w:val="4"/>
          <w:sz w:val="22"/>
          <w:szCs w:val="22"/>
        </w:rPr>
        <w:t>推</w:t>
      </w:r>
      <w:r>
        <w:rPr>
          <w:rFonts w:ascii="微软雅黑" w:hAnsi="微软雅黑" w:eastAsia="微软雅黑" w:cs="微软雅黑"/>
          <w:color w:val="231F20"/>
          <w:spacing w:val="3"/>
          <w:sz w:val="22"/>
          <w:szCs w:val="22"/>
        </w:rPr>
        <w:t>动服务业扩大开放试点由北京市拓展到其他四个省市。服务业扩大开放综合试点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一方面注重推动科</w:t>
      </w:r>
      <w:r>
        <w:rPr>
          <w:rFonts w:ascii="微软雅黑" w:hAnsi="微软雅黑" w:eastAsia="微软雅黑" w:cs="微软雅黑"/>
          <w:color w:val="231F20"/>
          <w:spacing w:val="3"/>
          <w:sz w:val="22"/>
          <w:szCs w:val="22"/>
        </w:rPr>
        <w:t>技服务业、商务服务业、物流服务业、金融服务业等重点生产性服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务行业深化改革扩</w:t>
      </w:r>
      <w:r>
        <w:rPr>
          <w:rFonts w:ascii="微软雅黑" w:hAnsi="微软雅黑" w:eastAsia="微软雅黑" w:cs="微软雅黑"/>
          <w:color w:val="231F20"/>
          <w:spacing w:val="-4"/>
          <w:sz w:val="22"/>
          <w:szCs w:val="22"/>
        </w:rPr>
        <w:t>大</w:t>
      </w:r>
      <w:r>
        <w:rPr>
          <w:rFonts w:ascii="微软雅黑" w:hAnsi="微软雅黑" w:eastAsia="微软雅黑" w:cs="微软雅黑"/>
          <w:color w:val="231F20"/>
          <w:spacing w:val="-3"/>
          <w:sz w:val="22"/>
          <w:szCs w:val="22"/>
        </w:rPr>
        <w:t>开放 ，先行先试 ，创新发展，  引领全国服务业发展。另一方面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注重</w:t>
      </w:r>
      <w:r>
        <w:rPr>
          <w:rFonts w:ascii="微软雅黑" w:hAnsi="微软雅黑" w:eastAsia="微软雅黑" w:cs="微软雅黑"/>
          <w:color w:val="231F20"/>
          <w:sz w:val="22"/>
          <w:szCs w:val="22"/>
        </w:rPr>
        <w:t xml:space="preserve">推动服务业与制造业融合 ，发挥生产性服务业对制造业发展的支撑作用 ，促进制 </w:t>
      </w:r>
      <w:r>
        <w:rPr>
          <w:rFonts w:ascii="微软雅黑" w:hAnsi="微软雅黑" w:eastAsia="微软雅黑" w:cs="微软雅黑"/>
          <w:color w:val="231F20"/>
          <w:spacing w:val="6"/>
          <w:sz w:val="22"/>
          <w:szCs w:val="22"/>
        </w:rPr>
        <w:t>造业高质量发展。经过一年多的试点工作，“</w:t>
      </w:r>
      <w:r>
        <w:rPr>
          <w:rFonts w:ascii="Times New Roman" w:hAnsi="Times New Roman" w:eastAsia="Times New Roman" w:cs="Times New Roman"/>
          <w:color w:val="231F20"/>
          <w:spacing w:val="6"/>
          <w:sz w:val="22"/>
          <w:szCs w:val="22"/>
        </w:rPr>
        <w:t>1+4</w:t>
      </w:r>
      <w:r>
        <w:rPr>
          <w:rFonts w:ascii="微软雅黑" w:hAnsi="微软雅黑" w:eastAsia="微软雅黑" w:cs="微软雅黑"/>
          <w:color w:val="231F20"/>
          <w:spacing w:val="6"/>
          <w:sz w:val="22"/>
          <w:szCs w:val="22"/>
        </w:rPr>
        <w:t>”服务业扩大开放综合试点示范</w:t>
      </w:r>
      <w:r>
        <w:rPr>
          <w:rFonts w:ascii="微软雅黑" w:hAnsi="微软雅黑" w:eastAsia="微软雅黑" w:cs="微软雅黑"/>
          <w:color w:val="231F20"/>
          <w:spacing w:val="5"/>
          <w:sz w:val="22"/>
          <w:szCs w:val="22"/>
        </w:rPr>
        <w:t>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建设取得积极成效 ，在生产性服务业开放创新发展方面形成了一批可复制</w:t>
      </w:r>
      <w:r>
        <w:rPr>
          <w:rFonts w:ascii="微软雅黑" w:hAnsi="微软雅黑" w:eastAsia="微软雅黑" w:cs="微软雅黑"/>
          <w:color w:val="231F20"/>
          <w:sz w:val="22"/>
          <w:szCs w:val="22"/>
        </w:rPr>
        <w:t>的经验。</w:t>
      </w:r>
    </w:p>
    <w:p>
      <w:pPr>
        <w:spacing w:before="178" w:line="272" w:lineRule="auto"/>
        <w:ind w:left="1978" w:right="1983" w:firstLine="456"/>
        <w:rPr>
          <w:rFonts w:ascii="微软雅黑" w:hAnsi="微软雅黑" w:eastAsia="微软雅黑" w:cs="微软雅黑"/>
          <w:sz w:val="22"/>
          <w:szCs w:val="22"/>
        </w:rPr>
      </w:pPr>
      <w:r>
        <w:rPr>
          <w:rFonts w:ascii="SimHei" w:hAnsi="SimHei" w:eastAsia="SimHei" w:cs="SimHei"/>
          <w:color w:val="231F20"/>
          <w:spacing w:val="10"/>
          <w:sz w:val="22"/>
          <w:szCs w:val="22"/>
        </w:rPr>
        <w:t>修</w:t>
      </w:r>
      <w:r>
        <w:rPr>
          <w:rFonts w:ascii="SimHei" w:hAnsi="SimHei" w:eastAsia="SimHei" w:cs="SimHei"/>
          <w:color w:val="231F20"/>
          <w:spacing w:val="8"/>
          <w:sz w:val="22"/>
          <w:szCs w:val="22"/>
        </w:rPr>
        <w:t>订生产性服务业相关法规，推动外商投资服务业准入更准营。</w:t>
      </w:r>
      <w:r>
        <w:rPr>
          <w:rFonts w:ascii="微软雅黑" w:hAnsi="微软雅黑" w:eastAsia="微软雅黑" w:cs="微软雅黑"/>
          <w:color w:val="231F20"/>
          <w:spacing w:val="8"/>
          <w:sz w:val="22"/>
          <w:szCs w:val="22"/>
        </w:rPr>
        <w:t>在金融领域 ，</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1"/>
          <w:sz w:val="22"/>
          <w:szCs w:val="22"/>
        </w:rPr>
        <w:t xml:space="preserve">2019 </w:t>
      </w:r>
      <w:r>
        <w:rPr>
          <w:rFonts w:ascii="微软雅黑" w:hAnsi="微软雅黑" w:eastAsia="微软雅黑" w:cs="微软雅黑"/>
          <w:color w:val="231F20"/>
          <w:spacing w:val="-1"/>
          <w:sz w:val="22"/>
          <w:szCs w:val="22"/>
        </w:rPr>
        <w:t>年修订《中国外资银行管理条例》，  明确提出降低外国银行分行吸收人民币存款</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04940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91" name="IM 291"/>
            <wp:cNvGraphicFramePr/>
            <a:graphic xmlns:a="http://schemas.openxmlformats.org/drawingml/2006/main">
              <a:graphicData uri="http://schemas.openxmlformats.org/drawingml/2006/picture">
                <pic:pic xmlns:pic="http://schemas.openxmlformats.org/drawingml/2006/picture">
                  <pic:nvPicPr>
                    <pic:cNvPr id="291" name="IM 291"/>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bookmarkStart w:id="55" w:name="_bookmark38"/>
      <w:bookmarkEnd w:id="55"/>
      <w:r>
        <w:rPr>
          <w:rFonts w:ascii="SimHei" w:hAnsi="SimHei" w:eastAsia="SimHei" w:cs="SimHei"/>
          <w:color w:val="1A67B3"/>
          <w:spacing w:val="39"/>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293" name="IM 293"/>
            <wp:cNvGraphicFramePr/>
            <a:graphic xmlns:a="http://schemas.openxmlformats.org/drawingml/2006/main">
              <a:graphicData uri="http://schemas.openxmlformats.org/drawingml/2006/picture">
                <pic:pic xmlns:pic="http://schemas.openxmlformats.org/drawingml/2006/picture">
                  <pic:nvPicPr>
                    <pic:cNvPr id="293" name="IM 293"/>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55</w:t>
      </w: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94" w:line="257" w:lineRule="auto"/>
        <w:ind w:left="1992" w:right="1973" w:firstLine="16"/>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的业务门槛 ，将外国银行</w:t>
      </w:r>
      <w:r>
        <w:rPr>
          <w:rFonts w:ascii="微软雅黑" w:hAnsi="微软雅黑" w:eastAsia="微软雅黑" w:cs="微软雅黑"/>
          <w:color w:val="231F20"/>
          <w:spacing w:val="1"/>
          <w:sz w:val="22"/>
          <w:szCs w:val="22"/>
        </w:rPr>
        <w:t>分行可以吸收中国境内公民定期存款的数额下限由每笔不少</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于 </w:t>
      </w:r>
      <w:r>
        <w:rPr>
          <w:rFonts w:ascii="Times New Roman" w:hAnsi="Times New Roman" w:eastAsia="Times New Roman" w:cs="Times New Roman"/>
          <w:color w:val="231F20"/>
          <w:spacing w:val="2"/>
          <w:sz w:val="22"/>
          <w:szCs w:val="22"/>
        </w:rPr>
        <w:t xml:space="preserve">100 </w:t>
      </w:r>
      <w:r>
        <w:rPr>
          <w:rFonts w:ascii="微软雅黑" w:hAnsi="微软雅黑" w:eastAsia="微软雅黑" w:cs="微软雅黑"/>
          <w:color w:val="231F20"/>
          <w:spacing w:val="2"/>
          <w:sz w:val="22"/>
          <w:szCs w:val="22"/>
        </w:rPr>
        <w:t xml:space="preserve">万元人民币改为每笔不少于 </w:t>
      </w:r>
      <w:r>
        <w:rPr>
          <w:rFonts w:ascii="Times New Roman" w:hAnsi="Times New Roman" w:eastAsia="Times New Roman" w:cs="Times New Roman"/>
          <w:color w:val="231F20"/>
          <w:spacing w:val="2"/>
          <w:sz w:val="22"/>
          <w:szCs w:val="22"/>
        </w:rPr>
        <w:t xml:space="preserve">50 </w:t>
      </w:r>
      <w:r>
        <w:rPr>
          <w:rFonts w:ascii="微软雅黑" w:hAnsi="微软雅黑" w:eastAsia="微软雅黑" w:cs="微软雅黑"/>
          <w:color w:val="231F20"/>
          <w:spacing w:val="2"/>
          <w:sz w:val="22"/>
          <w:szCs w:val="22"/>
        </w:rPr>
        <w:t>万元人民币等。在电信领域，</w:t>
      </w:r>
      <w:r>
        <w:rPr>
          <w:rFonts w:ascii="Times New Roman" w:hAnsi="Times New Roman" w:eastAsia="Times New Roman" w:cs="Times New Roman"/>
          <w:color w:val="231F20"/>
          <w:spacing w:val="2"/>
          <w:sz w:val="22"/>
          <w:szCs w:val="22"/>
        </w:rPr>
        <w:t xml:space="preserve">2022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4 </w:t>
      </w:r>
      <w:r>
        <w:rPr>
          <w:rFonts w:ascii="微软雅黑" w:hAnsi="微软雅黑" w:eastAsia="微软雅黑" w:cs="微软雅黑"/>
          <w:color w:val="231F20"/>
          <w:spacing w:val="2"/>
          <w:sz w:val="22"/>
          <w:szCs w:val="22"/>
        </w:rPr>
        <w:t xml:space="preserve">月 </w:t>
      </w:r>
      <w:r>
        <w:rPr>
          <w:rFonts w:ascii="微软雅黑" w:hAnsi="微软雅黑" w:eastAsia="微软雅黑" w:cs="微软雅黑"/>
          <w:color w:val="231F20"/>
          <w:spacing w:val="1"/>
          <w:sz w:val="22"/>
          <w:szCs w:val="22"/>
        </w:rPr>
        <w:t>，</w:t>
      </w:r>
      <w:r>
        <w:rPr>
          <w:rFonts w:ascii="微软雅黑" w:hAnsi="微软雅黑" w:eastAsia="微软雅黑" w:cs="微软雅黑"/>
          <w:color w:val="231F20"/>
          <w:sz w:val="22"/>
          <w:szCs w:val="22"/>
        </w:rPr>
        <w:t xml:space="preserve">在 </w:t>
      </w:r>
      <w:r>
        <w:rPr>
          <w:rFonts w:ascii="微软雅黑" w:hAnsi="微软雅黑" w:eastAsia="微软雅黑" w:cs="微软雅黑"/>
          <w:color w:val="231F20"/>
          <w:spacing w:val="-2"/>
          <w:sz w:val="22"/>
          <w:szCs w:val="22"/>
        </w:rPr>
        <w:t>国务院公布《国务院关于修改和废止部分行</w:t>
      </w:r>
      <w:r>
        <w:rPr>
          <w:rFonts w:ascii="微软雅黑" w:hAnsi="微软雅黑" w:eastAsia="微软雅黑" w:cs="微软雅黑"/>
          <w:color w:val="231F20"/>
          <w:spacing w:val="-1"/>
          <w:sz w:val="22"/>
          <w:szCs w:val="22"/>
        </w:rPr>
        <w:t>政法规的决定》  中 ，对《外商投资电信企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业管理规定》进行</w:t>
      </w:r>
      <w:r>
        <w:rPr>
          <w:rFonts w:ascii="微软雅黑" w:hAnsi="微软雅黑" w:eastAsia="微软雅黑" w:cs="微软雅黑"/>
          <w:color w:val="231F20"/>
          <w:spacing w:val="5"/>
          <w:sz w:val="22"/>
          <w:szCs w:val="22"/>
        </w:rPr>
        <w:t>了</w:t>
      </w:r>
      <w:r>
        <w:rPr>
          <w:rFonts w:ascii="微软雅黑" w:hAnsi="微软雅黑" w:eastAsia="微软雅黑" w:cs="微软雅黑"/>
          <w:color w:val="231F20"/>
          <w:spacing w:val="3"/>
          <w:sz w:val="22"/>
          <w:szCs w:val="22"/>
        </w:rPr>
        <w:t>第三次修订。修订的核心内容包括简化外商投资电信企业设立程</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序，  以及删除对</w:t>
      </w:r>
      <w:r>
        <w:rPr>
          <w:rFonts w:ascii="微软雅黑" w:hAnsi="微软雅黑" w:eastAsia="微软雅黑" w:cs="微软雅黑"/>
          <w:color w:val="231F20"/>
          <w:sz w:val="22"/>
          <w:szCs w:val="22"/>
        </w:rPr>
        <w:t xml:space="preserve">外方主要投资者“电信业务的良好业绩和运营经验”的要求。新修订 </w:t>
      </w:r>
      <w:r>
        <w:rPr>
          <w:rFonts w:ascii="微软雅黑" w:hAnsi="微软雅黑" w:eastAsia="微软雅黑" w:cs="微软雅黑"/>
          <w:color w:val="231F20"/>
          <w:spacing w:val="8"/>
          <w:sz w:val="22"/>
          <w:szCs w:val="22"/>
        </w:rPr>
        <w:t>的</w:t>
      </w:r>
      <w:r>
        <w:rPr>
          <w:rFonts w:ascii="微软雅黑" w:hAnsi="微软雅黑" w:eastAsia="微软雅黑" w:cs="微软雅黑"/>
          <w:color w:val="231F20"/>
          <w:spacing w:val="5"/>
          <w:sz w:val="22"/>
          <w:szCs w:val="22"/>
        </w:rPr>
        <w:t>《</w:t>
      </w:r>
      <w:r>
        <w:rPr>
          <w:rFonts w:ascii="微软雅黑" w:hAnsi="微软雅黑" w:eastAsia="微软雅黑" w:cs="微软雅黑"/>
          <w:color w:val="231F20"/>
          <w:spacing w:val="4"/>
          <w:sz w:val="22"/>
          <w:szCs w:val="22"/>
        </w:rPr>
        <w:t>外商投资电信企业管理规定》保留了基础电信业务 ( 无线寻呼业务除外 ) 外方出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资比例不超过 </w:t>
      </w:r>
      <w:r>
        <w:rPr>
          <w:rFonts w:ascii="Times New Roman" w:hAnsi="Times New Roman" w:eastAsia="Times New Roman" w:cs="Times New Roman"/>
          <w:color w:val="231F20"/>
          <w:spacing w:val="2"/>
          <w:sz w:val="22"/>
          <w:szCs w:val="22"/>
        </w:rPr>
        <w:t xml:space="preserve">49% </w:t>
      </w:r>
      <w:r>
        <w:rPr>
          <w:rFonts w:ascii="微软雅黑" w:hAnsi="微软雅黑" w:eastAsia="微软雅黑" w:cs="微软雅黑"/>
          <w:color w:val="231F20"/>
          <w:spacing w:val="2"/>
          <w:sz w:val="22"/>
          <w:szCs w:val="22"/>
        </w:rPr>
        <w:t>、增值电信业务 ( 包括基础电信业务中的无线寻呼业务 ) 外方</w:t>
      </w:r>
      <w:r>
        <w:rPr>
          <w:rFonts w:ascii="微软雅黑" w:hAnsi="微软雅黑" w:eastAsia="微软雅黑" w:cs="微软雅黑"/>
          <w:color w:val="231F20"/>
          <w:spacing w:val="1"/>
          <w:sz w:val="22"/>
          <w:szCs w:val="22"/>
        </w:rPr>
        <w:t>出</w:t>
      </w:r>
      <w:r>
        <w:rPr>
          <w:rFonts w:ascii="微软雅黑" w:hAnsi="微软雅黑" w:eastAsia="微软雅黑" w:cs="微软雅黑"/>
          <w:color w:val="231F20"/>
          <w:sz w:val="22"/>
          <w:szCs w:val="22"/>
        </w:rPr>
        <w:t xml:space="preserve">资 </w:t>
      </w:r>
      <w:r>
        <w:rPr>
          <w:rFonts w:ascii="微软雅黑" w:hAnsi="微软雅黑" w:eastAsia="微软雅黑" w:cs="微软雅黑"/>
          <w:color w:val="231F20"/>
          <w:spacing w:val="-1"/>
          <w:sz w:val="22"/>
          <w:szCs w:val="22"/>
        </w:rPr>
        <w:t xml:space="preserve">比例不超过 </w:t>
      </w:r>
      <w:r>
        <w:rPr>
          <w:rFonts w:ascii="Times New Roman" w:hAnsi="Times New Roman" w:eastAsia="Times New Roman" w:cs="Times New Roman"/>
          <w:color w:val="231F20"/>
          <w:spacing w:val="-1"/>
          <w:sz w:val="22"/>
          <w:szCs w:val="22"/>
        </w:rPr>
        <w:t xml:space="preserve">50% </w:t>
      </w:r>
      <w:r>
        <w:rPr>
          <w:rFonts w:ascii="微软雅黑" w:hAnsi="微软雅黑" w:eastAsia="微软雅黑" w:cs="微软雅黑"/>
          <w:color w:val="231F20"/>
          <w:spacing w:val="-1"/>
          <w:sz w:val="22"/>
          <w:szCs w:val="22"/>
        </w:rPr>
        <w:t>的基本要求</w:t>
      </w:r>
      <w:r>
        <w:rPr>
          <w:rFonts w:ascii="微软雅黑" w:hAnsi="微软雅黑" w:eastAsia="微软雅黑" w:cs="微软雅黑"/>
          <w:color w:val="231F20"/>
          <w:sz w:val="22"/>
          <w:szCs w:val="22"/>
        </w:rPr>
        <w:t xml:space="preserve"> ，取消了“以中外合资经营形式”设立外商投资电信企业 </w:t>
      </w:r>
      <w:r>
        <w:rPr>
          <w:rFonts w:ascii="微软雅黑" w:hAnsi="微软雅黑" w:eastAsia="微软雅黑" w:cs="微软雅黑"/>
          <w:color w:val="231F20"/>
          <w:spacing w:val="2"/>
          <w:sz w:val="22"/>
          <w:szCs w:val="22"/>
        </w:rPr>
        <w:t>的限定 ，而将外商投资电信企业定义为“外国投资者依法在中华人民共和国</w:t>
      </w:r>
      <w:r>
        <w:rPr>
          <w:rFonts w:ascii="微软雅黑" w:hAnsi="微软雅黑" w:eastAsia="微软雅黑" w:cs="微软雅黑"/>
          <w:color w:val="231F20"/>
          <w:sz w:val="22"/>
          <w:szCs w:val="22"/>
        </w:rPr>
        <w:t xml:space="preserve">境内设立 </w:t>
      </w:r>
      <w:r>
        <w:rPr>
          <w:rFonts w:ascii="微软雅黑" w:hAnsi="微软雅黑" w:eastAsia="微软雅黑" w:cs="微软雅黑"/>
          <w:color w:val="231F20"/>
          <w:spacing w:val="1"/>
          <w:sz w:val="22"/>
          <w:szCs w:val="22"/>
        </w:rPr>
        <w:t>的</w:t>
      </w:r>
      <w:r>
        <w:rPr>
          <w:rFonts w:ascii="微软雅黑" w:hAnsi="微软雅黑" w:eastAsia="微软雅黑" w:cs="微软雅黑"/>
          <w:color w:val="231F20"/>
          <w:sz w:val="22"/>
          <w:szCs w:val="22"/>
        </w:rPr>
        <w:t xml:space="preserve">经营电信业务的企业” 。这意味着外商投资电信企业不仅可以合资经营 ，就特定电 </w:t>
      </w:r>
      <w:r>
        <w:rPr>
          <w:rFonts w:ascii="微软雅黑" w:hAnsi="微软雅黑" w:eastAsia="微软雅黑" w:cs="微软雅黑"/>
          <w:color w:val="231F20"/>
          <w:spacing w:val="1"/>
          <w:sz w:val="22"/>
          <w:szCs w:val="22"/>
        </w:rPr>
        <w:t>信业务而</w:t>
      </w:r>
      <w:r>
        <w:rPr>
          <w:rFonts w:ascii="微软雅黑" w:hAnsi="微软雅黑" w:eastAsia="微软雅黑" w:cs="微软雅黑"/>
          <w:color w:val="231F20"/>
          <w:sz w:val="22"/>
          <w:szCs w:val="22"/>
        </w:rPr>
        <w:t xml:space="preserve">言 ，也可以外商独资经营。随着中国电信领域不断扩大开放，根据 </w:t>
      </w:r>
      <w:r>
        <w:rPr>
          <w:rFonts w:ascii="Times New Roman" w:hAnsi="Times New Roman" w:eastAsia="Times New Roman" w:cs="Times New Roman"/>
          <w:color w:val="231F20"/>
          <w:sz w:val="22"/>
          <w:szCs w:val="22"/>
        </w:rPr>
        <w:t xml:space="preserve">OECD </w:t>
      </w:r>
      <w:r>
        <w:rPr>
          <w:rFonts w:ascii="微软雅黑" w:hAnsi="微软雅黑" w:eastAsia="微软雅黑" w:cs="微软雅黑"/>
          <w:color w:val="231F20"/>
          <w:sz w:val="22"/>
          <w:szCs w:val="22"/>
        </w:rPr>
        <w:t xml:space="preserve">发 </w:t>
      </w:r>
      <w:r>
        <w:rPr>
          <w:rFonts w:ascii="微软雅黑" w:hAnsi="微软雅黑" w:eastAsia="微软雅黑" w:cs="微软雅黑"/>
          <w:color w:val="231F20"/>
          <w:spacing w:val="-1"/>
          <w:sz w:val="22"/>
          <w:szCs w:val="22"/>
        </w:rPr>
        <w:t>布的服务贸易限制指数，  中</w:t>
      </w:r>
      <w:r>
        <w:rPr>
          <w:rFonts w:ascii="微软雅黑" w:hAnsi="微软雅黑" w:eastAsia="微软雅黑" w:cs="微软雅黑"/>
          <w:color w:val="231F20"/>
          <w:sz w:val="22"/>
          <w:szCs w:val="22"/>
        </w:rPr>
        <w:t xml:space="preserve">国电信业服务贸易限制指数 ( </w:t>
      </w:r>
      <w:r>
        <w:rPr>
          <w:rFonts w:ascii="Times New Roman" w:hAnsi="Times New Roman" w:eastAsia="Times New Roman" w:cs="Times New Roman"/>
          <w:color w:val="231F20"/>
          <w:sz w:val="22"/>
          <w:szCs w:val="22"/>
        </w:rPr>
        <w:t xml:space="preserve">STRI </w:t>
      </w:r>
      <w:r>
        <w:rPr>
          <w:rFonts w:ascii="微软雅黑" w:hAnsi="微软雅黑" w:eastAsia="微软雅黑" w:cs="微软雅黑"/>
          <w:color w:val="231F20"/>
          <w:sz w:val="22"/>
          <w:szCs w:val="22"/>
        </w:rPr>
        <w:t xml:space="preserve">) 已由 </w:t>
      </w:r>
      <w:r>
        <w:rPr>
          <w:rFonts w:ascii="Times New Roman" w:hAnsi="Times New Roman" w:eastAsia="Times New Roman" w:cs="Times New Roman"/>
          <w:color w:val="231F20"/>
          <w:sz w:val="22"/>
          <w:szCs w:val="22"/>
        </w:rPr>
        <w:t xml:space="preserve">2014 </w:t>
      </w:r>
      <w:r>
        <w:rPr>
          <w:rFonts w:ascii="微软雅黑" w:hAnsi="微软雅黑" w:eastAsia="微软雅黑" w:cs="微软雅黑"/>
          <w:color w:val="231F20"/>
          <w:sz w:val="22"/>
          <w:szCs w:val="22"/>
        </w:rPr>
        <w:t xml:space="preserve">年的 </w:t>
      </w:r>
      <w:r>
        <w:rPr>
          <w:rFonts w:ascii="Times New Roman" w:hAnsi="Times New Roman" w:eastAsia="Times New Roman" w:cs="Times New Roman"/>
          <w:color w:val="231F20"/>
          <w:sz w:val="22"/>
          <w:szCs w:val="22"/>
        </w:rPr>
        <w:t xml:space="preserve">0.219 </w:t>
      </w:r>
      <w:r>
        <w:rPr>
          <w:rFonts w:ascii="微软雅黑" w:hAnsi="微软雅黑" w:eastAsia="微软雅黑" w:cs="微软雅黑"/>
          <w:color w:val="231F20"/>
          <w:spacing w:val="-1"/>
          <w:sz w:val="22"/>
          <w:szCs w:val="22"/>
        </w:rPr>
        <w:t xml:space="preserve">降至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年的 </w:t>
      </w:r>
      <w:r>
        <w:rPr>
          <w:rFonts w:ascii="Times New Roman" w:hAnsi="Times New Roman" w:eastAsia="Times New Roman" w:cs="Times New Roman"/>
          <w:color w:val="231F20"/>
          <w:spacing w:val="-1"/>
          <w:sz w:val="22"/>
          <w:szCs w:val="22"/>
        </w:rPr>
        <w:t>0.2</w:t>
      </w:r>
      <w:r>
        <w:rPr>
          <w:rFonts w:ascii="Times New Roman" w:hAnsi="Times New Roman" w:eastAsia="Times New Roman" w:cs="Times New Roman"/>
          <w:color w:val="231F20"/>
          <w:sz w:val="22"/>
          <w:szCs w:val="22"/>
        </w:rPr>
        <w:t>09</w:t>
      </w:r>
      <w:r>
        <w:rPr>
          <w:rFonts w:ascii="微软雅黑" w:hAnsi="微软雅黑" w:eastAsia="微软雅黑" w:cs="微软雅黑"/>
          <w:color w:val="231F20"/>
          <w:sz w:val="22"/>
          <w:szCs w:val="22"/>
        </w:rPr>
        <w:t>。</w:t>
      </w:r>
    </w:p>
    <w:p>
      <w:pPr>
        <w:spacing w:before="186" w:line="214" w:lineRule="auto"/>
        <w:ind w:left="2444"/>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鼓励和引导外资投向生产</w:t>
      </w:r>
      <w:r>
        <w:rPr>
          <w:rFonts w:ascii="KaiTi" w:hAnsi="KaiTi" w:eastAsia="KaiTi" w:cs="KaiTi"/>
          <w:color w:val="015DAC"/>
          <w:sz w:val="22"/>
          <w:szCs w:val="22"/>
        </w:rPr>
        <w:t>性服务业</w:t>
      </w:r>
    </w:p>
    <w:p>
      <w:pPr>
        <w:spacing w:line="271" w:lineRule="auto"/>
        <w:rPr>
          <w:rFonts w:ascii="Arial"/>
          <w:sz w:val="21"/>
        </w:rPr>
      </w:pPr>
    </w:p>
    <w:p>
      <w:pPr>
        <w:spacing w:before="95" w:line="257" w:lineRule="auto"/>
        <w:ind w:left="1991" w:right="1975" w:firstLine="434"/>
        <w:rPr>
          <w:rFonts w:ascii="微软雅黑" w:hAnsi="微软雅黑" w:eastAsia="微软雅黑" w:cs="微软雅黑"/>
          <w:sz w:val="22"/>
          <w:szCs w:val="22"/>
        </w:rPr>
      </w:pPr>
      <w:r>
        <w:rPr>
          <w:rFonts w:ascii="微软雅黑" w:hAnsi="微软雅黑" w:eastAsia="微软雅黑" w:cs="微软雅黑"/>
          <w:color w:val="231F20"/>
          <w:spacing w:val="-3"/>
          <w:sz w:val="22"/>
          <w:szCs w:val="22"/>
        </w:rPr>
        <w:t>《  “十四五”利用外资发展规划》 明确指出，支持外商投资企业发展研发设计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金</w:t>
      </w:r>
      <w:r>
        <w:rPr>
          <w:rFonts w:ascii="微软雅黑" w:hAnsi="微软雅黑" w:eastAsia="微软雅黑" w:cs="微软雅黑"/>
          <w:color w:val="231F20"/>
          <w:spacing w:val="4"/>
          <w:sz w:val="22"/>
          <w:szCs w:val="22"/>
        </w:rPr>
        <w:t>融服务 、现代物流 、供应链管理 、信息服务等生产性服务业。《鼓励外商投资产</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业目录 (</w:t>
      </w:r>
      <w:r>
        <w:rPr>
          <w:rFonts w:ascii="微软雅黑" w:hAnsi="微软雅黑" w:eastAsia="微软雅黑" w:cs="微软雅黑"/>
          <w:color w:val="231F20"/>
          <w:spacing w:val="4"/>
          <w:sz w:val="22"/>
          <w:szCs w:val="22"/>
        </w:rPr>
        <w:t xml:space="preserve"> </w:t>
      </w:r>
      <w:r>
        <w:rPr>
          <w:rFonts w:ascii="Times New Roman" w:hAnsi="Times New Roman" w:eastAsia="Times New Roman" w:cs="Times New Roman"/>
          <w:color w:val="231F20"/>
          <w:spacing w:val="4"/>
          <w:sz w:val="22"/>
          <w:szCs w:val="22"/>
        </w:rPr>
        <w:t xml:space="preserve">2020 </w:t>
      </w:r>
      <w:r>
        <w:rPr>
          <w:rFonts w:ascii="微软雅黑" w:hAnsi="微软雅黑" w:eastAsia="微软雅黑" w:cs="微软雅黑"/>
          <w:color w:val="231F20"/>
          <w:spacing w:val="4"/>
          <w:sz w:val="22"/>
          <w:szCs w:val="22"/>
        </w:rPr>
        <w:t>年版 )  》针对生产性服务行业 ，在研发设计领域新增或修改第五代移</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动通信技术研发 、区块链技术开发 、污水处理设施设计等条</w:t>
      </w:r>
      <w:r>
        <w:rPr>
          <w:rFonts w:ascii="微软雅黑" w:hAnsi="微软雅黑" w:eastAsia="微软雅黑" w:cs="微软雅黑"/>
          <w:color w:val="231F20"/>
          <w:sz w:val="22"/>
          <w:szCs w:val="22"/>
        </w:rPr>
        <w:t xml:space="preserve">目；  商务服务领域 ，新 </w:t>
      </w:r>
      <w:r>
        <w:rPr>
          <w:rFonts w:ascii="微软雅黑" w:hAnsi="微软雅黑" w:eastAsia="微软雅黑" w:cs="微软雅黑"/>
          <w:color w:val="231F20"/>
          <w:spacing w:val="4"/>
          <w:sz w:val="22"/>
          <w:szCs w:val="22"/>
        </w:rPr>
        <w:t>增高端装备维修</w:t>
      </w:r>
      <w:r>
        <w:rPr>
          <w:rFonts w:ascii="微软雅黑" w:hAnsi="微软雅黑" w:eastAsia="微软雅黑" w:cs="微软雅黑"/>
          <w:color w:val="231F20"/>
          <w:spacing w:val="2"/>
          <w:sz w:val="22"/>
          <w:szCs w:val="22"/>
        </w:rPr>
        <w:t xml:space="preserve"> 、数字化生产线改造与集成 、工业服务网络平台等条目；  现代物流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领域新增或修改大宗商品进出口分拨中心 、社区连锁配送等条目。信息服务领域</w:t>
      </w:r>
      <w:r>
        <w:rPr>
          <w:rFonts w:ascii="微软雅黑" w:hAnsi="微软雅黑" w:eastAsia="微软雅黑" w:cs="微软雅黑"/>
          <w:color w:val="231F20"/>
          <w:spacing w:val="4"/>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新</w:t>
      </w:r>
      <w:r>
        <w:rPr>
          <w:rFonts w:ascii="微软雅黑" w:hAnsi="微软雅黑" w:eastAsia="微软雅黑" w:cs="微软雅黑"/>
          <w:color w:val="231F20"/>
          <w:spacing w:val="6"/>
          <w:sz w:val="22"/>
          <w:szCs w:val="22"/>
        </w:rPr>
        <w:t>增</w:t>
      </w:r>
      <w:r>
        <w:rPr>
          <w:rFonts w:ascii="微软雅黑" w:hAnsi="微软雅黑" w:eastAsia="微软雅黑" w:cs="微软雅黑"/>
          <w:color w:val="231F20"/>
          <w:spacing w:val="4"/>
          <w:sz w:val="22"/>
          <w:szCs w:val="22"/>
        </w:rPr>
        <w:t>在线教育 、在线医疗 、在线办公等条目。国家发展改革委 、商务部发布的《鼓</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励外商投资产业目录 ( </w:t>
      </w:r>
      <w:r>
        <w:rPr>
          <w:rFonts w:ascii="Times New Roman" w:hAnsi="Times New Roman" w:eastAsia="Times New Roman" w:cs="Times New Roman"/>
          <w:color w:val="231F20"/>
          <w:spacing w:val="-1"/>
          <w:sz w:val="22"/>
          <w:szCs w:val="22"/>
        </w:rPr>
        <w:t xml:space="preserve">2022 </w:t>
      </w:r>
      <w:r>
        <w:rPr>
          <w:rFonts w:ascii="微软雅黑" w:hAnsi="微软雅黑" w:eastAsia="微软雅黑" w:cs="微软雅黑"/>
          <w:color w:val="231F20"/>
          <w:spacing w:val="-1"/>
          <w:sz w:val="22"/>
          <w:szCs w:val="22"/>
        </w:rPr>
        <w:t xml:space="preserve">年版 )  </w:t>
      </w:r>
      <w:r>
        <w:rPr>
          <w:rFonts w:ascii="微软雅黑" w:hAnsi="微软雅黑" w:eastAsia="微软雅黑" w:cs="微软雅黑"/>
          <w:color w:val="231F20"/>
          <w:sz w:val="22"/>
          <w:szCs w:val="22"/>
        </w:rPr>
        <w:t xml:space="preserve"> ( 征求意见稿 )  》  ，在商务服务领域，  又新增了 </w:t>
      </w:r>
      <w:r>
        <w:rPr>
          <w:rFonts w:ascii="微软雅黑" w:hAnsi="微软雅黑" w:eastAsia="微软雅黑" w:cs="微软雅黑"/>
          <w:color w:val="231F20"/>
          <w:spacing w:val="4"/>
          <w:sz w:val="22"/>
          <w:szCs w:val="22"/>
        </w:rPr>
        <w:t>人力资源服务 、语言服务产业等条目 ，在科学研究和技术服务领域 ，增加了专业</w:t>
      </w:r>
      <w:r>
        <w:rPr>
          <w:rFonts w:ascii="微软雅黑" w:hAnsi="微软雅黑" w:eastAsia="微软雅黑" w:cs="微软雅黑"/>
          <w:color w:val="231F20"/>
          <w:spacing w:val="2"/>
          <w:sz w:val="22"/>
          <w:szCs w:val="22"/>
        </w:rPr>
        <w:t>研</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发设计 、环境友好型技术开发及应用等条目。  中国逐渐完善鼓励外商投资产业目</w:t>
      </w:r>
      <w:r>
        <w:rPr>
          <w:rFonts w:ascii="微软雅黑" w:hAnsi="微软雅黑" w:eastAsia="微软雅黑" w:cs="微软雅黑"/>
          <w:color w:val="231F20"/>
          <w:spacing w:val="2"/>
          <w:sz w:val="22"/>
          <w:szCs w:val="22"/>
        </w:rPr>
        <w:t>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中生产性服务</w:t>
      </w:r>
      <w:r>
        <w:rPr>
          <w:rFonts w:ascii="微软雅黑" w:hAnsi="微软雅黑" w:eastAsia="微软雅黑" w:cs="微软雅黑"/>
          <w:color w:val="231F20"/>
          <w:spacing w:val="5"/>
          <w:sz w:val="22"/>
          <w:szCs w:val="22"/>
        </w:rPr>
        <w:t>行业投资条目 ，有利于促进外资投向重点生产性服务行业领域 ，促进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生</w:t>
      </w:r>
      <w:r>
        <w:rPr>
          <w:rFonts w:ascii="微软雅黑" w:hAnsi="微软雅黑" w:eastAsia="微软雅黑" w:cs="微软雅黑"/>
          <w:color w:val="231F20"/>
          <w:spacing w:val="3"/>
          <w:sz w:val="22"/>
          <w:szCs w:val="22"/>
        </w:rPr>
        <w:t>产性服务业高质量发展。</w:t>
      </w:r>
    </w:p>
    <w:p>
      <w:pPr>
        <w:spacing w:before="180" w:line="214" w:lineRule="auto"/>
        <w:ind w:left="2447"/>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持续加大生产性</w:t>
      </w:r>
      <w:r>
        <w:rPr>
          <w:rFonts w:ascii="KaiTi" w:hAnsi="KaiTi" w:eastAsia="KaiTi" w:cs="KaiTi"/>
          <w:color w:val="015DAC"/>
          <w:sz w:val="22"/>
          <w:szCs w:val="22"/>
        </w:rPr>
        <w:t>服务业税收减免支持</w:t>
      </w:r>
    </w:p>
    <w:p>
      <w:pPr>
        <w:spacing w:line="266" w:lineRule="auto"/>
        <w:rPr>
          <w:rFonts w:ascii="Arial"/>
          <w:sz w:val="21"/>
        </w:rPr>
      </w:pPr>
    </w:p>
    <w:p>
      <w:pPr>
        <w:spacing w:before="95" w:line="272" w:lineRule="auto"/>
        <w:ind w:left="1995" w:right="1982" w:firstLine="456"/>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生</w:t>
      </w:r>
      <w:r>
        <w:rPr>
          <w:rFonts w:ascii="微软雅黑" w:hAnsi="微软雅黑" w:eastAsia="微软雅黑" w:cs="微软雅黑"/>
          <w:color w:val="231F20"/>
          <w:spacing w:val="5"/>
          <w:sz w:val="22"/>
          <w:szCs w:val="22"/>
        </w:rPr>
        <w:t>产</w:t>
      </w:r>
      <w:r>
        <w:rPr>
          <w:rFonts w:ascii="微软雅黑" w:hAnsi="微软雅黑" w:eastAsia="微软雅黑" w:cs="微软雅黑"/>
          <w:color w:val="231F20"/>
          <w:spacing w:val="3"/>
          <w:sz w:val="22"/>
          <w:szCs w:val="22"/>
        </w:rPr>
        <w:t>性服务业一直是中国支持发展的重点领域。针对疫情造成的部分生产性服务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行业发展面临的困难，</w:t>
      </w:r>
      <w:r>
        <w:rPr>
          <w:rFonts w:ascii="Times New Roman" w:hAnsi="Times New Roman" w:eastAsia="Times New Roman" w:cs="Times New Roman"/>
          <w:color w:val="231F20"/>
          <w:spacing w:val="1"/>
          <w:sz w:val="22"/>
          <w:szCs w:val="22"/>
        </w:rPr>
        <w:t xml:space="preserve">2022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2 </w:t>
      </w:r>
      <w:r>
        <w:rPr>
          <w:rFonts w:ascii="微软雅黑" w:hAnsi="微软雅黑" w:eastAsia="微软雅黑" w:cs="微软雅黑"/>
          <w:color w:val="231F20"/>
          <w:spacing w:val="1"/>
          <w:sz w:val="22"/>
          <w:szCs w:val="22"/>
        </w:rPr>
        <w:t>月，  国家发展改革委、财</w:t>
      </w:r>
      <w:r>
        <w:rPr>
          <w:rFonts w:ascii="微软雅黑" w:hAnsi="微软雅黑" w:eastAsia="微软雅黑" w:cs="微软雅黑"/>
          <w:color w:val="231F20"/>
          <w:sz w:val="22"/>
          <w:szCs w:val="22"/>
        </w:rPr>
        <w:t xml:space="preserve">政部、税务总局等 </w:t>
      </w:r>
      <w:r>
        <w:rPr>
          <w:rFonts w:ascii="Times New Roman" w:hAnsi="Times New Roman" w:eastAsia="Times New Roman" w:cs="Times New Roman"/>
          <w:color w:val="231F20"/>
          <w:sz w:val="22"/>
          <w:szCs w:val="22"/>
        </w:rPr>
        <w:t xml:space="preserve">14 </w:t>
      </w:r>
      <w:r>
        <w:rPr>
          <w:rFonts w:ascii="微软雅黑" w:hAnsi="微软雅黑" w:eastAsia="微软雅黑" w:cs="微软雅黑"/>
          <w:color w:val="231F20"/>
          <w:sz w:val="22"/>
          <w:szCs w:val="22"/>
        </w:rPr>
        <w:t>部门</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05043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bookmarkStart w:id="56" w:name="_bookmark39"/>
      <w:bookmarkEnd w:id="56"/>
      <w:bookmarkStart w:id="57" w:name="_bookmark40"/>
      <w:bookmarkEnd w:id="57"/>
      <w:r>
        <w:rPr>
          <w:rFonts w:ascii="Arial" w:hAnsi="Arial" w:eastAsia="Arial" w:cs="Arial"/>
          <w:color w:val="231F20"/>
          <w:spacing w:val="40"/>
          <w:sz w:val="20"/>
          <w:szCs w:val="20"/>
        </w:rPr>
        <w:t>5</w:t>
      </w:r>
      <w:r>
        <w:rPr>
          <w:rFonts w:ascii="Arial" w:hAnsi="Arial" w:eastAsia="Arial" w:cs="Arial"/>
          <w:color w:val="231F20"/>
          <w:spacing w:val="21"/>
          <w:sz w:val="20"/>
          <w:szCs w:val="20"/>
        </w:rPr>
        <w:t xml:space="preserve">6  </w:t>
      </w:r>
      <w:r>
        <w:rPr>
          <w:position w:val="-5"/>
          <w:sz w:val="20"/>
          <w:szCs w:val="20"/>
        </w:rPr>
        <w:drawing>
          <wp:inline distT="0" distB="0" distL="0" distR="0">
            <wp:extent cx="3175" cy="147320"/>
            <wp:effectExtent l="0" t="0" r="0" b="0"/>
            <wp:docPr id="295" name="IM 295"/>
            <wp:cNvGraphicFramePr/>
            <a:graphic xmlns:a="http://schemas.openxmlformats.org/drawingml/2006/main">
              <a:graphicData uri="http://schemas.openxmlformats.org/drawingml/2006/picture">
                <pic:pic xmlns:pic="http://schemas.openxmlformats.org/drawingml/2006/picture">
                  <pic:nvPicPr>
                    <pic:cNvPr id="295" name="IM 295"/>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产业篇</w: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94" w:line="258" w:lineRule="auto"/>
        <w:ind w:left="1987" w:right="1982" w:firstLine="5"/>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联合印发</w:t>
      </w:r>
      <w:r>
        <w:rPr>
          <w:rFonts w:ascii="微软雅黑" w:hAnsi="微软雅黑" w:eastAsia="微软雅黑" w:cs="微软雅黑"/>
          <w:color w:val="231F20"/>
          <w:sz w:val="22"/>
          <w:szCs w:val="22"/>
        </w:rPr>
        <w:t xml:space="preserve">的《关于促进服务业领域困难行业恢复发展的若干政策》  ，对包括交通运输 </w:t>
      </w:r>
      <w:r>
        <w:rPr>
          <w:rFonts w:ascii="微软雅黑" w:hAnsi="微软雅黑" w:eastAsia="微软雅黑" w:cs="微软雅黑"/>
          <w:color w:val="231F20"/>
          <w:spacing w:val="8"/>
          <w:sz w:val="22"/>
          <w:szCs w:val="22"/>
        </w:rPr>
        <w:t>等</w:t>
      </w:r>
      <w:r>
        <w:rPr>
          <w:rFonts w:ascii="微软雅黑" w:hAnsi="微软雅黑" w:eastAsia="微软雅黑" w:cs="微软雅黑"/>
          <w:color w:val="231F20"/>
          <w:spacing w:val="7"/>
          <w:sz w:val="22"/>
          <w:szCs w:val="22"/>
        </w:rPr>
        <w:t>生</w:t>
      </w:r>
      <w:r>
        <w:rPr>
          <w:rFonts w:ascii="微软雅黑" w:hAnsi="微软雅黑" w:eastAsia="微软雅黑" w:cs="微软雅黑"/>
          <w:color w:val="231F20"/>
          <w:spacing w:val="4"/>
          <w:sz w:val="22"/>
          <w:szCs w:val="22"/>
        </w:rPr>
        <w:t xml:space="preserve">产性服务行业在内的六大行业提出 </w:t>
      </w:r>
      <w:r>
        <w:rPr>
          <w:rFonts w:ascii="Times New Roman" w:hAnsi="Times New Roman" w:eastAsia="Times New Roman" w:cs="Times New Roman"/>
          <w:color w:val="231F20"/>
          <w:spacing w:val="4"/>
          <w:sz w:val="22"/>
          <w:szCs w:val="22"/>
        </w:rPr>
        <w:t xml:space="preserve">41 </w:t>
      </w:r>
      <w:r>
        <w:rPr>
          <w:rFonts w:ascii="微软雅黑" w:hAnsi="微软雅黑" w:eastAsia="微软雅黑" w:cs="微软雅黑"/>
          <w:color w:val="231F20"/>
          <w:spacing w:val="4"/>
          <w:sz w:val="22"/>
          <w:szCs w:val="22"/>
        </w:rPr>
        <w:t>项助企纾困扶持措施 ，对生产、生活性服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 xml:space="preserve">务业纳税人当期可抵扣进项税额继续分别按 </w:t>
      </w:r>
      <w:r>
        <w:rPr>
          <w:rFonts w:ascii="Times New Roman" w:hAnsi="Times New Roman" w:eastAsia="Times New Roman" w:cs="Times New Roman"/>
          <w:color w:val="231F20"/>
          <w:spacing w:val="3"/>
          <w:sz w:val="22"/>
          <w:szCs w:val="22"/>
        </w:rPr>
        <w:t xml:space="preserve">10% </w:t>
      </w:r>
      <w:r>
        <w:rPr>
          <w:rFonts w:ascii="微软雅黑" w:hAnsi="微软雅黑" w:eastAsia="微软雅黑" w:cs="微软雅黑"/>
          <w:color w:val="231F20"/>
          <w:spacing w:val="3"/>
          <w:sz w:val="22"/>
          <w:szCs w:val="22"/>
        </w:rPr>
        <w:t xml:space="preserve">和 </w:t>
      </w:r>
      <w:r>
        <w:rPr>
          <w:rFonts w:ascii="Times New Roman" w:hAnsi="Times New Roman" w:eastAsia="Times New Roman" w:cs="Times New Roman"/>
          <w:color w:val="231F20"/>
          <w:spacing w:val="3"/>
          <w:sz w:val="22"/>
          <w:szCs w:val="22"/>
        </w:rPr>
        <w:t xml:space="preserve">15% </w:t>
      </w:r>
      <w:r>
        <w:rPr>
          <w:rFonts w:ascii="微软雅黑" w:hAnsi="微软雅黑" w:eastAsia="微软雅黑" w:cs="微软雅黑"/>
          <w:color w:val="231F20"/>
          <w:spacing w:val="3"/>
          <w:sz w:val="22"/>
          <w:szCs w:val="22"/>
        </w:rPr>
        <w:t>加计抵减应纳税额。</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1"/>
          <w:sz w:val="22"/>
          <w:szCs w:val="22"/>
        </w:rPr>
        <w:t>年</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6"/>
          <w:sz w:val="22"/>
          <w:szCs w:val="22"/>
        </w:rPr>
        <w:t xml:space="preserve">3 </w:t>
      </w:r>
      <w:r>
        <w:rPr>
          <w:rFonts w:ascii="微软雅黑" w:hAnsi="微软雅黑" w:eastAsia="微软雅黑" w:cs="微软雅黑"/>
          <w:color w:val="231F20"/>
          <w:spacing w:val="6"/>
          <w:sz w:val="22"/>
          <w:szCs w:val="22"/>
        </w:rPr>
        <w:t>月 ，</w:t>
      </w:r>
      <w:r>
        <w:rPr>
          <w:rFonts w:ascii="微软雅黑" w:hAnsi="微软雅黑" w:eastAsia="微软雅黑" w:cs="微软雅黑"/>
          <w:color w:val="231F20"/>
          <w:spacing w:val="3"/>
          <w:sz w:val="22"/>
          <w:szCs w:val="22"/>
        </w:rPr>
        <w:t xml:space="preserve">财政部发布《关于 </w:t>
      </w:r>
      <w:r>
        <w:rPr>
          <w:rFonts w:ascii="Times New Roman" w:hAnsi="Times New Roman" w:eastAsia="Times New Roman" w:cs="Times New Roman"/>
          <w:color w:val="231F20"/>
          <w:spacing w:val="3"/>
          <w:sz w:val="22"/>
          <w:szCs w:val="22"/>
        </w:rPr>
        <w:t xml:space="preserve">2021-2030 </w:t>
      </w:r>
      <w:r>
        <w:rPr>
          <w:rFonts w:ascii="微软雅黑" w:hAnsi="微软雅黑" w:eastAsia="微软雅黑" w:cs="微软雅黑"/>
          <w:color w:val="231F20"/>
          <w:spacing w:val="3"/>
          <w:sz w:val="22"/>
          <w:szCs w:val="22"/>
        </w:rPr>
        <w:t>年支持民用航空维修用航空器材进口税收政策的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通</w:t>
      </w:r>
      <w:r>
        <w:rPr>
          <w:rFonts w:ascii="微软雅黑" w:hAnsi="微软雅黑" w:eastAsia="微软雅黑" w:cs="微软雅黑"/>
          <w:color w:val="231F20"/>
          <w:spacing w:val="-4"/>
          <w:sz w:val="22"/>
          <w:szCs w:val="22"/>
        </w:rPr>
        <w:t>知</w:t>
      </w:r>
      <w:r>
        <w:rPr>
          <w:rFonts w:ascii="微软雅黑" w:hAnsi="微软雅黑" w:eastAsia="微软雅黑" w:cs="微软雅黑"/>
          <w:color w:val="231F20"/>
          <w:spacing w:val="-3"/>
          <w:sz w:val="22"/>
          <w:szCs w:val="22"/>
        </w:rPr>
        <w:t>》</w:t>
      </w:r>
      <w:r>
        <w:rPr>
          <w:rFonts w:ascii="Times New Roman" w:hAnsi="Times New Roman" w:eastAsia="Times New Roman" w:cs="Times New Roman"/>
          <w:color w:val="231F20"/>
          <w:spacing w:val="-3"/>
          <w:sz w:val="22"/>
          <w:szCs w:val="22"/>
        </w:rPr>
        <w:t xml:space="preserve">( </w:t>
      </w:r>
      <w:r>
        <w:rPr>
          <w:rFonts w:ascii="微软雅黑" w:hAnsi="微软雅黑" w:eastAsia="微软雅黑" w:cs="微软雅黑"/>
          <w:color w:val="231F20"/>
          <w:spacing w:val="-3"/>
          <w:sz w:val="22"/>
          <w:szCs w:val="22"/>
        </w:rPr>
        <w:t xml:space="preserve">财关税〔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w:t>
      </w:r>
      <w:r>
        <w:rPr>
          <w:rFonts w:ascii="Times New Roman" w:hAnsi="Times New Roman" w:eastAsia="Times New Roman" w:cs="Times New Roman"/>
          <w:color w:val="231F20"/>
          <w:spacing w:val="-3"/>
          <w:sz w:val="22"/>
          <w:szCs w:val="22"/>
        </w:rPr>
        <w:t xml:space="preserve">15 </w:t>
      </w:r>
      <w:r>
        <w:rPr>
          <w:rFonts w:ascii="微软雅黑" w:hAnsi="微软雅黑" w:eastAsia="微软雅黑" w:cs="微软雅黑"/>
          <w:color w:val="231F20"/>
          <w:spacing w:val="-3"/>
          <w:sz w:val="22"/>
          <w:szCs w:val="22"/>
        </w:rPr>
        <w:t xml:space="preserve">号 </w:t>
      </w:r>
      <w:r>
        <w:rPr>
          <w:rFonts w:ascii="Times New Roman" w:hAnsi="Times New Roman" w:eastAsia="Times New Roman" w:cs="Times New Roman"/>
          <w:color w:val="231F20"/>
          <w:spacing w:val="-3"/>
          <w:sz w:val="22"/>
          <w:szCs w:val="22"/>
        </w:rPr>
        <w:t xml:space="preserve">) </w:t>
      </w:r>
      <w:r>
        <w:rPr>
          <w:rFonts w:ascii="微软雅黑" w:hAnsi="微软雅黑" w:eastAsia="微软雅黑" w:cs="微软雅黑"/>
          <w:color w:val="231F20"/>
          <w:spacing w:val="-3"/>
          <w:sz w:val="22"/>
          <w:szCs w:val="22"/>
        </w:rPr>
        <w:t>，对民用飞机整机设计制造企业、国内航空公司、维修</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单位、航空器材分销商进口国内不能生产或性能不能满足需求的</w:t>
      </w:r>
      <w:r>
        <w:rPr>
          <w:rFonts w:ascii="微软雅黑" w:hAnsi="微软雅黑" w:eastAsia="微软雅黑" w:cs="微软雅黑"/>
          <w:color w:val="231F20"/>
          <w:spacing w:val="1"/>
          <w:sz w:val="22"/>
          <w:szCs w:val="22"/>
        </w:rPr>
        <w:t>维修用航空器材 ，免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征进口关税。这些有关生产性服务行业的税收优惠和减免政策 </w:t>
      </w:r>
      <w:r>
        <w:rPr>
          <w:rFonts w:ascii="微软雅黑" w:hAnsi="微软雅黑" w:eastAsia="微软雅黑" w:cs="微软雅黑"/>
          <w:color w:val="231F20"/>
          <w:spacing w:val="1"/>
          <w:sz w:val="22"/>
          <w:szCs w:val="22"/>
        </w:rPr>
        <w:t>，有利于增强外资企业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投资信心，促进</w:t>
      </w:r>
      <w:r>
        <w:rPr>
          <w:rFonts w:ascii="微软雅黑" w:hAnsi="微软雅黑" w:eastAsia="微软雅黑" w:cs="微软雅黑"/>
          <w:color w:val="231F20"/>
          <w:sz w:val="22"/>
          <w:szCs w:val="22"/>
        </w:rPr>
        <w:t>企业稳定发展。</w:t>
      </w:r>
    </w:p>
    <w:p>
      <w:pPr>
        <w:spacing w:before="192" w:line="214" w:lineRule="auto"/>
        <w:ind w:left="2439"/>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4. </w:t>
      </w:r>
      <w:r>
        <w:rPr>
          <w:rFonts w:ascii="KaiTi" w:hAnsi="KaiTi" w:eastAsia="KaiTi" w:cs="KaiTi"/>
          <w:color w:val="015DAC"/>
          <w:spacing w:val="1"/>
          <w:sz w:val="22"/>
          <w:szCs w:val="22"/>
        </w:rPr>
        <w:t>推动生产性服务细分行业高质</w:t>
      </w:r>
      <w:r>
        <w:rPr>
          <w:rFonts w:ascii="KaiTi" w:hAnsi="KaiTi" w:eastAsia="KaiTi" w:cs="KaiTi"/>
          <w:color w:val="015DAC"/>
          <w:sz w:val="22"/>
          <w:szCs w:val="22"/>
        </w:rPr>
        <w:t>量发展</w:t>
      </w:r>
    </w:p>
    <w:p>
      <w:pPr>
        <w:spacing w:line="269" w:lineRule="auto"/>
        <w:rPr>
          <w:rFonts w:ascii="Arial"/>
          <w:sz w:val="21"/>
        </w:rPr>
      </w:pPr>
    </w:p>
    <w:p>
      <w:pPr>
        <w:spacing w:before="95" w:line="256" w:lineRule="auto"/>
        <w:ind w:left="1987" w:right="1891" w:firstLine="460"/>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为促进生产</w:t>
      </w:r>
      <w:r>
        <w:rPr>
          <w:rFonts w:ascii="微软雅黑" w:hAnsi="微软雅黑" w:eastAsia="微软雅黑" w:cs="微软雅黑"/>
          <w:color w:val="231F20"/>
          <w:spacing w:val="-2"/>
          <w:sz w:val="22"/>
          <w:szCs w:val="22"/>
        </w:rPr>
        <w:t>性服务业发展，  国家和相关部门出台了一系列规划和政策文件 ，着力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引导</w:t>
      </w:r>
      <w:r>
        <w:rPr>
          <w:rFonts w:ascii="微软雅黑" w:hAnsi="微软雅黑" w:eastAsia="微软雅黑" w:cs="微软雅黑"/>
          <w:color w:val="231F20"/>
          <w:spacing w:val="4"/>
          <w:sz w:val="22"/>
          <w:szCs w:val="22"/>
        </w:rPr>
        <w:t>生产性服务细分行业转型和创新发展。</w:t>
      </w:r>
      <w:r>
        <w:rPr>
          <w:rFonts w:ascii="SimHei" w:hAnsi="SimHei" w:eastAsia="SimHei" w:cs="SimHei"/>
          <w:color w:val="231F20"/>
          <w:spacing w:val="4"/>
          <w:sz w:val="22"/>
          <w:szCs w:val="22"/>
        </w:rPr>
        <w:t>在信息服务领域，</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 xml:space="preserve">年 </w:t>
      </w:r>
      <w:r>
        <w:rPr>
          <w:rFonts w:ascii="Times New Roman" w:hAnsi="Times New Roman" w:eastAsia="Times New Roman" w:cs="Times New Roman"/>
          <w:color w:val="231F20"/>
          <w:spacing w:val="4"/>
          <w:sz w:val="22"/>
          <w:szCs w:val="22"/>
        </w:rPr>
        <w:t xml:space="preserve">12 </w:t>
      </w:r>
      <w:r>
        <w:rPr>
          <w:rFonts w:ascii="微软雅黑" w:hAnsi="微软雅黑" w:eastAsia="微软雅黑" w:cs="微软雅黑"/>
          <w:color w:val="231F20"/>
          <w:spacing w:val="4"/>
          <w:sz w:val="22"/>
          <w:szCs w:val="22"/>
        </w:rPr>
        <w:t>月工业和信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息</w:t>
      </w:r>
      <w:r>
        <w:rPr>
          <w:rFonts w:ascii="微软雅黑" w:hAnsi="微软雅黑" w:eastAsia="微软雅黑" w:cs="微软雅黑"/>
          <w:color w:val="231F20"/>
          <w:spacing w:val="-4"/>
          <w:sz w:val="22"/>
          <w:szCs w:val="22"/>
        </w:rPr>
        <w:t>化</w:t>
      </w:r>
      <w:r>
        <w:rPr>
          <w:rFonts w:ascii="微软雅黑" w:hAnsi="微软雅黑" w:eastAsia="微软雅黑" w:cs="微软雅黑"/>
          <w:color w:val="231F20"/>
          <w:spacing w:val="-3"/>
          <w:sz w:val="22"/>
          <w:szCs w:val="22"/>
        </w:rPr>
        <w:t>部印发《  “十四五”软件和信息技术服务业发展规划》  ，聚力攻坚基础软件、重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点突破工业软</w:t>
      </w:r>
      <w:r>
        <w:rPr>
          <w:rFonts w:ascii="微软雅黑" w:hAnsi="微软雅黑" w:eastAsia="微软雅黑" w:cs="微软雅黑"/>
          <w:color w:val="231F20"/>
          <w:sz w:val="22"/>
          <w:szCs w:val="22"/>
        </w:rPr>
        <w:t xml:space="preserve">件、协同攻关应用软件、前瞻布局新兴平台软件、积极培育嵌入式软件、 </w:t>
      </w:r>
      <w:r>
        <w:rPr>
          <w:rFonts w:ascii="微软雅黑" w:hAnsi="微软雅黑" w:eastAsia="微软雅黑" w:cs="微软雅黑"/>
          <w:color w:val="231F20"/>
          <w:spacing w:val="1"/>
          <w:sz w:val="22"/>
          <w:szCs w:val="22"/>
        </w:rPr>
        <w:t>优化信息技术</w:t>
      </w:r>
      <w:r>
        <w:rPr>
          <w:rFonts w:ascii="微软雅黑" w:hAnsi="微软雅黑" w:eastAsia="微软雅黑" w:cs="微软雅黑"/>
          <w:color w:val="231F20"/>
          <w:sz w:val="22"/>
          <w:szCs w:val="22"/>
        </w:rPr>
        <w:t xml:space="preserve">服务 ，加速“补短板、锻长板、优服务” ，全面提升软件产业链现代化 </w:t>
      </w:r>
      <w:r>
        <w:rPr>
          <w:rFonts w:ascii="微软雅黑" w:hAnsi="微软雅黑" w:eastAsia="微软雅黑" w:cs="微软雅黑"/>
          <w:color w:val="231F20"/>
          <w:spacing w:val="-8"/>
          <w:sz w:val="22"/>
          <w:szCs w:val="22"/>
        </w:rPr>
        <w:t>水平。</w:t>
      </w:r>
      <w:r>
        <w:rPr>
          <w:rFonts w:ascii="SimHei" w:hAnsi="SimHei" w:eastAsia="SimHei" w:cs="SimHei"/>
          <w:color w:val="231F20"/>
          <w:spacing w:val="-8"/>
          <w:sz w:val="22"/>
          <w:szCs w:val="22"/>
        </w:rPr>
        <w:t>在</w:t>
      </w:r>
      <w:r>
        <w:rPr>
          <w:rFonts w:ascii="SimHei" w:hAnsi="SimHei" w:eastAsia="SimHei" w:cs="SimHei"/>
          <w:color w:val="231F20"/>
          <w:spacing w:val="-6"/>
          <w:sz w:val="22"/>
          <w:szCs w:val="22"/>
        </w:rPr>
        <w:t>金</w:t>
      </w:r>
      <w:r>
        <w:rPr>
          <w:rFonts w:ascii="SimHei" w:hAnsi="SimHei" w:eastAsia="SimHei" w:cs="SimHei"/>
          <w:color w:val="231F20"/>
          <w:spacing w:val="-4"/>
          <w:sz w:val="22"/>
          <w:szCs w:val="22"/>
        </w:rPr>
        <w:t xml:space="preserve">融服务领域， </w:t>
      </w:r>
      <w:r>
        <w:rPr>
          <w:rFonts w:ascii="微软雅黑" w:hAnsi="微软雅黑" w:eastAsia="微软雅黑" w:cs="微软雅黑"/>
          <w:color w:val="231F20"/>
          <w:spacing w:val="-4"/>
          <w:sz w:val="22"/>
          <w:szCs w:val="22"/>
        </w:rPr>
        <w:t xml:space="preserve">中国人民银行印发《金融科技发展规划 ( </w:t>
      </w:r>
      <w:r>
        <w:rPr>
          <w:rFonts w:ascii="Times New Roman" w:hAnsi="Times New Roman" w:eastAsia="Times New Roman" w:cs="Times New Roman"/>
          <w:color w:val="231F20"/>
          <w:spacing w:val="-4"/>
          <w:sz w:val="22"/>
          <w:szCs w:val="22"/>
        </w:rPr>
        <w:t xml:space="preserve">2022-2025 </w:t>
      </w:r>
      <w:r>
        <w:rPr>
          <w:rFonts w:ascii="微软雅黑" w:hAnsi="微软雅黑" w:eastAsia="微软雅黑" w:cs="微软雅黑"/>
          <w:color w:val="231F20"/>
          <w:spacing w:val="-4"/>
          <w:sz w:val="22"/>
          <w:szCs w:val="22"/>
        </w:rPr>
        <w:t>年 )  》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强调全面加强</w:t>
      </w:r>
      <w:r>
        <w:rPr>
          <w:rFonts w:ascii="微软雅黑" w:hAnsi="微软雅黑" w:eastAsia="微软雅黑" w:cs="微软雅黑"/>
          <w:color w:val="231F20"/>
          <w:sz w:val="22"/>
          <w:szCs w:val="22"/>
        </w:rPr>
        <w:t xml:space="preserve">数据能力建设，在保障安全和隐私前提下推动数据有序共享与综合应用， </w:t>
      </w:r>
      <w:r>
        <w:rPr>
          <w:rFonts w:ascii="微软雅黑" w:hAnsi="微软雅黑" w:eastAsia="微软雅黑" w:cs="微软雅黑"/>
          <w:color w:val="231F20"/>
          <w:spacing w:val="-10"/>
          <w:sz w:val="22"/>
          <w:szCs w:val="22"/>
        </w:rPr>
        <w:t>健全安</w:t>
      </w:r>
      <w:r>
        <w:rPr>
          <w:rFonts w:ascii="微软雅黑" w:hAnsi="微软雅黑" w:eastAsia="微软雅黑" w:cs="微软雅黑"/>
          <w:color w:val="231F20"/>
          <w:spacing w:val="-9"/>
          <w:sz w:val="22"/>
          <w:szCs w:val="22"/>
        </w:rPr>
        <w:t>全</w:t>
      </w:r>
      <w:r>
        <w:rPr>
          <w:rFonts w:ascii="微软雅黑" w:hAnsi="微软雅黑" w:eastAsia="微软雅黑" w:cs="微软雅黑"/>
          <w:color w:val="231F20"/>
          <w:spacing w:val="-5"/>
          <w:sz w:val="22"/>
          <w:szCs w:val="22"/>
        </w:rPr>
        <w:t>高效的金融科技创新体系，搭建业务、技术、数据融合联动的一体化运营中台，</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6"/>
          <w:sz w:val="22"/>
          <w:szCs w:val="22"/>
        </w:rPr>
        <w:t>建</w:t>
      </w:r>
      <w:r>
        <w:rPr>
          <w:rFonts w:ascii="微软雅黑" w:hAnsi="微软雅黑" w:eastAsia="微软雅黑" w:cs="微软雅黑"/>
          <w:color w:val="231F20"/>
          <w:spacing w:val="-11"/>
          <w:sz w:val="22"/>
          <w:szCs w:val="22"/>
        </w:rPr>
        <w:t>立</w:t>
      </w:r>
      <w:r>
        <w:rPr>
          <w:rFonts w:ascii="微软雅黑" w:hAnsi="微软雅黑" w:eastAsia="微软雅黑" w:cs="微软雅黑"/>
          <w:color w:val="231F20"/>
          <w:spacing w:val="-8"/>
          <w:sz w:val="22"/>
          <w:szCs w:val="22"/>
        </w:rPr>
        <w:t>智能化风控机制，全面激活数字化经营新动能。</w:t>
      </w:r>
      <w:r>
        <w:rPr>
          <w:rFonts w:ascii="Times New Roman" w:hAnsi="Times New Roman" w:eastAsia="Times New Roman" w:cs="Times New Roman"/>
          <w:color w:val="231F20"/>
          <w:spacing w:val="-8"/>
          <w:sz w:val="22"/>
          <w:szCs w:val="22"/>
        </w:rPr>
        <w:t xml:space="preserve">2022 </w:t>
      </w:r>
      <w:r>
        <w:rPr>
          <w:rFonts w:ascii="微软雅黑" w:hAnsi="微软雅黑" w:eastAsia="微软雅黑" w:cs="微软雅黑"/>
          <w:color w:val="231F20"/>
          <w:spacing w:val="-8"/>
          <w:sz w:val="22"/>
          <w:szCs w:val="22"/>
        </w:rPr>
        <w:t xml:space="preserve">年 </w:t>
      </w:r>
      <w:r>
        <w:rPr>
          <w:rFonts w:ascii="Times New Roman" w:hAnsi="Times New Roman" w:eastAsia="Times New Roman" w:cs="Times New Roman"/>
          <w:color w:val="231F20"/>
          <w:spacing w:val="-8"/>
          <w:sz w:val="22"/>
          <w:szCs w:val="22"/>
        </w:rPr>
        <w:t xml:space="preserve">6 </w:t>
      </w:r>
      <w:r>
        <w:rPr>
          <w:rFonts w:ascii="微软雅黑" w:hAnsi="微软雅黑" w:eastAsia="微软雅黑" w:cs="微软雅黑"/>
          <w:color w:val="231F20"/>
          <w:spacing w:val="-8"/>
          <w:sz w:val="22"/>
          <w:szCs w:val="22"/>
        </w:rPr>
        <w:t xml:space="preserve">月 </w:t>
      </w:r>
      <w:r>
        <w:rPr>
          <w:rFonts w:ascii="Times New Roman" w:hAnsi="Times New Roman" w:eastAsia="Times New Roman" w:cs="Times New Roman"/>
          <w:color w:val="231F20"/>
          <w:spacing w:val="-8"/>
          <w:sz w:val="22"/>
          <w:szCs w:val="22"/>
        </w:rPr>
        <w:t xml:space="preserve">1 </w:t>
      </w:r>
      <w:r>
        <w:rPr>
          <w:rFonts w:ascii="微软雅黑" w:hAnsi="微软雅黑" w:eastAsia="微软雅黑" w:cs="微软雅黑"/>
          <w:color w:val="231F20"/>
          <w:spacing w:val="-8"/>
          <w:sz w:val="22"/>
          <w:szCs w:val="22"/>
        </w:rPr>
        <w:t>日，银保监会印发《银</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行</w:t>
      </w:r>
      <w:r>
        <w:rPr>
          <w:rFonts w:ascii="微软雅黑" w:hAnsi="微软雅黑" w:eastAsia="微软雅黑" w:cs="微软雅黑"/>
          <w:color w:val="231F20"/>
          <w:spacing w:val="-3"/>
          <w:sz w:val="22"/>
          <w:szCs w:val="22"/>
        </w:rPr>
        <w:t>业保险业绿色金融指引》  ，将银行业保险业发展绿色金融上升到战略层面，  同时提</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出银行业保险业应将环境、社会、治理</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ESG </w:t>
      </w:r>
      <w:r>
        <w:rPr>
          <w:rFonts w:ascii="微软雅黑" w:hAnsi="微软雅黑" w:eastAsia="微软雅黑" w:cs="微软雅黑"/>
          <w:color w:val="231F20"/>
          <w:sz w:val="22"/>
          <w:szCs w:val="22"/>
        </w:rPr>
        <w:t xml:space="preserve">)要求纳入管理流程和全面风险管理体系。 </w:t>
      </w:r>
      <w:r>
        <w:rPr>
          <w:rFonts w:ascii="SimHei" w:hAnsi="SimHei" w:eastAsia="SimHei" w:cs="SimHei"/>
          <w:color w:val="231F20"/>
          <w:spacing w:val="-12"/>
          <w:sz w:val="22"/>
          <w:szCs w:val="22"/>
        </w:rPr>
        <w:t>在</w:t>
      </w:r>
      <w:r>
        <w:rPr>
          <w:rFonts w:ascii="SimHei" w:hAnsi="SimHei" w:eastAsia="SimHei" w:cs="SimHei"/>
          <w:color w:val="231F20"/>
          <w:spacing w:val="-9"/>
          <w:sz w:val="22"/>
          <w:szCs w:val="22"/>
        </w:rPr>
        <w:t>交</w:t>
      </w:r>
      <w:r>
        <w:rPr>
          <w:rFonts w:ascii="SimHei" w:hAnsi="SimHei" w:eastAsia="SimHei" w:cs="SimHei"/>
          <w:color w:val="231F20"/>
          <w:spacing w:val="-6"/>
          <w:sz w:val="22"/>
          <w:szCs w:val="22"/>
        </w:rPr>
        <w:t xml:space="preserve">通运输领域， </w:t>
      </w:r>
      <w:r>
        <w:rPr>
          <w:rFonts w:ascii="Times New Roman" w:hAnsi="Times New Roman" w:eastAsia="Times New Roman" w:cs="Times New Roman"/>
          <w:color w:val="231F20"/>
          <w:spacing w:val="-6"/>
          <w:sz w:val="22"/>
          <w:szCs w:val="22"/>
        </w:rPr>
        <w:t xml:space="preserve">2021 </w:t>
      </w:r>
      <w:r>
        <w:rPr>
          <w:rFonts w:ascii="微软雅黑" w:hAnsi="微软雅黑" w:eastAsia="微软雅黑" w:cs="微软雅黑"/>
          <w:color w:val="231F20"/>
          <w:spacing w:val="-6"/>
          <w:sz w:val="22"/>
          <w:szCs w:val="22"/>
        </w:rPr>
        <w:t xml:space="preserve">年 </w:t>
      </w:r>
      <w:r>
        <w:rPr>
          <w:rFonts w:ascii="Times New Roman" w:hAnsi="Times New Roman" w:eastAsia="Times New Roman" w:cs="Times New Roman"/>
          <w:color w:val="231F20"/>
          <w:spacing w:val="-6"/>
          <w:sz w:val="22"/>
          <w:szCs w:val="22"/>
        </w:rPr>
        <w:t xml:space="preserve">11 </w:t>
      </w:r>
      <w:r>
        <w:rPr>
          <w:rFonts w:ascii="微软雅黑" w:hAnsi="微软雅黑" w:eastAsia="微软雅黑" w:cs="微软雅黑"/>
          <w:color w:val="231F20"/>
          <w:spacing w:val="-6"/>
          <w:sz w:val="22"/>
          <w:szCs w:val="22"/>
        </w:rPr>
        <w:t>月交通运输部发布《综合运输服务“十四五”发展规划》，</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提出推动铁水、公铁、空陆等联运发展 ，构建集约高效的货运与物流服务系统。</w:t>
      </w:r>
      <w:r>
        <w:rPr>
          <w:rFonts w:ascii="微软雅黑" w:hAnsi="微软雅黑" w:eastAsia="微软雅黑" w:cs="微软雅黑"/>
          <w:color w:val="231F20"/>
          <w:sz w:val="22"/>
          <w:szCs w:val="22"/>
        </w:rPr>
        <w:t xml:space="preserve">生产 </w:t>
      </w:r>
      <w:r>
        <w:rPr>
          <w:rFonts w:ascii="微软雅黑" w:hAnsi="微软雅黑" w:eastAsia="微软雅黑" w:cs="微软雅黑"/>
          <w:color w:val="231F20"/>
          <w:spacing w:val="2"/>
          <w:sz w:val="22"/>
          <w:szCs w:val="22"/>
        </w:rPr>
        <w:t>性服务细分行业发展的规划体系不断完善 ，不仅为中国相关生产性服务业发展</w:t>
      </w:r>
      <w:r>
        <w:rPr>
          <w:rFonts w:ascii="微软雅黑" w:hAnsi="微软雅黑" w:eastAsia="微软雅黑" w:cs="微软雅黑"/>
          <w:color w:val="231F20"/>
          <w:sz w:val="22"/>
          <w:szCs w:val="22"/>
        </w:rPr>
        <w:t xml:space="preserve">指明了 </w:t>
      </w:r>
      <w:r>
        <w:rPr>
          <w:rFonts w:ascii="微软雅黑" w:hAnsi="微软雅黑" w:eastAsia="微软雅黑" w:cs="微软雅黑"/>
          <w:color w:val="231F20"/>
          <w:spacing w:val="2"/>
          <w:sz w:val="22"/>
          <w:szCs w:val="22"/>
        </w:rPr>
        <w:t>方向 ，也为外资企业的投资和发展提供了指引。</w:t>
      </w:r>
      <w:r>
        <w:rPr>
          <w:rFonts w:ascii="SimHei" w:hAnsi="SimHei" w:eastAsia="SimHei" w:cs="SimHei"/>
          <w:color w:val="231F20"/>
          <w:spacing w:val="2"/>
          <w:sz w:val="22"/>
          <w:szCs w:val="22"/>
        </w:rPr>
        <w:t>在研发设计领域</w:t>
      </w:r>
      <w:r>
        <w:rPr>
          <w:rFonts w:ascii="SimHei" w:hAnsi="SimHei" w:eastAsia="SimHei" w:cs="SimHei"/>
          <w:color w:val="231F20"/>
          <w:spacing w:val="1"/>
          <w:sz w:val="22"/>
          <w:szCs w:val="22"/>
        </w:rPr>
        <w:t>，</w:t>
      </w:r>
      <w:r>
        <w:rPr>
          <w:rFonts w:ascii="微软雅黑" w:hAnsi="微软雅黑" w:eastAsia="微软雅黑" w:cs="微软雅黑"/>
          <w:color w:val="231F20"/>
          <w:spacing w:val="1"/>
          <w:sz w:val="22"/>
          <w:szCs w:val="22"/>
        </w:rPr>
        <w:t>鼓励外资企业在中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国设立研发中心一</w:t>
      </w:r>
      <w:r>
        <w:rPr>
          <w:rFonts w:ascii="微软雅黑" w:hAnsi="微软雅黑" w:eastAsia="微软雅黑" w:cs="微软雅黑"/>
          <w:color w:val="231F20"/>
          <w:spacing w:val="3"/>
          <w:sz w:val="22"/>
          <w:szCs w:val="22"/>
        </w:rPr>
        <w:t>直是中国利用外资工作的重点。在国务院出台的系列稳外资政策文</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件中，</w:t>
      </w:r>
      <w:r>
        <w:rPr>
          <w:rFonts w:ascii="微软雅黑" w:hAnsi="微软雅黑" w:eastAsia="微软雅黑" w:cs="微软雅黑"/>
          <w:color w:val="231F20"/>
          <w:spacing w:val="-9"/>
          <w:sz w:val="22"/>
          <w:szCs w:val="22"/>
        </w:rPr>
        <w:t>多</w:t>
      </w:r>
      <w:r>
        <w:rPr>
          <w:rFonts w:ascii="微软雅黑" w:hAnsi="微软雅黑" w:eastAsia="微软雅黑" w:cs="微软雅黑"/>
          <w:color w:val="231F20"/>
          <w:spacing w:val="-5"/>
          <w:sz w:val="22"/>
          <w:szCs w:val="22"/>
        </w:rPr>
        <w:t>次提出鼓励外资企业在华设立研发中心。在《十四五”利用外资发展规划》中，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明确提出支持外商投资企业设立全球和区域地区总部、研发中心 ，支持外商投</w:t>
      </w:r>
      <w:r>
        <w:rPr>
          <w:rFonts w:ascii="微软雅黑" w:hAnsi="微软雅黑" w:eastAsia="微软雅黑" w:cs="微软雅黑"/>
          <w:color w:val="231F20"/>
          <w:sz w:val="22"/>
          <w:szCs w:val="22"/>
        </w:rPr>
        <w:t xml:space="preserve">资企业 </w:t>
      </w:r>
      <w:r>
        <w:rPr>
          <w:rFonts w:ascii="微软雅黑" w:hAnsi="微软雅黑" w:eastAsia="微软雅黑" w:cs="微软雅黑"/>
          <w:color w:val="231F20"/>
          <w:spacing w:val="1"/>
          <w:sz w:val="22"/>
          <w:szCs w:val="22"/>
        </w:rPr>
        <w:t>研发</w:t>
      </w:r>
      <w:r>
        <w:rPr>
          <w:rFonts w:ascii="微软雅黑" w:hAnsi="微软雅黑" w:eastAsia="微软雅黑" w:cs="微软雅黑"/>
          <w:color w:val="231F20"/>
          <w:sz w:val="22"/>
          <w:szCs w:val="22"/>
        </w:rPr>
        <w:t xml:space="preserve">中心参与承担国家科技计划项目 ，促进全球高端要素资源集聚。同时 ，各地也积 </w:t>
      </w:r>
      <w:r>
        <w:rPr>
          <w:rFonts w:ascii="微软雅黑" w:hAnsi="微软雅黑" w:eastAsia="微软雅黑" w:cs="微软雅黑"/>
          <w:color w:val="231F20"/>
          <w:spacing w:val="-6"/>
          <w:sz w:val="22"/>
          <w:szCs w:val="22"/>
        </w:rPr>
        <w:t>极出台鼓</w:t>
      </w:r>
      <w:r>
        <w:rPr>
          <w:rFonts w:ascii="微软雅黑" w:hAnsi="微软雅黑" w:eastAsia="微软雅黑" w:cs="微软雅黑"/>
          <w:color w:val="231F20"/>
          <w:spacing w:val="-3"/>
          <w:sz w:val="22"/>
          <w:szCs w:val="22"/>
        </w:rPr>
        <w:t>励政策 ，支持外资企业设立研发中心 ，发展研发服务业。</w:t>
      </w:r>
    </w:p>
    <w:p>
      <w:pPr>
        <w:sectPr>
          <w:pgSz w:w="12246" w:h="16498"/>
          <w:pgMar w:top="400" w:right="0" w:bottom="400" w:left="0" w:header="0" w:footer="0" w:gutter="0"/>
          <w:cols w:space="720" w:num="1"/>
        </w:sectPr>
      </w:pPr>
    </w:p>
    <w:p>
      <w:pPr>
        <w:spacing w:line="241" w:lineRule="auto"/>
        <w:rPr>
          <w:rFonts w:ascii="Arial"/>
          <w:sz w:val="21"/>
        </w:rPr>
      </w:pPr>
      <w:r>
        <w:pict>
          <v:rect id="_x0000_s1383" o:spid="_x0000_s1383" o:spt="1" style="position:absolute;left:0pt;margin-left:453.8pt;margin-top:461.85pt;height:114.9pt;width:3.85pt;mso-position-horizontal-relative:page;mso-position-vertical-relative:page;z-index:252053504;mso-width-relative:page;mso-height-relative:page;" fillcolor="#F6F7F7" filled="t" stroked="f" coordsize="21600,21600" o:allowincell="f">
            <v:path/>
            <v:fill on="t" focussize="0,0"/>
            <v:stroke on="f"/>
            <v:imagedata o:title=""/>
            <o:lock v:ext="edit"/>
          </v:rect>
        </w:pict>
      </w:r>
      <w:r>
        <w:pict>
          <v:shape id="_x0000_s1384" o:spid="_x0000_s1384" style="position:absolute;left:0pt;margin-left:152.6pt;margin-top:439.9pt;height:0.3pt;width:1.75pt;mso-position-horizontal-relative:page;mso-position-vertical-relative:page;z-index:252071936;mso-width-relative:page;mso-height-relative:page;" filled="f" stroked="t" coordsize="35,6" o:allowincell="f" path="m0,2l34,2e">
            <v:fill on="f" focussize="0,0"/>
            <v:stroke weight="0.28pt" color="#231F20" miterlimit="4" joinstyle="miter"/>
            <v:imagedata o:title=""/>
            <o:lock v:ext="edit"/>
          </v:shape>
        </w:pict>
      </w:r>
      <w:r>
        <w:pict>
          <v:rect id="_x0000_s1385" o:spid="_x0000_s1385" o:spt="1" style="position:absolute;left:0pt;margin-left:156.3pt;margin-top:599.6pt;height:6.75pt;width:303.2pt;mso-position-horizontal-relative:page;mso-position-vertical-relative:page;z-index:252070912;mso-width-relative:page;mso-height-relative:page;" fillcolor="#FFFFFF" filled="t" stroked="f" coordsize="21600,21600" o:allowincell="f">
            <v:path/>
            <v:fill on="t" focussize="0,0"/>
            <v:stroke on="f"/>
            <v:imagedata o:title=""/>
            <o:lock v:ext="edit"/>
          </v:rect>
        </w:pict>
      </w:r>
      <w:r>
        <w:drawing>
          <wp:anchor distT="0" distB="0" distL="0" distR="0" simplePos="0" relativeHeight="25205145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297" name="IM 297"/>
            <wp:cNvGraphicFramePr/>
            <a:graphic xmlns:a="http://schemas.openxmlformats.org/drawingml/2006/main">
              <a:graphicData uri="http://schemas.openxmlformats.org/drawingml/2006/picture">
                <pic:pic xmlns:pic="http://schemas.openxmlformats.org/drawingml/2006/picture">
                  <pic:nvPicPr>
                    <pic:cNvPr id="297" name="IM 297"/>
                    <pic:cNvPicPr/>
                  </pic:nvPicPr>
                  <pic:blipFill>
                    <a:blip r:embed="rId43"/>
                    <a:stretch>
                      <a:fillRect/>
                    </a:stretch>
                  </pic:blipFill>
                  <pic:spPr>
                    <a:xfrm>
                      <a:off x="0" y="0"/>
                      <a:ext cx="7775994" cy="422998"/>
                    </a:xfrm>
                    <a:prstGeom prst="rect">
                      <a:avLst/>
                    </a:prstGeom>
                  </pic:spPr>
                </pic:pic>
              </a:graphicData>
            </a:graphic>
          </wp:anchor>
        </w:drawing>
      </w:r>
      <w:r>
        <w:pict>
          <v:shape id="_x0000_s1386" o:spid="_x0000_s1386" o:spt="202" type="#_x0000_t202" style="position:absolute;left:0pt;margin-left:462.4pt;margin-top:437.9pt;height:14.05pt;width:9.35pt;mso-position-horizontal-relative:page;mso-position-vertical-relative:page;z-index:252058624;mso-width-relative:page;mso-height-relative:page;" filled="f" stroked="f" coordsize="21600,21600" o:allowincell="f">
            <v:path/>
            <v:fill on="f" focussize="0,0"/>
            <v:stroke on="f"/>
            <v:imagedata o:title=""/>
            <o:lock v:ext="edit" aspectratio="f"/>
            <v:textbox inset="0mm,0mm,0mm,0mm">
              <w:txbxContent>
                <w:p>
                  <w:pPr>
                    <w:spacing w:before="20" w:line="240" w:lineRule="exact"/>
                    <w:ind w:left="20"/>
                    <w:rPr>
                      <w:rFonts w:ascii="Arial" w:hAnsi="Arial" w:eastAsia="Arial" w:cs="Arial"/>
                      <w:sz w:val="17"/>
                      <w:szCs w:val="17"/>
                    </w:rPr>
                  </w:pPr>
                  <w:r>
                    <w:rPr>
                      <w:rFonts w:ascii="Arial" w:hAnsi="Arial" w:eastAsia="Arial" w:cs="Arial"/>
                      <w:color w:val="231F20"/>
                      <w:position w:val="1"/>
                      <w:sz w:val="17"/>
                      <w:szCs w:val="17"/>
                    </w:rPr>
                    <w:t>%</w:t>
                  </w:r>
                </w:p>
              </w:txbxContent>
            </v:textbox>
          </v:shape>
        </w:pict>
      </w:r>
      <w:r>
        <w:pict>
          <v:shape id="_x0000_s1387" o:spid="_x0000_s1387" o:spt="202" type="#_x0000_t202" style="position:absolute;left:0pt;margin-left:126.9pt;margin-top:438.9pt;height:12.65pt;width:28.6pt;mso-position-horizontal-relative:page;mso-position-vertical-relative:page;z-index:-251264000;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7"/>
                      <w:szCs w:val="17"/>
                    </w:rPr>
                  </w:pPr>
                  <w:r>
                    <w:rPr>
                      <w:rFonts w:ascii="宋体" w:hAnsi="宋体" w:eastAsia="宋体" w:cs="宋体"/>
                      <w:color w:val="030303"/>
                      <w:spacing w:val="7"/>
                      <w:sz w:val="17"/>
                      <w:szCs w:val="17"/>
                    </w:rPr>
                    <w:t>亿美元</w:t>
                  </w:r>
                </w:p>
              </w:txbxContent>
            </v:textbox>
          </v:shape>
        </w:pict>
      </w:r>
      <w:r>
        <w:pict>
          <v:shape id="_x0000_s1388" o:spid="_x0000_s1388" o:spt="202" type="#_x0000_t202" style="position:absolute;left:0pt;margin-left:128.25pt;margin-top:455.75pt;height:162.7pt;width:24.4pt;mso-position-horizontal-relative:page;mso-position-vertical-relative:page;z-index:252056576;mso-width-relative:page;mso-height-relative:page;" fillcolor="#FFFFFF" filled="t" stroked="f" coordsize="21600,21600" o:allowincell="f">
            <v:path/>
            <v:fill on="t" focussize="0,0"/>
            <v:stroke on="f"/>
            <v:imagedata o:title=""/>
            <o:lock v:ext="edit" aspectratio="f"/>
            <v:textbox inset="0mm,0mm,0mm,0mm">
              <w:txbxContent>
                <w:p>
                  <w:pPr>
                    <w:spacing w:before="117" w:line="186" w:lineRule="auto"/>
                    <w:ind w:left="113"/>
                    <w:rPr>
                      <w:rFonts w:ascii="Calibri" w:hAnsi="Calibri" w:eastAsia="Calibri" w:cs="Calibri"/>
                      <w:sz w:val="17"/>
                      <w:szCs w:val="17"/>
                    </w:rPr>
                  </w:pPr>
                  <w:r>
                    <w:rPr>
                      <w:rFonts w:ascii="Calibri" w:hAnsi="Calibri" w:eastAsia="Calibri" w:cs="Calibri"/>
                      <w:color w:val="030303"/>
                      <w:spacing w:val="1"/>
                      <w:sz w:val="17"/>
                      <w:szCs w:val="17"/>
                    </w:rPr>
                    <w:t>120</w:t>
                  </w:r>
                  <w:r>
                    <w:rPr>
                      <w:rFonts w:ascii="Calibri" w:hAnsi="Calibri" w:eastAsia="Calibri" w:cs="Calibri"/>
                      <w:color w:val="030303"/>
                      <w:sz w:val="17"/>
                      <w:szCs w:val="17"/>
                    </w:rPr>
                    <w:t>0</w:t>
                  </w:r>
                </w:p>
                <w:p>
                  <w:pPr>
                    <w:spacing w:line="241" w:lineRule="auto"/>
                    <w:rPr>
                      <w:rFonts w:ascii="Arial"/>
                      <w:sz w:val="21"/>
                    </w:rPr>
                  </w:pPr>
                </w:p>
                <w:p>
                  <w:pPr>
                    <w:spacing w:before="52" w:line="186" w:lineRule="auto"/>
                    <w:ind w:left="113"/>
                    <w:rPr>
                      <w:rFonts w:ascii="Calibri" w:hAnsi="Calibri" w:eastAsia="Calibri" w:cs="Calibri"/>
                      <w:sz w:val="17"/>
                      <w:szCs w:val="17"/>
                    </w:rPr>
                  </w:pPr>
                  <w:r>
                    <w:rPr>
                      <w:rFonts w:ascii="Calibri" w:hAnsi="Calibri" w:eastAsia="Calibri" w:cs="Calibri"/>
                      <w:color w:val="030303"/>
                      <w:spacing w:val="1"/>
                      <w:sz w:val="17"/>
                      <w:szCs w:val="17"/>
                    </w:rPr>
                    <w:t>100</w:t>
                  </w:r>
                  <w:r>
                    <w:rPr>
                      <w:rFonts w:ascii="Calibri" w:hAnsi="Calibri" w:eastAsia="Calibri" w:cs="Calibri"/>
                      <w:color w:val="030303"/>
                      <w:sz w:val="17"/>
                      <w:szCs w:val="17"/>
                    </w:rPr>
                    <w:t>0</w:t>
                  </w:r>
                </w:p>
                <w:p>
                  <w:pPr>
                    <w:spacing w:line="242" w:lineRule="auto"/>
                    <w:rPr>
                      <w:rFonts w:ascii="Arial"/>
                      <w:sz w:val="21"/>
                    </w:rPr>
                  </w:pPr>
                </w:p>
                <w:p>
                  <w:pPr>
                    <w:spacing w:before="52" w:line="186" w:lineRule="auto"/>
                    <w:ind w:left="196"/>
                    <w:rPr>
                      <w:rFonts w:ascii="Calibri" w:hAnsi="Calibri" w:eastAsia="Calibri" w:cs="Calibri"/>
                      <w:sz w:val="17"/>
                      <w:szCs w:val="17"/>
                    </w:rPr>
                  </w:pPr>
                  <w:r>
                    <w:rPr>
                      <w:rFonts w:ascii="Calibri" w:hAnsi="Calibri" w:eastAsia="Calibri" w:cs="Calibri"/>
                      <w:color w:val="030303"/>
                      <w:spacing w:val="3"/>
                      <w:sz w:val="17"/>
                      <w:szCs w:val="17"/>
                    </w:rPr>
                    <w:t>8</w:t>
                  </w:r>
                  <w:r>
                    <w:rPr>
                      <w:rFonts w:ascii="Calibri" w:hAnsi="Calibri" w:eastAsia="Calibri" w:cs="Calibri"/>
                      <w:color w:val="030303"/>
                      <w:spacing w:val="2"/>
                      <w:sz w:val="17"/>
                      <w:szCs w:val="17"/>
                    </w:rPr>
                    <w:t>00</w:t>
                  </w:r>
                </w:p>
                <w:p>
                  <w:pPr>
                    <w:spacing w:line="242" w:lineRule="auto"/>
                    <w:rPr>
                      <w:rFonts w:ascii="Arial"/>
                      <w:sz w:val="21"/>
                    </w:rPr>
                  </w:pPr>
                </w:p>
                <w:p>
                  <w:pPr>
                    <w:spacing w:before="52" w:line="186" w:lineRule="auto"/>
                    <w:ind w:left="198"/>
                    <w:rPr>
                      <w:rFonts w:ascii="Calibri" w:hAnsi="Calibri" w:eastAsia="Calibri" w:cs="Calibri"/>
                      <w:sz w:val="17"/>
                      <w:szCs w:val="17"/>
                    </w:rPr>
                  </w:pPr>
                  <w:r>
                    <w:rPr>
                      <w:rFonts w:ascii="Calibri" w:hAnsi="Calibri" w:eastAsia="Calibri" w:cs="Calibri"/>
                      <w:color w:val="030303"/>
                      <w:spacing w:val="2"/>
                      <w:sz w:val="17"/>
                      <w:szCs w:val="17"/>
                    </w:rPr>
                    <w:t>60</w:t>
                  </w:r>
                  <w:r>
                    <w:rPr>
                      <w:rFonts w:ascii="Calibri" w:hAnsi="Calibri" w:eastAsia="Calibri" w:cs="Calibri"/>
                      <w:color w:val="030303"/>
                      <w:spacing w:val="1"/>
                      <w:sz w:val="17"/>
                      <w:szCs w:val="17"/>
                    </w:rPr>
                    <w:t>0</w:t>
                  </w:r>
                </w:p>
                <w:p>
                  <w:pPr>
                    <w:spacing w:line="242" w:lineRule="auto"/>
                    <w:rPr>
                      <w:rFonts w:ascii="Arial"/>
                      <w:sz w:val="21"/>
                    </w:rPr>
                  </w:pPr>
                </w:p>
                <w:p>
                  <w:pPr>
                    <w:spacing w:before="52" w:line="186" w:lineRule="auto"/>
                    <w:ind w:left="193"/>
                    <w:rPr>
                      <w:rFonts w:ascii="Calibri" w:hAnsi="Calibri" w:eastAsia="Calibri" w:cs="Calibri"/>
                      <w:sz w:val="17"/>
                      <w:szCs w:val="17"/>
                    </w:rPr>
                  </w:pPr>
                  <w:r>
                    <w:rPr>
                      <w:rFonts w:ascii="Calibri" w:hAnsi="Calibri" w:eastAsia="Calibri" w:cs="Calibri"/>
                      <w:color w:val="030303"/>
                      <w:spacing w:val="4"/>
                      <w:sz w:val="17"/>
                      <w:szCs w:val="17"/>
                    </w:rPr>
                    <w:t>4</w:t>
                  </w:r>
                  <w:r>
                    <w:rPr>
                      <w:rFonts w:ascii="Calibri" w:hAnsi="Calibri" w:eastAsia="Calibri" w:cs="Calibri"/>
                      <w:color w:val="030303"/>
                      <w:spacing w:val="3"/>
                      <w:sz w:val="17"/>
                      <w:szCs w:val="17"/>
                    </w:rPr>
                    <w:t>00</w:t>
                  </w:r>
                </w:p>
                <w:p>
                  <w:pPr>
                    <w:spacing w:line="242" w:lineRule="auto"/>
                    <w:rPr>
                      <w:rFonts w:ascii="Arial"/>
                      <w:sz w:val="21"/>
                    </w:rPr>
                  </w:pPr>
                </w:p>
                <w:p>
                  <w:pPr>
                    <w:spacing w:before="52" w:line="186" w:lineRule="auto"/>
                    <w:ind w:left="199"/>
                    <w:rPr>
                      <w:rFonts w:ascii="Calibri" w:hAnsi="Calibri" w:eastAsia="Calibri" w:cs="Calibri"/>
                      <w:sz w:val="17"/>
                      <w:szCs w:val="17"/>
                    </w:rPr>
                  </w:pPr>
                  <w:r>
                    <w:rPr>
                      <w:rFonts w:ascii="Calibri" w:hAnsi="Calibri" w:eastAsia="Calibri" w:cs="Calibri"/>
                      <w:color w:val="030303"/>
                      <w:spacing w:val="2"/>
                      <w:sz w:val="17"/>
                      <w:szCs w:val="17"/>
                    </w:rPr>
                    <w:t>2</w:t>
                  </w:r>
                  <w:r>
                    <w:rPr>
                      <w:rFonts w:ascii="Calibri" w:hAnsi="Calibri" w:eastAsia="Calibri" w:cs="Calibri"/>
                      <w:color w:val="030303"/>
                      <w:spacing w:val="1"/>
                      <w:sz w:val="17"/>
                      <w:szCs w:val="17"/>
                    </w:rPr>
                    <w:t>00</w:t>
                  </w:r>
                </w:p>
                <w:p>
                  <w:pPr>
                    <w:spacing w:line="242" w:lineRule="auto"/>
                    <w:rPr>
                      <w:rFonts w:ascii="Arial"/>
                      <w:sz w:val="21"/>
                    </w:rPr>
                  </w:pPr>
                </w:p>
                <w:p>
                  <w:pPr>
                    <w:spacing w:before="52" w:line="186" w:lineRule="auto"/>
                    <w:ind w:left="377"/>
                    <w:rPr>
                      <w:rFonts w:ascii="Calibri" w:hAnsi="Calibri" w:eastAsia="Calibri" w:cs="Calibri"/>
                      <w:sz w:val="17"/>
                      <w:szCs w:val="17"/>
                    </w:rPr>
                  </w:pPr>
                  <w:r>
                    <w:rPr>
                      <w:rFonts w:ascii="Calibri" w:hAnsi="Calibri" w:eastAsia="Calibri" w:cs="Calibri"/>
                      <w:color w:val="030303"/>
                      <w:sz w:val="17"/>
                      <w:szCs w:val="17"/>
                    </w:rPr>
                    <w:t>0</w:t>
                  </w:r>
                </w:p>
              </w:txbxContent>
            </v:textbox>
          </v:shape>
        </w:pict>
      </w:r>
      <w:r>
        <w:pict>
          <v:shape id="_x0000_s1389" o:spid="_x0000_s1389" o:spt="202" type="#_x0000_t202" style="position:absolute;left:0pt;margin-left:455.55pt;margin-top:476pt;height:12.75pt;width:12.1pt;mso-position-horizontal-relative:page;mso-position-vertical-relative:page;z-index:252061696;mso-width-relative:page;mso-height-relative:page;" filled="f" stroked="f" coordsize="21600,21600" o:allowincell="f">
            <v:path/>
            <v:fill on="f" focussize="0,0"/>
            <v:stroke on="f"/>
            <v:imagedata o:title=""/>
            <o:lock v:ext="edit" aspectratio="f"/>
            <v:textbox inset="0mm,0mm,0mm,0mm">
              <w:txbxContent>
                <w:p>
                  <w:pPr>
                    <w:spacing w:before="20" w:line="176" w:lineRule="auto"/>
                    <w:ind w:left="20"/>
                    <w:rPr>
                      <w:rFonts w:ascii="微软雅黑" w:hAnsi="微软雅黑" w:eastAsia="微软雅黑" w:cs="微软雅黑"/>
                      <w:sz w:val="17"/>
                      <w:szCs w:val="17"/>
                    </w:rPr>
                  </w:pPr>
                  <w:r>
                    <w:rPr>
                      <w:rFonts w:ascii="微软雅黑" w:hAnsi="微软雅黑" w:eastAsia="微软雅黑" w:cs="微软雅黑"/>
                      <w:color w:val="030303"/>
                      <w:spacing w:val="1"/>
                      <w:sz w:val="17"/>
                      <w:szCs w:val="17"/>
                    </w:rPr>
                    <w:t>75</w:t>
                  </w:r>
                </w:p>
              </w:txbxContent>
            </v:textbox>
          </v:shape>
        </w:pict>
      </w:r>
      <w:r>
        <w:pict>
          <v:shape id="_x0000_s1390" o:spid="_x0000_s1390" o:spt="202" type="#_x0000_t202" style="position:absolute;left:0pt;margin-left:455.55pt;margin-top:493.05pt;height:12.75pt;width:6.8pt;mso-position-horizontal-relative:page;mso-position-vertical-relative:page;z-index:252067840;mso-width-relative:page;mso-height-relative:page;" filled="f" stroked="f" coordsize="21600,21600" o:allowincell="f">
            <v:path/>
            <v:fill on="f" focussize="0,0"/>
            <v:stroke on="f"/>
            <v:imagedata o:title=""/>
            <o:lock v:ext="edit" aspectratio="f"/>
            <v:textbox inset="0mm,0mm,0mm,0mm">
              <w:txbxContent>
                <w:p>
                  <w:pPr>
                    <w:spacing w:before="20" w:line="176" w:lineRule="auto"/>
                    <w:ind w:left="20"/>
                    <w:rPr>
                      <w:rFonts w:ascii="微软雅黑" w:hAnsi="微软雅黑" w:eastAsia="微软雅黑" w:cs="微软雅黑"/>
                      <w:sz w:val="17"/>
                      <w:szCs w:val="17"/>
                    </w:rPr>
                  </w:pPr>
                  <w:r>
                    <w:rPr>
                      <w:rFonts w:ascii="微软雅黑" w:hAnsi="微软雅黑" w:eastAsia="微软雅黑" w:cs="微软雅黑"/>
                      <w:color w:val="030303"/>
                      <w:sz w:val="17"/>
                      <w:szCs w:val="17"/>
                    </w:rPr>
                    <w:t>7</w:t>
                  </w:r>
                </w:p>
              </w:txbxContent>
            </v:textbox>
          </v:shape>
        </w:pict>
      </w:r>
      <w:r>
        <w:pict>
          <v:shape id="_x0000_s1391" o:spid="_x0000_s1391" o:spt="202" type="#_x0000_t202" style="position:absolute;left:0pt;margin-left:455.55pt;margin-top:509.95pt;height:12.85pt;width:6.75pt;mso-position-horizontal-relative:page;mso-position-vertical-relative:page;z-index:252066816;mso-width-relative:page;mso-height-relative:page;" filled="f" stroked="f" coordsize="21600,21600" o:allowincell="f">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z w:val="17"/>
                      <w:szCs w:val="17"/>
                    </w:rPr>
                    <w:t>6</w:t>
                  </w:r>
                </w:p>
              </w:txbxContent>
            </v:textbox>
          </v:shape>
        </w:pict>
      </w:r>
      <w:r>
        <w:pict>
          <v:shape id="_x0000_s1392" o:spid="_x0000_s1392" o:spt="202" type="#_x0000_t202" style="position:absolute;left:0pt;margin-left:455.8pt;margin-top:544.15pt;height:12.75pt;width:6.55pt;mso-position-horizontal-relative:page;mso-position-vertical-relative:page;z-index:252064768;mso-width-relative:page;mso-height-relative:page;" filled="f" stroked="f" coordsize="21600,21600" o:allowincell="f">
            <v:path/>
            <v:fill on="f" focussize="0,0"/>
            <v:stroke on="f"/>
            <v:imagedata o:title=""/>
            <o:lock v:ext="edit" aspectratio="f"/>
            <v:textbox inset="0mm,0mm,0mm,0mm">
              <w:txbxContent>
                <w:p>
                  <w:pPr>
                    <w:spacing w:before="20" w:line="176" w:lineRule="auto"/>
                    <w:ind w:left="20"/>
                    <w:rPr>
                      <w:rFonts w:ascii="微软雅黑" w:hAnsi="微软雅黑" w:eastAsia="微软雅黑" w:cs="微软雅黑"/>
                      <w:sz w:val="17"/>
                      <w:szCs w:val="17"/>
                    </w:rPr>
                  </w:pPr>
                  <w:r>
                    <w:rPr>
                      <w:rFonts w:ascii="微软雅黑" w:hAnsi="微软雅黑" w:eastAsia="微软雅黑" w:cs="微软雅黑"/>
                      <w:color w:val="030303"/>
                      <w:sz w:val="17"/>
                      <w:szCs w:val="17"/>
                    </w:rPr>
                    <w:t>5</w:t>
                  </w:r>
                </w:p>
              </w:txbxContent>
            </v:textbox>
          </v:shape>
        </w:pict>
      </w:r>
      <w:r>
        <w:pict>
          <v:shape id="_x0000_s1393" o:spid="_x0000_s1393" o:spt="202" type="#_x0000_t202" style="position:absolute;left:0pt;margin-left:455.8pt;margin-top:561.2pt;height:12.75pt;width:6.55pt;mso-position-horizontal-relative:page;mso-position-vertical-relative:page;z-index:252065792;mso-width-relative:page;mso-height-relative:page;" filled="f" stroked="f" coordsize="21600,21600" o:allowincell="f">
            <v:path/>
            <v:fill on="f" focussize="0,0"/>
            <v:stroke on="f"/>
            <v:imagedata o:title=""/>
            <o:lock v:ext="edit" aspectratio="f"/>
            <v:textbox inset="0mm,0mm,0mm,0mm">
              <w:txbxContent>
                <w:p>
                  <w:pPr>
                    <w:spacing w:before="20" w:line="176" w:lineRule="auto"/>
                    <w:ind w:left="20"/>
                    <w:rPr>
                      <w:rFonts w:ascii="微软雅黑" w:hAnsi="微软雅黑" w:eastAsia="微软雅黑" w:cs="微软雅黑"/>
                      <w:sz w:val="17"/>
                      <w:szCs w:val="17"/>
                    </w:rPr>
                  </w:pPr>
                  <w:r>
                    <w:rPr>
                      <w:rFonts w:ascii="微软雅黑" w:hAnsi="微软雅黑" w:eastAsia="微软雅黑" w:cs="微软雅黑"/>
                      <w:color w:val="030303"/>
                      <w:sz w:val="17"/>
                      <w:szCs w:val="17"/>
                    </w:rPr>
                    <w:t>5</w:t>
                  </w:r>
                </w:p>
              </w:txbxContent>
            </v:textbox>
          </v:shape>
        </w:pict>
      </w:r>
      <w:r>
        <w:pict>
          <v:shape id="_x0000_s1394" o:spid="_x0000_s1394" o:spt="202" type="#_x0000_t202" style="position:absolute;left:0pt;margin-left:455.1pt;margin-top:578.2pt;height:12.75pt;width:7.2pt;mso-position-horizontal-relative:page;mso-position-vertical-relative:page;z-index:252063744;mso-width-relative:page;mso-height-relative:page;" filled="f" stroked="f" coordsize="21600,21600" o:allowincell="f">
            <v:path/>
            <v:fill on="f" focussize="0,0"/>
            <v:stroke on="f"/>
            <v:imagedata o:title=""/>
            <o:lock v:ext="edit" aspectratio="f"/>
            <v:textbox inset="0mm,0mm,0mm,0mm">
              <w:txbxContent>
                <w:p>
                  <w:pPr>
                    <w:spacing w:before="20" w:line="176" w:lineRule="auto"/>
                    <w:ind w:left="20"/>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4</w:t>
                  </w:r>
                </w:p>
              </w:txbxContent>
            </v:textbox>
          </v:shape>
        </w:pict>
      </w:r>
      <w:r>
        <w:pict>
          <v:shape id="_x0000_s1395" o:spid="_x0000_s1395" o:spt="202" type="#_x0000_t202" style="position:absolute;left:0pt;margin-left:151.6pt;margin-top:457.35pt;height:147.35pt;width:312.2pt;mso-position-horizontal-relative:page;mso-position-vertical-relative:page;z-index:25206272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6201" w:type="dxa"/>
                    <w:tblInd w:w="2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485"/>
                    <w:gridCol w:w="1144"/>
                    <w:gridCol w:w="2241"/>
                    <w:gridCol w:w="227"/>
                    <w:gridCol w:w="10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54" w:hRule="atLeast"/>
                    </w:trPr>
                    <w:tc>
                      <w:tcPr>
                        <w:tcW w:w="6097" w:type="dxa"/>
                        <w:gridSpan w:val="4"/>
                        <w:tcBorders>
                          <w:top w:val="nil"/>
                        </w:tcBorders>
                        <w:vAlign w:val="top"/>
                      </w:tcPr>
                      <w:p>
                        <w:pPr>
                          <w:rPr>
                            <w:rFonts w:ascii="Arial"/>
                            <w:sz w:val="21"/>
                          </w:rPr>
                        </w:pPr>
                      </w:p>
                    </w:tc>
                    <w:tc>
                      <w:tcPr>
                        <w:tcW w:w="104" w:type="dxa"/>
                        <w:vMerge w:val="restart"/>
                        <w:tcBorders>
                          <w:top w:val="nil"/>
                          <w:bottom w:val="nil"/>
                          <w:right w:val="nil"/>
                        </w:tcBorders>
                        <w:vAlign w:val="top"/>
                      </w:tcPr>
                      <w:p>
                        <w:pPr>
                          <w:rPr>
                            <w:rFonts w:ascii="Arial"/>
                            <w:sz w:val="21"/>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57" w:hRule="atLeast"/>
                    </w:trPr>
                    <w:tc>
                      <w:tcPr>
                        <w:tcW w:w="6097" w:type="dxa"/>
                        <w:gridSpan w:val="4"/>
                        <w:tcBorders>
                          <w:top w:val="single" w:color="CEE6ED" w:sz="2" w:space="0"/>
                          <w:bottom w:val="single" w:color="CEE6ED" w:sz="2" w:space="0"/>
                        </w:tcBorders>
                        <w:vAlign w:val="top"/>
                      </w:tcPr>
                      <w:p>
                        <w:pPr>
                          <w:rPr>
                            <w:rFonts w:ascii="Arial"/>
                            <w:sz w:val="21"/>
                          </w:rPr>
                        </w:pPr>
                      </w:p>
                    </w:tc>
                    <w:tc>
                      <w:tcPr>
                        <w:tcW w:w="104" w:type="dxa"/>
                        <w:vMerge w:val="continue"/>
                        <w:tcBorders>
                          <w:top w:val="nil"/>
                          <w:bottom w:val="nil"/>
                          <w:right w:val="nil"/>
                        </w:tcBorders>
                        <w:vAlign w:val="top"/>
                      </w:tcPr>
                      <w:p>
                        <w:pPr>
                          <w:rPr>
                            <w:rFonts w:ascii="Arial"/>
                            <w:sz w:val="21"/>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48" w:hRule="atLeast"/>
                    </w:trPr>
                    <w:tc>
                      <w:tcPr>
                        <w:tcW w:w="6097" w:type="dxa"/>
                        <w:gridSpan w:val="4"/>
                        <w:tcBorders>
                          <w:top w:val="single" w:color="CEE6ED" w:sz="2" w:space="0"/>
                          <w:bottom w:val="single" w:color="CEE6ED" w:sz="2" w:space="0"/>
                        </w:tcBorders>
                        <w:vAlign w:val="top"/>
                      </w:tcPr>
                      <w:p>
                        <w:pPr>
                          <w:spacing w:line="256" w:lineRule="auto"/>
                          <w:rPr>
                            <w:rFonts w:ascii="Arial"/>
                            <w:sz w:val="21"/>
                          </w:rPr>
                        </w:pPr>
                      </w:p>
                      <w:p>
                        <w:pPr>
                          <w:spacing w:before="64" w:line="126" w:lineRule="exact"/>
                          <w:ind w:left="5091"/>
                          <w:rPr>
                            <w:rFonts w:ascii="微软雅黑" w:hAnsi="微软雅黑" w:eastAsia="微软雅黑" w:cs="微软雅黑"/>
                            <w:sz w:val="15"/>
                            <w:szCs w:val="15"/>
                          </w:rPr>
                        </w:pPr>
                        <w:r>
                          <w:rPr>
                            <w:rFonts w:ascii="微软雅黑" w:hAnsi="微软雅黑" w:eastAsia="微软雅黑" w:cs="微软雅黑"/>
                            <w:color w:val="030303"/>
                            <w:spacing w:val="13"/>
                            <w:position w:val="-2"/>
                            <w:sz w:val="15"/>
                            <w:szCs w:val="15"/>
                          </w:rPr>
                          <w:t>1012.</w:t>
                        </w:r>
                        <w:r>
                          <w:rPr>
                            <w:rFonts w:ascii="微软雅黑" w:hAnsi="微软雅黑" w:eastAsia="微软雅黑" w:cs="微软雅黑"/>
                            <w:color w:val="030303"/>
                            <w:spacing w:val="12"/>
                            <w:position w:val="-2"/>
                            <w:sz w:val="15"/>
                            <w:szCs w:val="15"/>
                          </w:rPr>
                          <w:t>2</w:t>
                        </w:r>
                      </w:p>
                    </w:tc>
                    <w:tc>
                      <w:tcPr>
                        <w:tcW w:w="104" w:type="dxa"/>
                        <w:vMerge w:val="continue"/>
                        <w:tcBorders>
                          <w:top w:val="nil"/>
                          <w:bottom w:val="nil"/>
                          <w:right w:val="nil"/>
                        </w:tcBorders>
                        <w:vAlign w:val="top"/>
                      </w:tcPr>
                      <w:p>
                        <w:pPr>
                          <w:rPr>
                            <w:rFonts w:ascii="Arial"/>
                            <w:sz w:val="21"/>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49" w:hRule="atLeast"/>
                    </w:trPr>
                    <w:tc>
                      <w:tcPr>
                        <w:tcW w:w="2485" w:type="dxa"/>
                        <w:tcBorders>
                          <w:top w:val="single" w:color="CEE6ED" w:sz="2" w:space="0"/>
                          <w:bottom w:val="single" w:color="CEE6ED" w:sz="2" w:space="0"/>
                          <w:right w:val="nil"/>
                        </w:tcBorders>
                        <w:vAlign w:val="top"/>
                      </w:tcPr>
                      <w:p>
                        <w:pPr>
                          <w:spacing w:before="74" w:line="178" w:lineRule="auto"/>
                          <w:ind w:left="460"/>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7</w:t>
                        </w:r>
                        <w:r>
                          <w:rPr>
                            <w:rFonts w:ascii="微软雅黑" w:hAnsi="微软雅黑" w:eastAsia="微软雅黑" w:cs="微软雅黑"/>
                            <w:color w:val="030303"/>
                            <w:spacing w:val="3"/>
                            <w:sz w:val="17"/>
                            <w:szCs w:val="17"/>
                          </w:rPr>
                          <w:t>39.4</w:t>
                        </w:r>
                      </w:p>
                      <w:p>
                        <w:pPr>
                          <w:spacing w:before="42" w:line="115" w:lineRule="exact"/>
                          <w:ind w:left="609"/>
                        </w:pPr>
                        <w:r>
                          <w:rPr>
                            <w:position w:val="-2"/>
                          </w:rPr>
                          <w:drawing>
                            <wp:inline distT="0" distB="0" distL="0" distR="0">
                              <wp:extent cx="73025" cy="7302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37"/>
                                      <a:stretch>
                                        <a:fillRect/>
                                      </a:stretch>
                                    </pic:blipFill>
                                    <pic:spPr>
                                      <a:xfrm>
                                        <a:off x="0" y="0"/>
                                        <a:ext cx="73257" cy="73280"/>
                                      </a:xfrm>
                                      <a:prstGeom prst="rect">
                                        <a:avLst/>
                                      </a:prstGeom>
                                    </pic:spPr>
                                  </pic:pic>
                                </a:graphicData>
                              </a:graphic>
                            </wp:inline>
                          </w:drawing>
                        </w:r>
                      </w:p>
                    </w:tc>
                    <w:tc>
                      <w:tcPr>
                        <w:tcW w:w="1144" w:type="dxa"/>
                        <w:tcBorders>
                          <w:top w:val="single" w:color="CEE6ED" w:sz="2" w:space="0"/>
                          <w:left w:val="nil"/>
                          <w:bottom w:val="single" w:color="CEE6ED" w:sz="2" w:space="0"/>
                          <w:right w:val="nil"/>
                        </w:tcBorders>
                        <w:vAlign w:val="top"/>
                      </w:tcPr>
                      <w:p>
                        <w:pPr>
                          <w:spacing w:line="270" w:lineRule="auto"/>
                          <w:rPr>
                            <w:rFonts w:ascii="Arial"/>
                            <w:sz w:val="21"/>
                          </w:rPr>
                        </w:pPr>
                      </w:p>
                      <w:p>
                        <w:pPr>
                          <w:spacing w:before="61" w:line="116" w:lineRule="exact"/>
                          <w:ind w:left="325"/>
                          <w:rPr>
                            <w:rFonts w:ascii="微软雅黑" w:hAnsi="微软雅黑" w:eastAsia="微软雅黑" w:cs="微软雅黑"/>
                            <w:sz w:val="14"/>
                            <w:szCs w:val="14"/>
                          </w:rPr>
                        </w:pPr>
                        <w:r>
                          <w:rPr>
                            <w:rFonts w:ascii="微软雅黑" w:hAnsi="微软雅黑" w:eastAsia="微软雅黑" w:cs="微软雅黑"/>
                            <w:color w:val="030303"/>
                            <w:spacing w:val="21"/>
                            <w:position w:val="-2"/>
                            <w:sz w:val="14"/>
                            <w:szCs w:val="14"/>
                          </w:rPr>
                          <w:t>6</w:t>
                        </w:r>
                        <w:r>
                          <w:rPr>
                            <w:rFonts w:ascii="微软雅黑" w:hAnsi="微软雅黑" w:eastAsia="微软雅黑" w:cs="微软雅黑"/>
                            <w:color w:val="030303"/>
                            <w:spacing w:val="18"/>
                            <w:position w:val="-2"/>
                            <w:sz w:val="14"/>
                            <w:szCs w:val="14"/>
                          </w:rPr>
                          <w:t>91.7</w:t>
                        </w:r>
                      </w:p>
                    </w:tc>
                    <w:tc>
                      <w:tcPr>
                        <w:tcW w:w="2241" w:type="dxa"/>
                        <w:tcBorders>
                          <w:top w:val="single" w:color="CEE6ED" w:sz="2" w:space="0"/>
                          <w:left w:val="nil"/>
                          <w:bottom w:val="single" w:color="CEE6ED" w:sz="2" w:space="0"/>
                          <w:right w:val="nil"/>
                        </w:tcBorders>
                        <w:vAlign w:val="top"/>
                      </w:tcPr>
                      <w:p>
                        <w:pPr>
                          <w:spacing w:line="178" w:lineRule="auto"/>
                          <w:ind w:left="362"/>
                          <w:rPr>
                            <w:rFonts w:ascii="微软雅黑" w:hAnsi="微软雅黑" w:eastAsia="微软雅黑" w:cs="微软雅黑"/>
                            <w:sz w:val="16"/>
                            <w:szCs w:val="16"/>
                          </w:rPr>
                        </w:pPr>
                        <w:r>
                          <w:rPr>
                            <w:rFonts w:ascii="微软雅黑" w:hAnsi="微软雅黑" w:eastAsia="微软雅黑" w:cs="微软雅黑"/>
                            <w:color w:val="030303"/>
                            <w:spacing w:val="11"/>
                            <w:sz w:val="16"/>
                            <w:szCs w:val="16"/>
                          </w:rPr>
                          <w:t>8</w:t>
                        </w:r>
                        <w:r>
                          <w:rPr>
                            <w:rFonts w:ascii="微软雅黑" w:hAnsi="微软雅黑" w:eastAsia="微软雅黑" w:cs="微软雅黑"/>
                            <w:color w:val="030303"/>
                            <w:spacing w:val="8"/>
                            <w:sz w:val="16"/>
                            <w:szCs w:val="16"/>
                          </w:rPr>
                          <w:t>33.5</w:t>
                        </w:r>
                      </w:p>
                      <w:p>
                        <w:pPr>
                          <w:spacing w:before="13" w:line="124" w:lineRule="exact"/>
                          <w:ind w:firstLine="502"/>
                          <w:textAlignment w:val="center"/>
                        </w:pPr>
                        <w:r>
                          <w:drawing>
                            <wp:inline distT="0" distB="0" distL="0" distR="0">
                              <wp:extent cx="817880" cy="78105"/>
                              <wp:effectExtent l="0" t="0" r="0" b="0"/>
                              <wp:docPr id="299" name="IM 299"/>
                              <wp:cNvGraphicFramePr/>
                              <a:graphic xmlns:a="http://schemas.openxmlformats.org/drawingml/2006/main">
                                <a:graphicData uri="http://schemas.openxmlformats.org/drawingml/2006/picture">
                                  <pic:pic xmlns:pic="http://schemas.openxmlformats.org/drawingml/2006/picture">
                                    <pic:nvPicPr>
                                      <pic:cNvPr id="299" name="IM 299"/>
                                      <pic:cNvPicPr/>
                                    </pic:nvPicPr>
                                    <pic:blipFill>
                                      <a:blip r:embed="rId138"/>
                                      <a:stretch>
                                        <a:fillRect/>
                                      </a:stretch>
                                    </pic:blipFill>
                                    <pic:spPr>
                                      <a:xfrm>
                                        <a:off x="0" y="0"/>
                                        <a:ext cx="818238" cy="78592"/>
                                      </a:xfrm>
                                      <a:prstGeom prst="rect">
                                        <a:avLst/>
                                      </a:prstGeom>
                                    </pic:spPr>
                                  </pic:pic>
                                </a:graphicData>
                              </a:graphic>
                            </wp:inline>
                          </w:drawing>
                        </w:r>
                      </w:p>
                      <w:p>
                        <w:pPr>
                          <w:spacing w:before="5" w:line="102" w:lineRule="exact"/>
                          <w:ind w:left="1525"/>
                          <w:rPr>
                            <w:rFonts w:ascii="微软雅黑" w:hAnsi="微软雅黑" w:eastAsia="微软雅黑" w:cs="微软雅黑"/>
                            <w:sz w:val="13"/>
                            <w:szCs w:val="13"/>
                          </w:rPr>
                        </w:pPr>
                        <w:r>
                          <w:rPr>
                            <w:rFonts w:ascii="微软雅黑" w:hAnsi="微软雅黑" w:eastAsia="微软雅黑" w:cs="微软雅黑"/>
                            <w:color w:val="030303"/>
                            <w:spacing w:val="26"/>
                            <w:position w:val="-2"/>
                            <w:sz w:val="13"/>
                            <w:szCs w:val="13"/>
                          </w:rPr>
                          <w:t>5</w:t>
                        </w:r>
                        <w:r>
                          <w:rPr>
                            <w:rFonts w:ascii="微软雅黑" w:hAnsi="微软雅黑" w:eastAsia="微软雅黑" w:cs="微软雅黑"/>
                            <w:color w:val="030303"/>
                            <w:spacing w:val="24"/>
                            <w:position w:val="-2"/>
                            <w:sz w:val="13"/>
                            <w:szCs w:val="13"/>
                          </w:rPr>
                          <w:t>5 9%</w:t>
                        </w:r>
                      </w:p>
                    </w:tc>
                    <w:tc>
                      <w:tcPr>
                        <w:tcW w:w="227" w:type="dxa"/>
                        <w:tcBorders>
                          <w:top w:val="single" w:color="CEE6ED" w:sz="2" w:space="0"/>
                          <w:left w:val="nil"/>
                          <w:bottom w:val="single" w:color="CEE6ED" w:sz="2" w:space="0"/>
                        </w:tcBorders>
                        <w:vAlign w:val="top"/>
                      </w:tcPr>
                      <w:p>
                        <w:pPr>
                          <w:rPr>
                            <w:rFonts w:ascii="Arial"/>
                            <w:sz w:val="21"/>
                          </w:rPr>
                        </w:pPr>
                      </w:p>
                    </w:tc>
                    <w:tc>
                      <w:tcPr>
                        <w:tcW w:w="104" w:type="dxa"/>
                        <w:vMerge w:val="continue"/>
                        <w:tcBorders>
                          <w:top w:val="nil"/>
                          <w:bottom w:val="nil"/>
                          <w:right w:val="nil"/>
                        </w:tcBorders>
                        <w:vAlign w:val="top"/>
                      </w:tcPr>
                      <w:p>
                        <w:pPr>
                          <w:rPr>
                            <w:rFonts w:ascii="Arial"/>
                            <w:sz w:val="21"/>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48" w:hRule="atLeast"/>
                    </w:trPr>
                    <w:tc>
                      <w:tcPr>
                        <w:tcW w:w="2485" w:type="dxa"/>
                        <w:tcBorders>
                          <w:top w:val="single" w:color="CEE6ED" w:sz="2" w:space="0"/>
                          <w:bottom w:val="single" w:color="CEE6ED" w:sz="2" w:space="0"/>
                          <w:right w:val="nil"/>
                        </w:tcBorders>
                        <w:vAlign w:val="top"/>
                      </w:tcPr>
                      <w:p>
                        <w:pPr>
                          <w:spacing w:before="16" w:line="185" w:lineRule="auto"/>
                          <w:ind w:left="415"/>
                          <w:rPr>
                            <w:rFonts w:ascii="微软雅黑" w:hAnsi="微软雅黑" w:eastAsia="微软雅黑" w:cs="微软雅黑"/>
                            <w:sz w:val="17"/>
                            <w:szCs w:val="17"/>
                          </w:rPr>
                        </w:pPr>
                        <w:r>
                          <w:rPr>
                            <w:rFonts w:ascii="微软雅黑" w:hAnsi="微软雅黑" w:eastAsia="微软雅黑" w:cs="微软雅黑"/>
                            <w:color w:val="030303"/>
                            <w:spacing w:val="2"/>
                            <w:position w:val="3"/>
                            <w:sz w:val="17"/>
                            <w:szCs w:val="17"/>
                          </w:rPr>
                          <w:t xml:space="preserve">54.2%           </w:t>
                        </w:r>
                        <w:r>
                          <w:rPr>
                            <w:rFonts w:ascii="微软雅黑" w:hAnsi="微软雅黑" w:eastAsia="微软雅黑" w:cs="微软雅黑"/>
                            <w:color w:val="030303"/>
                            <w:spacing w:val="1"/>
                            <w:position w:val="3"/>
                            <w:sz w:val="17"/>
                            <w:szCs w:val="17"/>
                          </w:rPr>
                          <w:t xml:space="preserve">   </w:t>
                        </w:r>
                        <w:r>
                          <w:rPr>
                            <w:rFonts w:ascii="微软雅黑" w:hAnsi="微软雅黑" w:eastAsia="微软雅黑" w:cs="微软雅黑"/>
                            <w:color w:val="030303"/>
                            <w:spacing w:val="1"/>
                            <w:position w:val="-2"/>
                            <w:sz w:val="17"/>
                            <w:szCs w:val="17"/>
                          </w:rPr>
                          <w:t>612.6</w:t>
                        </w:r>
                      </w:p>
                    </w:tc>
                    <w:tc>
                      <w:tcPr>
                        <w:tcW w:w="3612" w:type="dxa"/>
                        <w:gridSpan w:val="3"/>
                        <w:tcBorders>
                          <w:top w:val="single" w:color="CEE6ED" w:sz="2" w:space="0"/>
                          <w:left w:val="nil"/>
                          <w:bottom w:val="single" w:color="CEE6ED" w:sz="2" w:space="0"/>
                        </w:tcBorders>
                        <w:vAlign w:val="top"/>
                      </w:tcPr>
                      <w:p>
                        <w:pPr>
                          <w:spacing w:before="237" w:line="116" w:lineRule="exact"/>
                          <w:ind w:firstLine="473"/>
                          <w:textAlignment w:val="center"/>
                        </w:pPr>
                        <w:r>
                          <w:drawing>
                            <wp:inline distT="0" distB="0" distL="0" distR="0">
                              <wp:extent cx="73025" cy="73025"/>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39"/>
                                      <a:stretch>
                                        <a:fillRect/>
                                      </a:stretch>
                                    </pic:blipFill>
                                    <pic:spPr>
                                      <a:xfrm>
                                        <a:off x="0" y="0"/>
                                        <a:ext cx="73257" cy="73279"/>
                                      </a:xfrm>
                                      <a:prstGeom prst="rect">
                                        <a:avLst/>
                                      </a:prstGeom>
                                    </pic:spPr>
                                  </pic:pic>
                                </a:graphicData>
                              </a:graphic>
                            </wp:inline>
                          </w:drawing>
                        </w:r>
                      </w:p>
                    </w:tc>
                    <w:tc>
                      <w:tcPr>
                        <w:tcW w:w="104" w:type="dxa"/>
                        <w:vMerge w:val="continue"/>
                        <w:tcBorders>
                          <w:top w:val="nil"/>
                          <w:bottom w:val="nil"/>
                          <w:right w:val="nil"/>
                        </w:tcBorders>
                        <w:vAlign w:val="top"/>
                      </w:tcPr>
                      <w:p>
                        <w:pPr>
                          <w:rPr>
                            <w:rFonts w:ascii="Arial"/>
                            <w:sz w:val="21"/>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20" w:hRule="atLeast"/>
                    </w:trPr>
                    <w:tc>
                      <w:tcPr>
                        <w:tcW w:w="2485" w:type="dxa"/>
                        <w:tcBorders>
                          <w:right w:val="nil"/>
                        </w:tcBorders>
                        <w:vAlign w:val="top"/>
                      </w:tcPr>
                      <w:p>
                        <w:pPr>
                          <w:spacing w:line="103" w:lineRule="exact"/>
                          <w:ind w:left="1635"/>
                          <w:rPr>
                            <w:rFonts w:ascii="微软雅黑" w:hAnsi="微软雅黑" w:eastAsia="微软雅黑" w:cs="微软雅黑"/>
                            <w:sz w:val="12"/>
                            <w:szCs w:val="12"/>
                          </w:rPr>
                        </w:pPr>
                        <w:r>
                          <w:rPr>
                            <w:rFonts w:ascii="微软雅黑" w:hAnsi="微软雅黑" w:eastAsia="微软雅黑" w:cs="微软雅黑"/>
                            <w:color w:val="030303"/>
                            <w:spacing w:val="36"/>
                            <w:position w:val="-1"/>
                            <w:sz w:val="12"/>
                            <w:szCs w:val="12"/>
                          </w:rPr>
                          <w:t>4</w:t>
                        </w:r>
                        <w:r>
                          <w:rPr>
                            <w:rFonts w:ascii="微软雅黑" w:hAnsi="微软雅黑" w:eastAsia="微软雅黑" w:cs="微软雅黑"/>
                            <w:color w:val="030303"/>
                            <w:spacing w:val="34"/>
                            <w:position w:val="-1"/>
                            <w:sz w:val="12"/>
                            <w:szCs w:val="12"/>
                          </w:rPr>
                          <w:t>4.3%</w:t>
                        </w:r>
                      </w:p>
                      <w:p>
                        <w:pPr>
                          <w:spacing w:line="115" w:lineRule="exact"/>
                          <w:ind w:left="1782"/>
                        </w:pPr>
                        <w:r>
                          <w:rPr>
                            <w:position w:val="-2"/>
                          </w:rPr>
                          <w:drawing>
                            <wp:inline distT="0" distB="0" distL="0" distR="0">
                              <wp:extent cx="73025" cy="73025"/>
                              <wp:effectExtent l="0" t="0" r="0" b="0"/>
                              <wp:docPr id="301" name="IM 301"/>
                              <wp:cNvGraphicFramePr/>
                              <a:graphic xmlns:a="http://schemas.openxmlformats.org/drawingml/2006/main">
                                <a:graphicData uri="http://schemas.openxmlformats.org/drawingml/2006/picture">
                                  <pic:pic xmlns:pic="http://schemas.openxmlformats.org/drawingml/2006/picture">
                                    <pic:nvPicPr>
                                      <pic:cNvPr id="301" name="IM 301"/>
                                      <pic:cNvPicPr/>
                                    </pic:nvPicPr>
                                    <pic:blipFill>
                                      <a:blip r:embed="rId140"/>
                                      <a:stretch>
                                        <a:fillRect/>
                                      </a:stretch>
                                    </pic:blipFill>
                                    <pic:spPr>
                                      <a:xfrm>
                                        <a:off x="0" y="0"/>
                                        <a:ext cx="73257" cy="73280"/>
                                      </a:xfrm>
                                      <a:prstGeom prst="rect">
                                        <a:avLst/>
                                      </a:prstGeom>
                                    </pic:spPr>
                                  </pic:pic>
                                </a:graphicData>
                              </a:graphic>
                            </wp:inline>
                          </w:drawing>
                        </w:r>
                      </w:p>
                    </w:tc>
                    <w:tc>
                      <w:tcPr>
                        <w:tcW w:w="3612" w:type="dxa"/>
                        <w:gridSpan w:val="3"/>
                        <w:tcBorders>
                          <w:left w:val="nil"/>
                        </w:tcBorders>
                        <w:vAlign w:val="top"/>
                      </w:tcPr>
                      <w:p>
                        <w:pPr>
                          <w:rPr>
                            <w:rFonts w:ascii="Arial"/>
                            <w:sz w:val="21"/>
                          </w:rPr>
                        </w:pPr>
                      </w:p>
                    </w:tc>
                    <w:tc>
                      <w:tcPr>
                        <w:tcW w:w="104" w:type="dxa"/>
                        <w:vMerge w:val="continue"/>
                        <w:tcBorders>
                          <w:top w:val="nil"/>
                          <w:right w:val="nil"/>
                        </w:tcBorders>
                        <w:vAlign w:val="top"/>
                      </w:tcPr>
                      <w:p>
                        <w:pPr>
                          <w:rPr>
                            <w:rFonts w:ascii="Arial"/>
                            <w:sz w:val="21"/>
                          </w:rPr>
                        </w:pPr>
                      </w:p>
                    </w:tc>
                  </w:tr>
                </w:tbl>
                <w:p>
                  <w:pPr>
                    <w:rPr>
                      <w:rFonts w:ascii="Arial"/>
                      <w:sz w:val="21"/>
                    </w:rPr>
                  </w:pPr>
                </w:p>
              </w:txbxContent>
            </v:textbox>
          </v:shape>
        </w:pict>
      </w:r>
      <w:r>
        <w:pict>
          <v:shape id="_x0000_s1396" o:spid="_x0000_s1396" o:spt="202" type="#_x0000_t202" style="position:absolute;left:0pt;margin-left:129.8pt;margin-top:458.85pt;height:149.1pt;width:22.25pt;mso-position-horizontal-relative:page;mso-position-vertical-relative:page;z-index:252055552;mso-width-relative:page;mso-height-relative:page;" filled="f" stroked="f" coordsize="21600,21600" o:allowincell="f">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1</w:t>
                  </w:r>
                  <w:r>
                    <w:rPr>
                      <w:rFonts w:ascii="微软雅黑" w:hAnsi="微软雅黑" w:eastAsia="微软雅黑" w:cs="微软雅黑"/>
                      <w:color w:val="030303"/>
                      <w:spacing w:val="1"/>
                      <w:sz w:val="17"/>
                      <w:szCs w:val="17"/>
                    </w:rPr>
                    <w:t>200</w:t>
                  </w:r>
                </w:p>
                <w:p>
                  <w:pPr>
                    <w:spacing w:before="236"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1</w:t>
                  </w:r>
                  <w:r>
                    <w:rPr>
                      <w:rFonts w:ascii="微软雅黑" w:hAnsi="微软雅黑" w:eastAsia="微软雅黑" w:cs="微软雅黑"/>
                      <w:color w:val="030303"/>
                      <w:spacing w:val="1"/>
                      <w:sz w:val="17"/>
                      <w:szCs w:val="17"/>
                    </w:rPr>
                    <w:t>000</w:t>
                  </w:r>
                </w:p>
                <w:p>
                  <w:pPr>
                    <w:spacing w:before="237" w:line="178" w:lineRule="auto"/>
                    <w:ind w:left="115"/>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800</w:t>
                  </w:r>
                </w:p>
                <w:p>
                  <w:pPr>
                    <w:spacing w:before="238" w:line="178" w:lineRule="auto"/>
                    <w:ind w:left="117"/>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6</w:t>
                  </w:r>
                  <w:r>
                    <w:rPr>
                      <w:rFonts w:ascii="微软雅黑" w:hAnsi="微软雅黑" w:eastAsia="微软雅黑" w:cs="微软雅黑"/>
                      <w:color w:val="030303"/>
                      <w:spacing w:val="2"/>
                      <w:sz w:val="17"/>
                      <w:szCs w:val="17"/>
                    </w:rPr>
                    <w:t>00</w:t>
                  </w:r>
                </w:p>
                <w:p>
                  <w:pPr>
                    <w:spacing w:before="238" w:line="178" w:lineRule="auto"/>
                    <w:ind w:left="108"/>
                    <w:rPr>
                      <w:rFonts w:ascii="微软雅黑" w:hAnsi="微软雅黑" w:eastAsia="微软雅黑" w:cs="微软雅黑"/>
                      <w:sz w:val="17"/>
                      <w:szCs w:val="17"/>
                    </w:rPr>
                  </w:pPr>
                  <w:r>
                    <w:rPr>
                      <w:rFonts w:ascii="微软雅黑" w:hAnsi="微软雅黑" w:eastAsia="微软雅黑" w:cs="微软雅黑"/>
                      <w:color w:val="030303"/>
                      <w:spacing w:val="6"/>
                      <w:sz w:val="17"/>
                      <w:szCs w:val="17"/>
                    </w:rPr>
                    <w:t>4</w:t>
                  </w:r>
                  <w:r>
                    <w:rPr>
                      <w:rFonts w:ascii="微软雅黑" w:hAnsi="微软雅黑" w:eastAsia="微软雅黑" w:cs="微软雅黑"/>
                      <w:color w:val="030303"/>
                      <w:spacing w:val="5"/>
                      <w:sz w:val="17"/>
                      <w:szCs w:val="17"/>
                    </w:rPr>
                    <w:t>00</w:t>
                  </w:r>
                </w:p>
                <w:p>
                  <w:pPr>
                    <w:spacing w:before="238" w:line="178" w:lineRule="auto"/>
                    <w:ind w:left="117"/>
                    <w:rPr>
                      <w:rFonts w:ascii="微软雅黑" w:hAnsi="微软雅黑" w:eastAsia="微软雅黑" w:cs="微软雅黑"/>
                      <w:sz w:val="17"/>
                      <w:szCs w:val="17"/>
                    </w:rPr>
                  </w:pPr>
                  <w:r>
                    <w:rPr>
                      <w:rFonts w:ascii="微软雅黑" w:hAnsi="微软雅黑" w:eastAsia="微软雅黑" w:cs="微软雅黑"/>
                      <w:color w:val="030303"/>
                      <w:spacing w:val="3"/>
                      <w:sz w:val="17"/>
                      <w:szCs w:val="17"/>
                    </w:rPr>
                    <w:t>2</w:t>
                  </w:r>
                  <w:r>
                    <w:rPr>
                      <w:rFonts w:ascii="微软雅黑" w:hAnsi="微软雅黑" w:eastAsia="微软雅黑" w:cs="微软雅黑"/>
                      <w:color w:val="030303"/>
                      <w:spacing w:val="2"/>
                      <w:sz w:val="17"/>
                      <w:szCs w:val="17"/>
                    </w:rPr>
                    <w:t>00</w:t>
                  </w:r>
                </w:p>
                <w:p>
                  <w:pPr>
                    <w:spacing w:before="237" w:line="178" w:lineRule="auto"/>
                    <w:ind w:left="326"/>
                    <w:rPr>
                      <w:rFonts w:ascii="微软雅黑" w:hAnsi="微软雅黑" w:eastAsia="微软雅黑" w:cs="微软雅黑"/>
                      <w:sz w:val="17"/>
                      <w:szCs w:val="17"/>
                    </w:rPr>
                  </w:pPr>
                  <w:r>
                    <w:rPr>
                      <w:rFonts w:ascii="微软雅黑" w:hAnsi="微软雅黑" w:eastAsia="微软雅黑" w:cs="微软雅黑"/>
                      <w:color w:val="030303"/>
                      <w:sz w:val="17"/>
                      <w:szCs w:val="17"/>
                    </w:rPr>
                    <w:t>0</w:t>
                  </w:r>
                </w:p>
              </w:txbxContent>
            </v:textbox>
          </v:shape>
        </w:pict>
      </w:r>
      <w:r>
        <w:pict>
          <v:shape id="_x0000_s1397" o:spid="_x0000_s1397" o:spt="202" type="#_x0000_t202" style="position:absolute;left:0pt;margin-left:455.5pt;margin-top:458.9pt;height:12.85pt;width:12.15pt;mso-position-horizontal-relative:page;mso-position-vertical-relative:page;z-index:252060672;mso-width-relative:page;mso-height-relative:page;" filled="f" stroked="f" coordsize="21600,21600" o:allowincell="f">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8</w:t>
                  </w:r>
                  <w:r>
                    <w:rPr>
                      <w:rFonts w:ascii="微软雅黑" w:hAnsi="微软雅黑" w:eastAsia="微软雅黑" w:cs="微软雅黑"/>
                      <w:color w:val="030303"/>
                      <w:spacing w:val="1"/>
                      <w:sz w:val="17"/>
                      <w:szCs w:val="17"/>
                    </w:rPr>
                    <w:t>0</w:t>
                  </w:r>
                </w:p>
              </w:txbxContent>
            </v:textbox>
          </v:shape>
        </w:pict>
      </w:r>
      <w:r>
        <w:pict>
          <v:shape id="_x0000_s1398" o:spid="_x0000_s1398" o:spt="202" type="#_x0000_t202" style="position:absolute;left:0pt;margin-left:455.1pt;margin-top:492.95pt;height:115.05pt;width:12.5pt;mso-position-horizontal-relative:page;mso-position-vertical-relative:page;z-index:252059648;mso-width-relative:page;mso-height-relative:page;" filled="f" stroked="f" coordsize="21600,21600" o:allowincell="f">
            <v:path/>
            <v:fill on="f" focussize="0,0"/>
            <v:stroke on="f"/>
            <v:imagedata o:title=""/>
            <o:lock v:ext="edit" aspectratio="f"/>
            <v:textbox inset="0mm,0mm,0mm,0mm">
              <w:txbxContent>
                <w:p>
                  <w:pPr>
                    <w:spacing w:before="20" w:line="178" w:lineRule="auto"/>
                    <w:ind w:left="132"/>
                    <w:rPr>
                      <w:rFonts w:ascii="微软雅黑" w:hAnsi="微软雅黑" w:eastAsia="微软雅黑" w:cs="微软雅黑"/>
                      <w:sz w:val="17"/>
                      <w:szCs w:val="17"/>
                    </w:rPr>
                  </w:pPr>
                  <w:r>
                    <w:rPr>
                      <w:rFonts w:ascii="微软雅黑" w:hAnsi="微软雅黑" w:eastAsia="微软雅黑" w:cs="微软雅黑"/>
                      <w:color w:val="030303"/>
                      <w:sz w:val="17"/>
                      <w:szCs w:val="17"/>
                    </w:rPr>
                    <w:t>0</w:t>
                  </w:r>
                </w:p>
                <w:p>
                  <w:pPr>
                    <w:spacing w:before="126" w:line="176" w:lineRule="auto"/>
                    <w:ind w:left="139"/>
                    <w:rPr>
                      <w:rFonts w:ascii="微软雅黑" w:hAnsi="微软雅黑" w:eastAsia="微软雅黑" w:cs="微软雅黑"/>
                      <w:sz w:val="17"/>
                      <w:szCs w:val="17"/>
                    </w:rPr>
                  </w:pPr>
                  <w:r>
                    <w:rPr>
                      <w:rFonts w:ascii="微软雅黑" w:hAnsi="微软雅黑" w:eastAsia="微软雅黑" w:cs="微软雅黑"/>
                      <w:color w:val="030303"/>
                      <w:sz w:val="17"/>
                      <w:szCs w:val="17"/>
                    </w:rPr>
                    <w:t>5</w:t>
                  </w:r>
                </w:p>
                <w:p>
                  <w:pPr>
                    <w:spacing w:before="124" w:line="178" w:lineRule="auto"/>
                    <w:ind w:left="28"/>
                    <w:rPr>
                      <w:rFonts w:ascii="微软雅黑" w:hAnsi="微软雅黑" w:eastAsia="微软雅黑" w:cs="微软雅黑"/>
                      <w:sz w:val="17"/>
                      <w:szCs w:val="17"/>
                    </w:rPr>
                  </w:pPr>
                  <w:r>
                    <w:rPr>
                      <w:rFonts w:ascii="微软雅黑" w:hAnsi="微软雅黑" w:eastAsia="微软雅黑" w:cs="微软雅黑"/>
                      <w:color w:val="030303"/>
                      <w:spacing w:val="1"/>
                      <w:sz w:val="17"/>
                      <w:szCs w:val="17"/>
                    </w:rPr>
                    <w:t>6</w:t>
                  </w:r>
                  <w:r>
                    <w:rPr>
                      <w:rFonts w:ascii="微软雅黑" w:hAnsi="微软雅黑" w:eastAsia="微软雅黑" w:cs="微软雅黑"/>
                      <w:color w:val="030303"/>
                      <w:sz w:val="17"/>
                      <w:szCs w:val="17"/>
                    </w:rPr>
                    <w:t>0</w:t>
                  </w:r>
                </w:p>
                <w:p>
                  <w:pPr>
                    <w:spacing w:before="126" w:line="176" w:lineRule="auto"/>
                    <w:ind w:left="139"/>
                    <w:rPr>
                      <w:rFonts w:ascii="微软雅黑" w:hAnsi="微软雅黑" w:eastAsia="微软雅黑" w:cs="微软雅黑"/>
                      <w:sz w:val="17"/>
                      <w:szCs w:val="17"/>
                    </w:rPr>
                  </w:pPr>
                  <w:r>
                    <w:rPr>
                      <w:rFonts w:ascii="微软雅黑" w:hAnsi="微软雅黑" w:eastAsia="微软雅黑" w:cs="微软雅黑"/>
                      <w:color w:val="030303"/>
                      <w:sz w:val="17"/>
                      <w:szCs w:val="17"/>
                    </w:rPr>
                    <w:t>5</w:t>
                  </w:r>
                </w:p>
                <w:p>
                  <w:pPr>
                    <w:spacing w:before="124" w:line="178" w:lineRule="auto"/>
                    <w:ind w:left="132"/>
                    <w:rPr>
                      <w:rFonts w:ascii="微软雅黑" w:hAnsi="微软雅黑" w:eastAsia="微软雅黑" w:cs="微软雅黑"/>
                      <w:sz w:val="17"/>
                      <w:szCs w:val="17"/>
                    </w:rPr>
                  </w:pPr>
                  <w:r>
                    <w:rPr>
                      <w:rFonts w:ascii="微软雅黑" w:hAnsi="微软雅黑" w:eastAsia="微软雅黑" w:cs="微软雅黑"/>
                      <w:color w:val="030303"/>
                      <w:sz w:val="17"/>
                      <w:szCs w:val="17"/>
                    </w:rPr>
                    <w:t>0</w:t>
                  </w:r>
                </w:p>
                <w:p>
                  <w:pPr>
                    <w:spacing w:before="126" w:line="176" w:lineRule="auto"/>
                    <w:ind w:left="139"/>
                    <w:rPr>
                      <w:rFonts w:ascii="微软雅黑" w:hAnsi="微软雅黑" w:eastAsia="微软雅黑" w:cs="微软雅黑"/>
                      <w:sz w:val="17"/>
                      <w:szCs w:val="17"/>
                    </w:rPr>
                  </w:pPr>
                  <w:r>
                    <w:rPr>
                      <w:rFonts w:ascii="微软雅黑" w:hAnsi="微软雅黑" w:eastAsia="微软雅黑" w:cs="微软雅黑"/>
                      <w:color w:val="030303"/>
                      <w:sz w:val="17"/>
                      <w:szCs w:val="17"/>
                    </w:rPr>
                    <w:t>5</w:t>
                  </w:r>
                </w:p>
                <w:p>
                  <w:pPr>
                    <w:spacing w:before="125"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5"/>
                      <w:sz w:val="17"/>
                      <w:szCs w:val="17"/>
                    </w:rPr>
                    <w:t>40</w:t>
                  </w:r>
                </w:p>
              </w:txbxContent>
            </v:textbox>
          </v:shape>
        </w:pict>
      </w:r>
      <w:r>
        <w:pict>
          <v:shape id="_x0000_s1399" o:spid="_x0000_s1399" o:spt="202" type="#_x0000_t202" style="position:absolute;left:0pt;margin-left:351.25pt;margin-top:550.15pt;height:12.85pt;width:27.3pt;mso-position-horizontal-relative:page;mso-position-vertical-relative:page;z-index:252069888;mso-width-relative:page;mso-height-relative:page;" filled="f" stroked="f" coordsize="21600,21600" o:allowincell="f">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1"/>
                      <w:sz w:val="17"/>
                      <w:szCs w:val="17"/>
                    </w:rPr>
                    <w:t>55 8</w:t>
                  </w:r>
                  <w:r>
                    <w:rPr>
                      <w:rFonts w:ascii="微软雅黑" w:hAnsi="微软雅黑" w:eastAsia="微软雅黑" w:cs="微软雅黑"/>
                      <w:color w:val="030303"/>
                      <w:sz w:val="17"/>
                      <w:szCs w:val="17"/>
                    </w:rPr>
                    <w:t>%</w:t>
                  </w:r>
                </w:p>
              </w:txbxContent>
            </v:textbox>
          </v:shape>
        </w:pict>
      </w:r>
      <w:r>
        <w:pict>
          <v:shape id="_x0000_s1400" o:spid="_x0000_s1400" o:spt="202" type="#_x0000_t202" style="position:absolute;left:0pt;margin-left:294.9pt;margin-top:571.7pt;height:12.85pt;width:20.55pt;mso-position-horizontal-relative:page;mso-position-vertical-relative:page;z-index:252068864;mso-width-relative:page;mso-height-relative:page;" filled="f" stroked="f" coordsize="21600,21600" o:allowincell="f">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7"/>
                      <w:sz w:val="17"/>
                      <w:szCs w:val="17"/>
                    </w:rPr>
                    <w:t>4</w:t>
                  </w:r>
                  <w:r>
                    <w:rPr>
                      <w:rFonts w:ascii="微软雅黑" w:hAnsi="微软雅黑" w:eastAsia="微软雅黑" w:cs="微软雅黑"/>
                      <w:color w:val="030303"/>
                      <w:spacing w:val="6"/>
                      <w:sz w:val="17"/>
                      <w:szCs w:val="17"/>
                    </w:rPr>
                    <w:t>9%</w:t>
                  </w:r>
                </w:p>
              </w:txbxContent>
            </v:textbox>
          </v:shape>
        </w:pict>
      </w:r>
      <w:r>
        <w:pict>
          <v:shape id="_x0000_s1401" o:spid="_x0000_s1401" o:spt="202" type="#_x0000_t202" style="position:absolute;left:0pt;margin-left:175.85pt;margin-top:607.4pt;height:10.15pt;width:254.9pt;mso-position-horizontal-relative:page;mso-position-vertical-relative:page;z-index:252057600;mso-width-relative:page;mso-height-relative:page;" filled="f" stroked="f" coordsize="21600,21600" o:allowincell="f">
            <v:path/>
            <v:fill on="f" focussize="0,0"/>
            <v:stroke on="f"/>
            <v:imagedata o:title=""/>
            <o:lock v:ext="edit" aspectratio="f"/>
            <v:textbox inset="0mm,0mm,0mm,0mm">
              <w:txbxContent>
                <w:p>
                  <w:pPr>
                    <w:spacing w:before="20" w:line="199" w:lineRule="auto"/>
                    <w:ind w:left="20"/>
                    <w:rPr>
                      <w:rFonts w:ascii="Arial" w:hAnsi="Arial" w:eastAsia="Arial" w:cs="Arial"/>
                      <w:sz w:val="17"/>
                      <w:szCs w:val="17"/>
                    </w:rPr>
                  </w:pPr>
                  <w:r>
                    <w:rPr>
                      <w:rFonts w:ascii="Arial" w:hAnsi="Arial" w:eastAsia="Arial" w:cs="Arial"/>
                      <w:color w:val="231F20"/>
                      <w:spacing w:val="4"/>
                      <w:sz w:val="17"/>
                      <w:szCs w:val="17"/>
                    </w:rPr>
                    <w:t xml:space="preserve">2016        </w:t>
                  </w:r>
                  <w:r>
                    <w:rPr>
                      <w:rFonts w:ascii="Arial" w:hAnsi="Arial" w:eastAsia="Arial" w:cs="Arial"/>
                      <w:color w:val="231F20"/>
                      <w:spacing w:val="3"/>
                      <w:sz w:val="17"/>
                      <w:szCs w:val="17"/>
                    </w:rPr>
                    <w:t xml:space="preserve"> </w:t>
                  </w:r>
                  <w:r>
                    <w:rPr>
                      <w:rFonts w:ascii="Arial" w:hAnsi="Arial" w:eastAsia="Arial" w:cs="Arial"/>
                      <w:color w:val="231F20"/>
                      <w:spacing w:val="2"/>
                      <w:sz w:val="17"/>
                      <w:szCs w:val="17"/>
                    </w:rPr>
                    <w:t xml:space="preserve">       2017                2018                2019               2020</w:t>
                  </w:r>
                </w:p>
              </w:txbxContent>
            </v:textbox>
          </v:shape>
        </w:pict>
      </w:r>
      <w:r>
        <w:pict>
          <v:shape id="_x0000_s1402" o:spid="_x0000_s1402" style="position:absolute;left:0pt;margin-left:185.1pt;margin-top:545.1pt;height:41.55pt;width:178.25pt;mso-position-horizontal-relative:page;mso-position-vertical-relative:page;z-index:252054528;mso-width-relative:page;mso-height-relative:page;" filled="f" stroked="t" coordsize="3565,830" o:allowincell="f" path="m22,129l1195,807m1195,807l2368,488m2368,488l3542,22e">
            <v:fill on="f" focussize="0,0"/>
            <v:stroke weight="2.25pt" color="#92B165" miterlimit="10" endcap="round"/>
            <v:imagedata o:title=""/>
            <o:lock v:ext="edit"/>
          </v:shape>
        </w:pict>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bookmarkStart w:id="58" w:name="_bookmark42"/>
      <w:bookmarkEnd w:id="58"/>
      <w:bookmarkStart w:id="59" w:name="_bookmark41"/>
      <w:bookmarkEnd w:id="59"/>
      <w:bookmarkStart w:id="60" w:name="_bookmark87"/>
      <w:bookmarkEnd w:id="60"/>
      <w:r>
        <w:rPr>
          <w:rFonts w:ascii="SimHei" w:hAnsi="SimHei" w:eastAsia="SimHei" w:cs="SimHei"/>
          <w:color w:val="1A67B3"/>
          <w:spacing w:val="39"/>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303" name="IM 303"/>
            <wp:cNvGraphicFramePr/>
            <a:graphic xmlns:a="http://schemas.openxmlformats.org/drawingml/2006/main">
              <a:graphicData uri="http://schemas.openxmlformats.org/drawingml/2006/picture">
                <pic:pic xmlns:pic="http://schemas.openxmlformats.org/drawingml/2006/picture">
                  <pic:nvPicPr>
                    <pic:cNvPr id="303" name="IM 303"/>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57</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8"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0"/>
          <w:sz w:val="24"/>
          <w:szCs w:val="24"/>
        </w:rPr>
        <w:t>二) 利用外资情况</w:t>
      </w:r>
    </w:p>
    <w:p>
      <w:pPr>
        <w:spacing w:before="332" w:line="202" w:lineRule="auto"/>
        <w:ind w:left="2454"/>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 xml:space="preserve">近年来 </w:t>
      </w:r>
      <w:r>
        <w:rPr>
          <w:rFonts w:ascii="微软雅黑" w:hAnsi="微软雅黑" w:eastAsia="微软雅黑" w:cs="微软雅黑"/>
          <w:color w:val="231F20"/>
          <w:spacing w:val="1"/>
          <w:sz w:val="22"/>
          <w:szCs w:val="22"/>
        </w:rPr>
        <w:t>，在中国产业持续升级、服务业不断扩大开放和密集出台支持政策的推动</w:t>
      </w:r>
    </w:p>
    <w:p>
      <w:pPr>
        <w:spacing w:before="81" w:line="272" w:lineRule="auto"/>
        <w:ind w:left="1988" w:right="1989" w:firstLine="10"/>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下 ，生产性服务业利用外资</w:t>
      </w:r>
      <w:r>
        <w:rPr>
          <w:rFonts w:ascii="微软雅黑" w:hAnsi="微软雅黑" w:eastAsia="微软雅黑" w:cs="微软雅黑"/>
          <w:color w:val="231F20"/>
          <w:sz w:val="22"/>
          <w:szCs w:val="22"/>
        </w:rPr>
        <w:t xml:space="preserve">规模持续扩大、结构持续优化 ，对推动中国生产性服务业 </w:t>
      </w:r>
      <w:r>
        <w:rPr>
          <w:rFonts w:ascii="微软雅黑" w:hAnsi="微软雅黑" w:eastAsia="微软雅黑" w:cs="微软雅黑"/>
          <w:color w:val="231F20"/>
          <w:spacing w:val="1"/>
          <w:sz w:val="22"/>
          <w:szCs w:val="22"/>
        </w:rPr>
        <w:t>快速</w:t>
      </w:r>
      <w:r>
        <w:rPr>
          <w:rFonts w:ascii="微软雅黑" w:hAnsi="微软雅黑" w:eastAsia="微软雅黑" w:cs="微软雅黑"/>
          <w:color w:val="231F20"/>
          <w:sz w:val="22"/>
          <w:szCs w:val="22"/>
        </w:rPr>
        <w:t>发展起到了重要作用。</w:t>
      </w:r>
    </w:p>
    <w:p>
      <w:pPr>
        <w:spacing w:before="180" w:line="214" w:lineRule="auto"/>
        <w:ind w:left="2458"/>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1. </w:t>
      </w:r>
      <w:r>
        <w:rPr>
          <w:rFonts w:ascii="KaiTi" w:hAnsi="KaiTi" w:eastAsia="KaiTi" w:cs="KaiTi"/>
          <w:color w:val="015DAC"/>
          <w:spacing w:val="-1"/>
          <w:sz w:val="22"/>
          <w:szCs w:val="22"/>
        </w:rPr>
        <w:t>生产性</w:t>
      </w:r>
      <w:r>
        <w:rPr>
          <w:rFonts w:ascii="KaiTi" w:hAnsi="KaiTi" w:eastAsia="KaiTi" w:cs="KaiTi"/>
          <w:color w:val="015DAC"/>
          <w:sz w:val="22"/>
          <w:szCs w:val="22"/>
        </w:rPr>
        <w:t>服务业利用外资规模稳步提升</w:t>
      </w:r>
    </w:p>
    <w:p>
      <w:pPr>
        <w:spacing w:line="263" w:lineRule="auto"/>
        <w:rPr>
          <w:rFonts w:ascii="Arial"/>
          <w:sz w:val="21"/>
        </w:rPr>
      </w:pPr>
    </w:p>
    <w:p>
      <w:pPr>
        <w:spacing w:before="95" w:line="257" w:lineRule="auto"/>
        <w:ind w:left="1982" w:right="1895" w:firstLine="460"/>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在服务业扩大开放政策</w:t>
      </w:r>
      <w:r>
        <w:rPr>
          <w:rFonts w:ascii="微软雅黑" w:hAnsi="微软雅黑" w:eastAsia="微软雅黑" w:cs="微软雅黑"/>
          <w:color w:val="231F20"/>
          <w:spacing w:val="-4"/>
          <w:sz w:val="22"/>
          <w:szCs w:val="22"/>
        </w:rPr>
        <w:t>的</w:t>
      </w:r>
      <w:r>
        <w:rPr>
          <w:rFonts w:ascii="微软雅黑" w:hAnsi="微软雅黑" w:eastAsia="微软雅黑" w:cs="微软雅黑"/>
          <w:color w:val="231F20"/>
          <w:spacing w:val="-3"/>
          <w:sz w:val="22"/>
          <w:szCs w:val="22"/>
        </w:rPr>
        <w:t>推动下，  中国生产性服务业利用外资规模持续扩大，  由</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2"/>
          <w:sz w:val="22"/>
          <w:szCs w:val="22"/>
        </w:rPr>
        <w:t xml:space="preserve">2017 </w:t>
      </w:r>
      <w:r>
        <w:rPr>
          <w:rFonts w:ascii="微软雅黑" w:hAnsi="微软雅黑" w:eastAsia="微软雅黑" w:cs="微软雅黑"/>
          <w:color w:val="231F20"/>
          <w:spacing w:val="-2"/>
          <w:sz w:val="22"/>
          <w:szCs w:val="22"/>
        </w:rPr>
        <w:t xml:space="preserve">年的 </w:t>
      </w:r>
      <w:r>
        <w:rPr>
          <w:rFonts w:ascii="Times New Roman" w:hAnsi="Times New Roman" w:eastAsia="Times New Roman" w:cs="Times New Roman"/>
          <w:color w:val="231F20"/>
          <w:spacing w:val="-2"/>
          <w:sz w:val="22"/>
          <w:szCs w:val="22"/>
        </w:rPr>
        <w:t xml:space="preserve">739.4 </w:t>
      </w:r>
      <w:r>
        <w:rPr>
          <w:rFonts w:ascii="微软雅黑" w:hAnsi="微软雅黑" w:eastAsia="微软雅黑" w:cs="微软雅黑"/>
          <w:color w:val="231F20"/>
          <w:spacing w:val="-2"/>
          <w:sz w:val="22"/>
          <w:szCs w:val="22"/>
        </w:rPr>
        <w:t>亿美</w:t>
      </w:r>
      <w:r>
        <w:rPr>
          <w:rFonts w:ascii="微软雅黑" w:hAnsi="微软雅黑" w:eastAsia="微软雅黑" w:cs="微软雅黑"/>
          <w:color w:val="231F20"/>
          <w:spacing w:val="-1"/>
          <w:sz w:val="22"/>
          <w:szCs w:val="22"/>
        </w:rPr>
        <w:t xml:space="preserve">元增加至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年的 </w:t>
      </w:r>
      <w:r>
        <w:rPr>
          <w:rFonts w:ascii="Times New Roman" w:hAnsi="Times New Roman" w:eastAsia="Times New Roman" w:cs="Times New Roman"/>
          <w:color w:val="231F20"/>
          <w:spacing w:val="-1"/>
          <w:sz w:val="22"/>
          <w:szCs w:val="22"/>
        </w:rPr>
        <w:t xml:space="preserve">1012.2 </w:t>
      </w:r>
      <w:r>
        <w:rPr>
          <w:rFonts w:ascii="微软雅黑" w:hAnsi="微软雅黑" w:eastAsia="微软雅黑" w:cs="微软雅黑"/>
          <w:color w:val="231F20"/>
          <w:spacing w:val="-1"/>
          <w:sz w:val="22"/>
          <w:szCs w:val="22"/>
        </w:rPr>
        <w:t xml:space="preserve">亿美元 ，增长 </w:t>
      </w:r>
      <w:r>
        <w:rPr>
          <w:rFonts w:ascii="Times New Roman" w:hAnsi="Times New Roman" w:eastAsia="Times New Roman" w:cs="Times New Roman"/>
          <w:color w:val="231F20"/>
          <w:spacing w:val="-1"/>
          <w:sz w:val="22"/>
          <w:szCs w:val="22"/>
        </w:rPr>
        <w:t>36.9%</w:t>
      </w:r>
      <w:r>
        <w:rPr>
          <w:rFonts w:ascii="微软雅黑" w:hAnsi="微软雅黑" w:eastAsia="微软雅黑" w:cs="微软雅黑"/>
          <w:color w:val="231F20"/>
          <w:spacing w:val="-1"/>
          <w:sz w:val="22"/>
          <w:szCs w:val="22"/>
        </w:rPr>
        <w:t>，   占服务业实际</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 xml:space="preserve">使用外资的比重从 </w:t>
      </w:r>
      <w:r>
        <w:rPr>
          <w:rFonts w:ascii="Times New Roman" w:hAnsi="Times New Roman" w:eastAsia="Times New Roman" w:cs="Times New Roman"/>
          <w:color w:val="231F20"/>
          <w:spacing w:val="-3"/>
          <w:sz w:val="22"/>
          <w:szCs w:val="22"/>
        </w:rPr>
        <w:t xml:space="preserve">73.4% </w:t>
      </w:r>
      <w:r>
        <w:rPr>
          <w:rFonts w:ascii="微软雅黑" w:hAnsi="微软雅黑" w:eastAsia="微软雅黑" w:cs="微软雅黑"/>
          <w:color w:val="231F20"/>
          <w:spacing w:val="-3"/>
          <w:sz w:val="22"/>
          <w:szCs w:val="22"/>
        </w:rPr>
        <w:t xml:space="preserve">下降至 </w:t>
      </w:r>
      <w:r>
        <w:rPr>
          <w:rFonts w:ascii="Times New Roman" w:hAnsi="Times New Roman" w:eastAsia="Times New Roman" w:cs="Times New Roman"/>
          <w:color w:val="231F20"/>
          <w:spacing w:val="-3"/>
          <w:sz w:val="22"/>
          <w:szCs w:val="22"/>
        </w:rPr>
        <w:t>70.2%</w:t>
      </w:r>
      <w:r>
        <w:rPr>
          <w:rFonts w:ascii="微软雅黑" w:hAnsi="微软雅黑" w:eastAsia="微软雅黑" w:cs="微软雅黑"/>
          <w:color w:val="231F20"/>
          <w:spacing w:val="-3"/>
          <w:sz w:val="22"/>
          <w:szCs w:val="22"/>
        </w:rPr>
        <w:t xml:space="preserve">，  降低了 </w:t>
      </w:r>
      <w:r>
        <w:rPr>
          <w:rFonts w:ascii="Times New Roman" w:hAnsi="Times New Roman" w:eastAsia="Times New Roman" w:cs="Times New Roman"/>
          <w:color w:val="231F20"/>
          <w:spacing w:val="-3"/>
          <w:sz w:val="22"/>
          <w:szCs w:val="22"/>
        </w:rPr>
        <w:t xml:space="preserve">3.2 </w:t>
      </w:r>
      <w:r>
        <w:rPr>
          <w:rFonts w:ascii="微软雅黑" w:hAnsi="微软雅黑" w:eastAsia="微软雅黑" w:cs="微软雅黑"/>
          <w:color w:val="231F20"/>
          <w:spacing w:val="-3"/>
          <w:sz w:val="22"/>
          <w:szCs w:val="22"/>
        </w:rPr>
        <w:t>个百分点，   占中国实际使</w:t>
      </w:r>
      <w:r>
        <w:rPr>
          <w:rFonts w:ascii="微软雅黑" w:hAnsi="微软雅黑" w:eastAsia="微软雅黑" w:cs="微软雅黑"/>
          <w:color w:val="231F20"/>
          <w:spacing w:val="-1"/>
          <w:sz w:val="22"/>
          <w:szCs w:val="22"/>
        </w:rPr>
        <w:t>用</w:t>
      </w:r>
      <w:r>
        <w:rPr>
          <w:rFonts w:ascii="微软雅黑" w:hAnsi="微软雅黑" w:eastAsia="微软雅黑" w:cs="微软雅黑"/>
          <w:color w:val="231F20"/>
          <w:sz w:val="22"/>
          <w:szCs w:val="22"/>
        </w:rPr>
        <w:t xml:space="preserve">外资 </w:t>
      </w:r>
      <w:r>
        <w:rPr>
          <w:rFonts w:ascii="微软雅黑" w:hAnsi="微软雅黑" w:eastAsia="微软雅黑" w:cs="微软雅黑"/>
          <w:color w:val="231F20"/>
          <w:spacing w:val="-4"/>
          <w:sz w:val="22"/>
          <w:szCs w:val="22"/>
        </w:rPr>
        <w:t xml:space="preserve">总额的比重由 </w:t>
      </w:r>
      <w:r>
        <w:rPr>
          <w:rFonts w:ascii="Times New Roman" w:hAnsi="Times New Roman" w:eastAsia="Times New Roman" w:cs="Times New Roman"/>
          <w:color w:val="231F20"/>
          <w:spacing w:val="-4"/>
          <w:sz w:val="22"/>
          <w:szCs w:val="22"/>
        </w:rPr>
        <w:t>54</w:t>
      </w:r>
      <w:r>
        <w:rPr>
          <w:rFonts w:ascii="Times New Roman" w:hAnsi="Times New Roman" w:eastAsia="Times New Roman" w:cs="Times New Roman"/>
          <w:color w:val="231F20"/>
          <w:spacing w:val="-2"/>
          <w:sz w:val="22"/>
          <w:szCs w:val="22"/>
        </w:rPr>
        <w:t xml:space="preserve">.2% </w:t>
      </w:r>
      <w:r>
        <w:rPr>
          <w:rFonts w:ascii="微软雅黑" w:hAnsi="微软雅黑" w:eastAsia="微软雅黑" w:cs="微软雅黑"/>
          <w:color w:val="231F20"/>
          <w:spacing w:val="-2"/>
          <w:sz w:val="22"/>
          <w:szCs w:val="22"/>
        </w:rPr>
        <w:t xml:space="preserve">提升至 </w:t>
      </w:r>
      <w:r>
        <w:rPr>
          <w:rFonts w:ascii="Times New Roman" w:hAnsi="Times New Roman" w:eastAsia="Times New Roman" w:cs="Times New Roman"/>
          <w:color w:val="231F20"/>
          <w:spacing w:val="-2"/>
          <w:sz w:val="22"/>
          <w:szCs w:val="22"/>
        </w:rPr>
        <w:t>55.9%</w:t>
      </w:r>
      <w:r>
        <w:rPr>
          <w:rFonts w:ascii="微软雅黑" w:hAnsi="微软雅黑" w:eastAsia="微软雅黑" w:cs="微软雅黑"/>
          <w:color w:val="231F20"/>
          <w:spacing w:val="-2"/>
          <w:sz w:val="22"/>
          <w:szCs w:val="22"/>
        </w:rPr>
        <w:t>。同时，从新设的生产性服务业外资企业数量来看 ，</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4"/>
          <w:sz w:val="22"/>
          <w:szCs w:val="22"/>
        </w:rPr>
        <w:t xml:space="preserve">2017 </w:t>
      </w:r>
      <w:r>
        <w:rPr>
          <w:rFonts w:ascii="微软雅黑" w:hAnsi="微软雅黑" w:eastAsia="微软雅黑" w:cs="微软雅黑"/>
          <w:color w:val="231F20"/>
          <w:spacing w:val="-4"/>
          <w:sz w:val="22"/>
          <w:szCs w:val="22"/>
        </w:rPr>
        <w:t xml:space="preserve">年以来呈现波动增长态势，  </w:t>
      </w:r>
      <w:r>
        <w:rPr>
          <w:rFonts w:ascii="微软雅黑" w:hAnsi="微软雅黑" w:eastAsia="微软雅黑" w:cs="微软雅黑"/>
          <w:color w:val="231F20"/>
          <w:spacing w:val="-3"/>
          <w:sz w:val="22"/>
          <w:szCs w:val="22"/>
        </w:rPr>
        <w:t>由</w:t>
      </w:r>
      <w:r>
        <w:rPr>
          <w:rFonts w:ascii="微软雅黑" w:hAnsi="微软雅黑" w:eastAsia="微软雅黑" w:cs="微软雅黑"/>
          <w:color w:val="231F20"/>
          <w:spacing w:val="-2"/>
          <w:sz w:val="22"/>
          <w:szCs w:val="22"/>
        </w:rPr>
        <w:t xml:space="preserve"> </w:t>
      </w:r>
      <w:r>
        <w:rPr>
          <w:rFonts w:ascii="Times New Roman" w:hAnsi="Times New Roman" w:eastAsia="Times New Roman" w:cs="Times New Roman"/>
          <w:color w:val="231F20"/>
          <w:spacing w:val="-2"/>
          <w:sz w:val="22"/>
          <w:szCs w:val="22"/>
        </w:rPr>
        <w:t xml:space="preserve">2017 </w:t>
      </w:r>
      <w:r>
        <w:rPr>
          <w:rFonts w:ascii="微软雅黑" w:hAnsi="微软雅黑" w:eastAsia="微软雅黑" w:cs="微软雅黑"/>
          <w:color w:val="231F20"/>
          <w:spacing w:val="-2"/>
          <w:sz w:val="22"/>
          <w:szCs w:val="22"/>
        </w:rPr>
        <w:t xml:space="preserve">年的 </w:t>
      </w:r>
      <w:r>
        <w:rPr>
          <w:rFonts w:ascii="Times New Roman" w:hAnsi="Times New Roman" w:eastAsia="Times New Roman" w:cs="Times New Roman"/>
          <w:color w:val="231F20"/>
          <w:spacing w:val="-2"/>
          <w:sz w:val="22"/>
          <w:szCs w:val="22"/>
        </w:rPr>
        <w:t xml:space="preserve">27813 </w:t>
      </w:r>
      <w:r>
        <w:rPr>
          <w:rFonts w:ascii="微软雅黑" w:hAnsi="微软雅黑" w:eastAsia="微软雅黑" w:cs="微软雅黑"/>
          <w:color w:val="231F20"/>
          <w:spacing w:val="-2"/>
          <w:sz w:val="22"/>
          <w:szCs w:val="22"/>
        </w:rPr>
        <w:t xml:space="preserve">家增加至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年的 </w:t>
      </w:r>
      <w:r>
        <w:rPr>
          <w:rFonts w:ascii="Times New Roman" w:hAnsi="Times New Roman" w:eastAsia="Times New Roman" w:cs="Times New Roman"/>
          <w:color w:val="231F20"/>
          <w:spacing w:val="-2"/>
          <w:sz w:val="22"/>
          <w:szCs w:val="22"/>
        </w:rPr>
        <w:t xml:space="preserve">35772 </w:t>
      </w:r>
      <w:r>
        <w:rPr>
          <w:rFonts w:ascii="微软雅黑" w:hAnsi="微软雅黑" w:eastAsia="微软雅黑" w:cs="微软雅黑"/>
          <w:color w:val="231F20"/>
          <w:spacing w:val="-2"/>
          <w:sz w:val="22"/>
          <w:szCs w:val="22"/>
        </w:rPr>
        <w:t>家 ，增</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长 </w:t>
      </w:r>
      <w:r>
        <w:rPr>
          <w:rFonts w:ascii="Times New Roman" w:hAnsi="Times New Roman" w:eastAsia="Times New Roman" w:cs="Times New Roman"/>
          <w:color w:val="231F20"/>
          <w:spacing w:val="-1"/>
          <w:sz w:val="22"/>
          <w:szCs w:val="22"/>
        </w:rPr>
        <w:t>28.</w:t>
      </w:r>
      <w:r>
        <w:rPr>
          <w:rFonts w:ascii="Times New Roman" w:hAnsi="Times New Roman" w:eastAsia="Times New Roman" w:cs="Times New Roman"/>
          <w:color w:val="231F20"/>
          <w:sz w:val="22"/>
          <w:szCs w:val="22"/>
        </w:rPr>
        <w:t>6%</w:t>
      </w:r>
      <w:r>
        <w:rPr>
          <w:rFonts w:ascii="微软雅黑" w:hAnsi="微软雅黑" w:eastAsia="微软雅黑" w:cs="微软雅黑"/>
          <w:color w:val="231F20"/>
          <w:sz w:val="22"/>
          <w:szCs w:val="22"/>
        </w:rPr>
        <w:t xml:space="preserve">。其中 </w:t>
      </w:r>
      <w:r>
        <w:rPr>
          <w:rFonts w:ascii="Times New Roman" w:hAnsi="Times New Roman" w:eastAsia="Times New Roman" w:cs="Times New Roman"/>
          <w:color w:val="231F20"/>
          <w:sz w:val="22"/>
          <w:szCs w:val="22"/>
        </w:rPr>
        <w:t xml:space="preserve">2018 </w:t>
      </w:r>
      <w:r>
        <w:rPr>
          <w:rFonts w:ascii="微软雅黑" w:hAnsi="微软雅黑" w:eastAsia="微软雅黑" w:cs="微软雅黑"/>
          <w:color w:val="231F20"/>
          <w:sz w:val="22"/>
          <w:szCs w:val="22"/>
        </w:rPr>
        <w:t xml:space="preserve">年达到最高值 </w:t>
      </w:r>
      <w:r>
        <w:rPr>
          <w:rFonts w:ascii="Times New Roman" w:hAnsi="Times New Roman" w:eastAsia="Times New Roman" w:cs="Times New Roman"/>
          <w:color w:val="231F20"/>
          <w:sz w:val="22"/>
          <w:szCs w:val="22"/>
        </w:rPr>
        <w:t xml:space="preserve">48331 </w:t>
      </w:r>
      <w:r>
        <w:rPr>
          <w:rFonts w:ascii="微软雅黑" w:hAnsi="微软雅黑" w:eastAsia="微软雅黑" w:cs="微软雅黑"/>
          <w:color w:val="231F20"/>
          <w:sz w:val="22"/>
          <w:szCs w:val="22"/>
        </w:rPr>
        <w:t>家，</w:t>
      </w:r>
      <w:r>
        <w:rPr>
          <w:rFonts w:ascii="Times New Roman" w:hAnsi="Times New Roman" w:eastAsia="Times New Roman" w:cs="Times New Roman"/>
          <w:color w:val="231F20"/>
          <w:sz w:val="22"/>
          <w:szCs w:val="22"/>
        </w:rPr>
        <w:t xml:space="preserve">2019-2021 </w:t>
      </w:r>
      <w:r>
        <w:rPr>
          <w:rFonts w:ascii="微软雅黑" w:hAnsi="微软雅黑" w:eastAsia="微软雅黑" w:cs="微软雅黑"/>
          <w:color w:val="231F20"/>
          <w:sz w:val="22"/>
          <w:szCs w:val="22"/>
        </w:rPr>
        <w:t xml:space="preserve">年保持相对平稳的增长态势。 </w:t>
      </w:r>
      <w:r>
        <w:rPr>
          <w:rFonts w:ascii="微软雅黑" w:hAnsi="微软雅黑" w:eastAsia="微软雅黑" w:cs="微软雅黑"/>
          <w:color w:val="231F20"/>
          <w:spacing w:val="-2"/>
          <w:sz w:val="22"/>
          <w:szCs w:val="22"/>
        </w:rPr>
        <w:t>表明生产性服务业对外资的吸引力不断</w:t>
      </w:r>
      <w:r>
        <w:rPr>
          <w:rFonts w:ascii="微软雅黑" w:hAnsi="微软雅黑" w:eastAsia="微软雅黑" w:cs="微软雅黑"/>
          <w:color w:val="231F20"/>
          <w:spacing w:val="-1"/>
          <w:sz w:val="22"/>
          <w:szCs w:val="22"/>
        </w:rPr>
        <w:t>增强，  已成为中国利用外资的重要领域 ，为稳</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外资做出了积极贡献。</w:t>
      </w:r>
    </w:p>
    <w:p>
      <w:pPr>
        <w:spacing w:line="455" w:lineRule="auto"/>
        <w:rPr>
          <w:rFonts w:ascii="Arial"/>
          <w:sz w:val="21"/>
        </w:rPr>
      </w:pPr>
    </w:p>
    <w:p>
      <w:pPr>
        <w:spacing w:line="398" w:lineRule="exact"/>
        <w:ind w:firstLine="2318"/>
        <w:textAlignment w:val="center"/>
      </w:pPr>
      <w:r>
        <w:pict>
          <v:shape id="_x0000_s1403" o:spid="_x0000_s1403" o:spt="202" type="#_x0000_t202" style="height:20.45pt;width:53.9pt;" fillcolor="#FFFFFF" filled="t" stroked="f" coordsize="21600,21600">
            <v:path/>
            <v:fill on="t" focussize="0,0"/>
            <v:stroke on="f"/>
            <v:imagedata o:title=""/>
            <o:lock v:ext="edit" aspectratio="f"/>
            <v:textbox inset="0mm,0mm,0mm,0mm">
              <w:txbxContent>
                <w:p>
                  <w:pPr>
                    <w:spacing w:before="113" w:line="231" w:lineRule="auto"/>
                    <w:ind w:left="316"/>
                    <w:rPr>
                      <w:rFonts w:ascii="宋体" w:hAnsi="宋体" w:eastAsia="宋体" w:cs="宋体"/>
                      <w:sz w:val="17"/>
                      <w:szCs w:val="17"/>
                    </w:rPr>
                  </w:pPr>
                  <w:r>
                    <w:rPr>
                      <w:rFonts w:ascii="宋体" w:hAnsi="宋体" w:eastAsia="宋体" w:cs="宋体"/>
                      <w:color w:val="030303"/>
                      <w:spacing w:val="7"/>
                      <w:sz w:val="17"/>
                      <w:szCs w:val="17"/>
                    </w:rPr>
                    <w:t>亿美元</w:t>
                  </w:r>
                </w:p>
              </w:txbxContent>
            </v:textbox>
            <w10:wrap type="none"/>
            <w10:anchorlock/>
          </v:shape>
        </w:pict>
      </w:r>
    </w:p>
    <w:p>
      <w:pPr>
        <w:spacing w:line="3199" w:lineRule="exact"/>
        <w:ind w:firstLine="9076"/>
        <w:textAlignment w:val="center"/>
      </w:pPr>
      <w:r>
        <w:pict>
          <v:shape id="_x0000_s1404" o:spid="_x0000_s1404" o:spt="202" type="#_x0000_t202" style="height:159.95pt;width:18.45pt;" fillcolor="#FFFFFF" filled="t" stroked="f" coordsize="21600,21600">
            <v:path/>
            <v:fill on="t" focussize="0,0"/>
            <v:stroke on="f"/>
            <v:imagedata o:title=""/>
            <o:lock v:ext="edit" aspectratio="f"/>
            <v:textbox inset="0mm,0mm,0mm,0mm">
              <w:txbxContent>
                <w:p>
                  <w:pPr>
                    <w:spacing w:before="107" w:line="186" w:lineRule="auto"/>
                    <w:ind w:left="193"/>
                    <w:rPr>
                      <w:rFonts w:ascii="Calibri" w:hAnsi="Calibri" w:eastAsia="Calibri" w:cs="Calibri"/>
                      <w:sz w:val="17"/>
                      <w:szCs w:val="17"/>
                    </w:rPr>
                  </w:pPr>
                  <w:r>
                    <w:rPr>
                      <w:rFonts w:ascii="Calibri" w:hAnsi="Calibri" w:eastAsia="Calibri" w:cs="Calibri"/>
                      <w:color w:val="030303"/>
                      <w:spacing w:val="1"/>
                      <w:sz w:val="17"/>
                      <w:szCs w:val="17"/>
                    </w:rPr>
                    <w:t>80</w:t>
                  </w:r>
                </w:p>
                <w:p>
                  <w:pPr>
                    <w:spacing w:before="182" w:line="184" w:lineRule="auto"/>
                    <w:ind w:left="194"/>
                    <w:rPr>
                      <w:rFonts w:ascii="Calibri" w:hAnsi="Calibri" w:eastAsia="Calibri" w:cs="Calibri"/>
                      <w:sz w:val="17"/>
                      <w:szCs w:val="17"/>
                    </w:rPr>
                  </w:pPr>
                  <w:r>
                    <w:rPr>
                      <w:rFonts w:ascii="Calibri" w:hAnsi="Calibri" w:eastAsia="Calibri" w:cs="Calibri"/>
                      <w:color w:val="030303"/>
                      <w:spacing w:val="1"/>
                      <w:sz w:val="17"/>
                      <w:szCs w:val="17"/>
                    </w:rPr>
                    <w:t>7</w:t>
                  </w:r>
                  <w:r>
                    <w:rPr>
                      <w:rFonts w:ascii="Calibri" w:hAnsi="Calibri" w:eastAsia="Calibri" w:cs="Calibri"/>
                      <w:color w:val="030303"/>
                      <w:sz w:val="17"/>
                      <w:szCs w:val="17"/>
                    </w:rPr>
                    <w:t>5</w:t>
                  </w:r>
                </w:p>
                <w:p>
                  <w:pPr>
                    <w:spacing w:before="181" w:line="186" w:lineRule="auto"/>
                    <w:ind w:left="194"/>
                    <w:rPr>
                      <w:rFonts w:ascii="Calibri" w:hAnsi="Calibri" w:eastAsia="Calibri" w:cs="Calibri"/>
                      <w:sz w:val="17"/>
                      <w:szCs w:val="17"/>
                    </w:rPr>
                  </w:pPr>
                  <w:r>
                    <w:rPr>
                      <w:rFonts w:ascii="Calibri" w:hAnsi="Calibri" w:eastAsia="Calibri" w:cs="Calibri"/>
                      <w:color w:val="030303"/>
                      <w:spacing w:val="1"/>
                      <w:sz w:val="17"/>
                      <w:szCs w:val="17"/>
                    </w:rPr>
                    <w:t>7</w:t>
                  </w:r>
                  <w:r>
                    <w:rPr>
                      <w:rFonts w:ascii="Calibri" w:hAnsi="Calibri" w:eastAsia="Calibri" w:cs="Calibri"/>
                      <w:color w:val="030303"/>
                      <w:sz w:val="17"/>
                      <w:szCs w:val="17"/>
                    </w:rPr>
                    <w:t>0</w:t>
                  </w:r>
                </w:p>
                <w:p>
                  <w:pPr>
                    <w:spacing w:before="181" w:line="186" w:lineRule="auto"/>
                    <w:ind w:left="195"/>
                    <w:rPr>
                      <w:rFonts w:ascii="Calibri" w:hAnsi="Calibri" w:eastAsia="Calibri" w:cs="Calibri"/>
                      <w:sz w:val="17"/>
                      <w:szCs w:val="17"/>
                    </w:rPr>
                  </w:pPr>
                  <w:r>
                    <w:rPr>
                      <w:rFonts w:ascii="Calibri" w:hAnsi="Calibri" w:eastAsia="Calibri" w:cs="Calibri"/>
                      <w:color w:val="030303"/>
                      <w:sz w:val="17"/>
                      <w:szCs w:val="17"/>
                    </w:rPr>
                    <w:t>65</w:t>
                  </w:r>
                </w:p>
                <w:p>
                  <w:pPr>
                    <w:spacing w:before="181" w:line="186" w:lineRule="auto"/>
                    <w:ind w:left="195"/>
                    <w:rPr>
                      <w:rFonts w:ascii="Calibri" w:hAnsi="Calibri" w:eastAsia="Calibri" w:cs="Calibri"/>
                      <w:sz w:val="17"/>
                      <w:szCs w:val="17"/>
                    </w:rPr>
                  </w:pPr>
                  <w:r>
                    <w:rPr>
                      <w:rFonts w:ascii="Calibri" w:hAnsi="Calibri" w:eastAsia="Calibri" w:cs="Calibri"/>
                      <w:color w:val="030303"/>
                      <w:sz w:val="17"/>
                      <w:szCs w:val="17"/>
                    </w:rPr>
                    <w:t>60</w:t>
                  </w:r>
                </w:p>
                <w:p>
                  <w:pPr>
                    <w:spacing w:before="183" w:line="184" w:lineRule="auto"/>
                    <w:ind w:left="194"/>
                    <w:rPr>
                      <w:rFonts w:ascii="Calibri" w:hAnsi="Calibri" w:eastAsia="Calibri" w:cs="Calibri"/>
                      <w:sz w:val="17"/>
                      <w:szCs w:val="17"/>
                    </w:rPr>
                  </w:pPr>
                  <w:r>
                    <w:rPr>
                      <w:rFonts w:ascii="Calibri" w:hAnsi="Calibri" w:eastAsia="Calibri" w:cs="Calibri"/>
                      <w:color w:val="030303"/>
                      <w:sz w:val="17"/>
                      <w:szCs w:val="17"/>
                    </w:rPr>
                    <w:t>55</w:t>
                  </w:r>
                </w:p>
                <w:p>
                  <w:pPr>
                    <w:spacing w:before="182" w:line="186" w:lineRule="auto"/>
                    <w:ind w:left="194"/>
                    <w:rPr>
                      <w:rFonts w:ascii="Calibri" w:hAnsi="Calibri" w:eastAsia="Calibri" w:cs="Calibri"/>
                      <w:sz w:val="17"/>
                      <w:szCs w:val="17"/>
                    </w:rPr>
                  </w:pPr>
                  <w:r>
                    <w:rPr>
                      <w:rFonts w:ascii="Calibri" w:hAnsi="Calibri" w:eastAsia="Calibri" w:cs="Calibri"/>
                      <w:color w:val="030303"/>
                      <w:sz w:val="17"/>
                      <w:szCs w:val="17"/>
                    </w:rPr>
                    <w:t>50</w:t>
                  </w:r>
                </w:p>
                <w:p>
                  <w:pPr>
                    <w:spacing w:before="182" w:line="185" w:lineRule="auto"/>
                    <w:ind w:left="189"/>
                    <w:rPr>
                      <w:rFonts w:ascii="Calibri" w:hAnsi="Calibri" w:eastAsia="Calibri" w:cs="Calibri"/>
                      <w:sz w:val="17"/>
                      <w:szCs w:val="17"/>
                    </w:rPr>
                  </w:pPr>
                  <w:r>
                    <w:rPr>
                      <w:rFonts w:ascii="Calibri" w:hAnsi="Calibri" w:eastAsia="Calibri" w:cs="Calibri"/>
                      <w:color w:val="030303"/>
                      <w:spacing w:val="3"/>
                      <w:sz w:val="17"/>
                      <w:szCs w:val="17"/>
                    </w:rPr>
                    <w:t>4</w:t>
                  </w:r>
                  <w:r>
                    <w:rPr>
                      <w:rFonts w:ascii="Calibri" w:hAnsi="Calibri" w:eastAsia="Calibri" w:cs="Calibri"/>
                      <w:color w:val="030303"/>
                      <w:spacing w:val="2"/>
                      <w:sz w:val="17"/>
                      <w:szCs w:val="17"/>
                    </w:rPr>
                    <w:t>5</w:t>
                  </w:r>
                </w:p>
                <w:p>
                  <w:pPr>
                    <w:spacing w:before="182" w:line="186" w:lineRule="auto"/>
                    <w:ind w:left="189"/>
                    <w:rPr>
                      <w:rFonts w:ascii="Calibri" w:hAnsi="Calibri" w:eastAsia="Calibri" w:cs="Calibri"/>
                      <w:sz w:val="17"/>
                      <w:szCs w:val="17"/>
                    </w:rPr>
                  </w:pPr>
                  <w:r>
                    <w:rPr>
                      <w:rFonts w:ascii="Calibri" w:hAnsi="Calibri" w:eastAsia="Calibri" w:cs="Calibri"/>
                      <w:color w:val="030303"/>
                      <w:spacing w:val="3"/>
                      <w:sz w:val="17"/>
                      <w:szCs w:val="17"/>
                    </w:rPr>
                    <w:t>4</w:t>
                  </w:r>
                  <w:r>
                    <w:rPr>
                      <w:rFonts w:ascii="Calibri" w:hAnsi="Calibri" w:eastAsia="Calibri" w:cs="Calibri"/>
                      <w:color w:val="030303"/>
                      <w:spacing w:val="2"/>
                      <w:sz w:val="17"/>
                      <w:szCs w:val="17"/>
                    </w:rPr>
                    <w:t>0</w:t>
                  </w:r>
                </w:p>
              </w:txbxContent>
            </v:textbox>
            <w10:wrap type="none"/>
            <w10:anchorlock/>
          </v:shape>
        </w:pict>
      </w:r>
    </w:p>
    <w:p>
      <w:pPr>
        <w:spacing w:before="290" w:line="230" w:lineRule="auto"/>
        <w:ind w:left="3417"/>
        <w:rPr>
          <w:rFonts w:ascii="宋体" w:hAnsi="宋体" w:eastAsia="宋体" w:cs="宋体"/>
          <w:sz w:val="17"/>
          <w:szCs w:val="17"/>
        </w:rPr>
      </w:pPr>
      <w:r>
        <w:rPr>
          <w:rFonts w:ascii="宋体" w:hAnsi="宋体" w:eastAsia="宋体" w:cs="宋体"/>
          <w:color w:val="030303"/>
          <w:spacing w:val="10"/>
          <w:sz w:val="17"/>
          <w:szCs w:val="17"/>
        </w:rPr>
        <w:t>生产性服</w:t>
      </w:r>
      <w:r>
        <w:rPr>
          <w:rFonts w:ascii="宋体" w:hAnsi="宋体" w:eastAsia="宋体" w:cs="宋体"/>
          <w:color w:val="030303"/>
          <w:spacing w:val="8"/>
          <w:sz w:val="17"/>
          <w:szCs w:val="17"/>
        </w:rPr>
        <w:t>务</w:t>
      </w:r>
      <w:r>
        <w:rPr>
          <w:rFonts w:ascii="宋体" w:hAnsi="宋体" w:eastAsia="宋体" w:cs="宋体"/>
          <w:color w:val="030303"/>
          <w:spacing w:val="5"/>
          <w:sz w:val="17"/>
          <w:szCs w:val="17"/>
        </w:rPr>
        <w:t xml:space="preserve">业实际使用外资金额 </w:t>
      </w:r>
      <w:r>
        <w:rPr>
          <w:sz w:val="17"/>
          <w:szCs w:val="17"/>
        </w:rPr>
        <w:drawing>
          <wp:inline distT="0" distB="0" distL="0" distR="0">
            <wp:extent cx="281940" cy="73025"/>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41"/>
                    <a:stretch>
                      <a:fillRect/>
                    </a:stretch>
                  </pic:blipFill>
                  <pic:spPr>
                    <a:xfrm>
                      <a:off x="0" y="0"/>
                      <a:ext cx="282247" cy="73280"/>
                    </a:xfrm>
                    <a:prstGeom prst="rect">
                      <a:avLst/>
                    </a:prstGeom>
                  </pic:spPr>
                </pic:pic>
              </a:graphicData>
            </a:graphic>
          </wp:inline>
        </w:drawing>
      </w:r>
      <w:r>
        <w:rPr>
          <w:rFonts w:ascii="宋体" w:hAnsi="宋体" w:eastAsia="宋体" w:cs="宋体"/>
          <w:color w:val="030303"/>
          <w:spacing w:val="5"/>
          <w:sz w:val="17"/>
          <w:szCs w:val="17"/>
        </w:rPr>
        <w:t xml:space="preserve"> 占全行业实际使用外资金额的比重</w:t>
      </w:r>
    </w:p>
    <w:p>
      <w:pPr>
        <w:spacing w:line="259" w:lineRule="auto"/>
        <w:rPr>
          <w:rFonts w:ascii="Arial"/>
          <w:sz w:val="21"/>
        </w:rPr>
      </w:pPr>
    </w:p>
    <w:p>
      <w:pPr>
        <w:spacing w:before="65" w:line="383" w:lineRule="exact"/>
        <w:ind w:left="3767"/>
        <w:rPr>
          <w:rFonts w:ascii="SimHei" w:hAnsi="SimHei" w:eastAsia="SimHei" w:cs="SimHei"/>
          <w:sz w:val="20"/>
          <w:szCs w:val="20"/>
        </w:rPr>
      </w:pPr>
      <w:r>
        <w:rPr>
          <w:rFonts w:ascii="SimHei" w:hAnsi="SimHei" w:eastAsia="SimHei" w:cs="SimHei"/>
          <w:color w:val="231F20"/>
          <w:spacing w:val="2"/>
          <w:position w:val="13"/>
          <w:sz w:val="20"/>
          <w:szCs w:val="20"/>
        </w:rPr>
        <w:t xml:space="preserve">图 </w:t>
      </w:r>
      <w:r>
        <w:rPr>
          <w:rFonts w:ascii="Times New Roman" w:hAnsi="Times New Roman" w:eastAsia="Times New Roman" w:cs="Times New Roman"/>
          <w:color w:val="231F20"/>
          <w:spacing w:val="2"/>
          <w:position w:val="13"/>
          <w:sz w:val="20"/>
          <w:szCs w:val="20"/>
        </w:rPr>
        <w:t>2- 14 2017-2</w:t>
      </w:r>
      <w:r>
        <w:rPr>
          <w:rFonts w:ascii="Times New Roman" w:hAnsi="Times New Roman" w:eastAsia="Times New Roman" w:cs="Times New Roman"/>
          <w:color w:val="231F20"/>
          <w:spacing w:val="1"/>
          <w:position w:val="13"/>
          <w:sz w:val="20"/>
          <w:szCs w:val="20"/>
        </w:rPr>
        <w:t xml:space="preserve">021 </w:t>
      </w:r>
      <w:r>
        <w:rPr>
          <w:rFonts w:ascii="SimHei" w:hAnsi="SimHei" w:eastAsia="SimHei" w:cs="SimHei"/>
          <w:color w:val="231F20"/>
          <w:spacing w:val="1"/>
          <w:position w:val="13"/>
          <w:sz w:val="20"/>
          <w:szCs w:val="20"/>
        </w:rPr>
        <w:t>年生产性服务业实际使用外资情况</w:t>
      </w:r>
    </w:p>
    <w:p>
      <w:pPr>
        <w:spacing w:line="222" w:lineRule="auto"/>
        <w:ind w:left="1987"/>
        <w:rPr>
          <w:rFonts w:ascii="KaiTi" w:hAnsi="KaiTi" w:eastAsia="KaiTi" w:cs="KaiTi"/>
          <w:sz w:val="17"/>
          <w:szCs w:val="17"/>
        </w:rPr>
      </w:pPr>
      <w:r>
        <w:rPr>
          <w:rFonts w:ascii="KaiTi" w:hAnsi="KaiTi" w:eastAsia="KaiTi" w:cs="KaiTi"/>
          <w:color w:val="231F20"/>
          <w:spacing w:val="6"/>
          <w:sz w:val="17"/>
          <w:szCs w:val="17"/>
        </w:rPr>
        <w:t>数据来源：商务部外资统计。</w:t>
      </w:r>
    </w:p>
    <w:p>
      <w:pPr>
        <w:sectPr>
          <w:pgSz w:w="12246" w:h="16498"/>
          <w:pgMar w:top="400" w:right="0" w:bottom="400" w:left="0" w:header="0" w:footer="0" w:gutter="0"/>
          <w:cols w:space="720" w:num="1"/>
        </w:sectPr>
      </w:pPr>
    </w:p>
    <w:p>
      <w:pPr>
        <w:spacing w:line="357" w:lineRule="auto"/>
        <w:rPr>
          <w:rFonts w:ascii="Arial"/>
          <w:sz w:val="21"/>
        </w:rPr>
      </w:pPr>
      <w:r>
        <w:pict>
          <v:rect id="_x0000_s1405" o:spid="_x0000_s1405" o:spt="1" style="position:absolute;left:0pt;margin-left:162pt;margin-top:269.05pt;height:0.75pt;width:312.65pt;mso-position-horizontal-relative:page;mso-position-vertical-relative:page;z-index:252086272;mso-width-relative:page;mso-height-relative:page;" fillcolor="#CEE6ED" filled="t" stroked="f" coordsize="21600,21600" o:allowincell="f">
            <v:path/>
            <v:fill on="t" focussize="0,0"/>
            <v:stroke on="f"/>
            <v:imagedata o:title=""/>
            <o:lock v:ext="edit"/>
          </v:rect>
        </w:pict>
      </w:r>
      <w:r>
        <w:pict>
          <v:rect id="_x0000_s1406" o:spid="_x0000_s1406" o:spt="1" style="position:absolute;left:0pt;margin-left:162pt;margin-top:285.05pt;height:0.75pt;width:312.65pt;mso-position-horizontal-relative:page;mso-position-vertical-relative:page;z-index:252082176;mso-width-relative:page;mso-height-relative:page;" fillcolor="#CEE6ED" filled="t" stroked="f" coordsize="21600,21600" o:allowincell="f">
            <v:path/>
            <v:fill on="t" focussize="0,0"/>
            <v:stroke on="f"/>
            <v:imagedata o:title=""/>
            <o:lock v:ext="edit"/>
          </v:rect>
        </w:pict>
      </w:r>
      <w:r>
        <w:pict>
          <v:rect id="_x0000_s1407" o:spid="_x0000_s1407" o:spt="1" style="position:absolute;left:0pt;margin-left:146.4pt;margin-top:547.75pt;height:169.15pt;width:0.3pt;mso-position-horizontal-relative:page;mso-position-vertical-relative:page;z-index:252094464;mso-width-relative:page;mso-height-relative:page;" fillcolor="#231F20" filled="t" stroked="f" coordsize="21600,21600" o:allowincell="f">
            <v:path/>
            <v:fill on="t" focussize="0,0"/>
            <v:stroke on="f"/>
            <v:imagedata o:title=""/>
            <o:lock v:ext="edit"/>
          </v:rect>
        </w:pict>
      </w:r>
      <w:r>
        <w:pict>
          <v:rect id="_x0000_s1408" o:spid="_x0000_s1408" o:spt="1" style="position:absolute;left:0pt;margin-left:148.55pt;margin-top:685.55pt;height:0.75pt;width:321.7pt;mso-position-horizontal-relative:page;mso-position-vertical-relative:page;z-index:252080128;mso-width-relative:page;mso-height-relative:page;" fillcolor="#CEE6ED" filled="t" stroked="f" coordsize="21600,21600" o:allowincell="f">
            <v:path/>
            <v:fill on="t" focussize="0,0"/>
            <v:stroke on="f"/>
            <v:imagedata o:title=""/>
            <o:lock v:ext="edit"/>
          </v:rect>
        </w:pict>
      </w:r>
      <w:r>
        <w:pict>
          <v:rect id="_x0000_s1409" o:spid="_x0000_s1409" o:spt="1" style="position:absolute;left:0pt;margin-left:144.7pt;margin-top:712.05pt;height:0.35pt;width:337.2pt;mso-position-horizontal-relative:page;mso-position-vertical-relative:page;z-index:252092416;mso-width-relative:page;mso-height-relative:page;" fillcolor="#454243" filled="t" stroked="f" coordsize="21600,21600" o:allowincell="f">
            <v:path/>
            <v:fill on="t" opacity="63737f" focussize="0,0"/>
            <v:stroke on="f"/>
            <v:imagedata o:title=""/>
            <o:lock v:ext="edit"/>
          </v:rect>
        </w:pict>
      </w:r>
      <w:r>
        <w:pict>
          <v:shape id="_x0000_s1410" o:spid="_x0000_s1410" style="position:absolute;left:0pt;margin-left:162pt;margin-top:141.4pt;height:0.75pt;width:312.65pt;mso-position-horizontal-relative:page;mso-position-vertical-relative:page;z-index:252083200;mso-width-relative:page;mso-height-relative:page;" filled="f" stroked="t" coordsize="6252,15" o:allowincell="f" path="m0,7l6252,7e">
            <v:fill on="f" focussize="0,0"/>
            <v:stroke color="#CEE6ED" miterlimit="10" dashstyle="dash"/>
            <v:imagedata o:title=""/>
            <o:lock v:ext="edit"/>
          </v:shape>
        </w:pict>
      </w:r>
      <w:r>
        <w:pict>
          <v:shape id="_x0000_s1411" o:spid="_x0000_s1411" style="position:absolute;left:0pt;margin-left:162pt;margin-top:157.35pt;height:0.75pt;width:312.65pt;mso-position-horizontal-relative:page;mso-position-vertical-relative:page;z-index:252081152;mso-width-relative:page;mso-height-relative:page;" filled="f" stroked="t" coordsize="6252,15" o:allowincell="f" path="m0,7l6252,7e">
            <v:fill on="f" focussize="0,0"/>
            <v:stroke color="#CEE6ED" miterlimit="10" dashstyle="dash"/>
            <v:imagedata o:title=""/>
            <o:lock v:ext="edit"/>
          </v:shape>
        </w:pict>
      </w:r>
      <w:r>
        <w:pict>
          <v:shape id="_x0000_s1412" o:spid="_x0000_s1412" style="position:absolute;left:0pt;margin-left:162pt;margin-top:173.3pt;height:0.75pt;width:312.65pt;mso-position-horizontal-relative:page;mso-position-vertical-relative:page;z-index:252087296;mso-width-relative:page;mso-height-relative:page;" filled="f" stroked="t" coordsize="6252,15" o:allowincell="f" path="m0,7l6252,7e">
            <v:fill on="f" focussize="0,0"/>
            <v:stroke color="#CEE6ED" miterlimit="10" dashstyle="dash"/>
            <v:imagedata o:title=""/>
            <o:lock v:ext="edit"/>
          </v:shape>
        </w:pict>
      </w:r>
      <w:r>
        <w:pict>
          <v:shape id="_x0000_s1413" o:spid="_x0000_s1413" style="position:absolute;left:0pt;margin-left:162pt;margin-top:189.3pt;height:0.75pt;width:312.65pt;mso-position-horizontal-relative:page;mso-position-vertical-relative:page;z-index:252088320;mso-width-relative:page;mso-height-relative:page;" filled="f" stroked="t" coordsize="6252,15" o:allowincell="f" path="m0,7l6252,7e">
            <v:fill on="f" focussize="0,0"/>
            <v:stroke color="#CEE6ED" miterlimit="10" dashstyle="dash"/>
            <v:imagedata o:title=""/>
            <o:lock v:ext="edit"/>
          </v:shape>
        </w:pict>
      </w:r>
      <w:r>
        <w:pict>
          <v:shape id="_x0000_s1414" o:spid="_x0000_s1414" style="position:absolute;left:0pt;margin-left:162pt;margin-top:205.25pt;height:0.75pt;width:312.65pt;mso-position-horizontal-relative:page;mso-position-vertical-relative:page;z-index:252084224;mso-width-relative:page;mso-height-relative:page;" filled="f" stroked="t" coordsize="6252,15" o:allowincell="f" path="m0,7l6252,7e">
            <v:fill on="f" focussize="0,0"/>
            <v:stroke color="#CEE6ED" miterlimit="10" dashstyle="dash"/>
            <v:imagedata o:title=""/>
            <o:lock v:ext="edit"/>
          </v:shape>
        </w:pict>
      </w:r>
      <w:r>
        <w:pict>
          <v:shape id="_x0000_s1415" o:spid="_x0000_s1415" style="position:absolute;left:0pt;margin-left:162pt;margin-top:221.2pt;height:0.75pt;width:312.65pt;mso-position-horizontal-relative:page;mso-position-vertical-relative:page;z-index:252085248;mso-width-relative:page;mso-height-relative:page;" filled="f" stroked="t" coordsize="6252,15" o:allowincell="f" path="m0,7l6252,7e">
            <v:fill on="f" focussize="0,0"/>
            <v:stroke color="#CEE6ED" miterlimit="10" dashstyle="dash"/>
            <v:imagedata o:title=""/>
            <o:lock v:ext="edit"/>
          </v:shape>
        </w:pict>
      </w:r>
      <w:r>
        <w:drawing>
          <wp:anchor distT="0" distB="0" distL="0" distR="0" simplePos="0" relativeHeight="252089344" behindDoc="0" locked="0" layoutInCell="0" allowOverlap="1">
            <wp:simplePos x="0" y="0"/>
            <wp:positionH relativeFrom="page">
              <wp:posOffset>2013585</wp:posOffset>
            </wp:positionH>
            <wp:positionV relativeFrom="page">
              <wp:posOffset>3816985</wp:posOffset>
            </wp:positionV>
            <wp:extent cx="4127500" cy="8255"/>
            <wp:effectExtent l="0" t="0" r="0" b="0"/>
            <wp:wrapNone/>
            <wp:docPr id="305" name="IM 305"/>
            <wp:cNvGraphicFramePr/>
            <a:graphic xmlns:a="http://schemas.openxmlformats.org/drawingml/2006/main">
              <a:graphicData uri="http://schemas.openxmlformats.org/drawingml/2006/picture">
                <pic:pic xmlns:pic="http://schemas.openxmlformats.org/drawingml/2006/picture">
                  <pic:nvPicPr>
                    <pic:cNvPr id="305" name="IM 305"/>
                    <pic:cNvPicPr/>
                  </pic:nvPicPr>
                  <pic:blipFill>
                    <a:blip r:embed="rId142"/>
                    <a:stretch>
                      <a:fillRect/>
                    </a:stretch>
                  </pic:blipFill>
                  <pic:spPr>
                    <a:xfrm>
                      <a:off x="0" y="0"/>
                      <a:ext cx="4127398" cy="8199"/>
                    </a:xfrm>
                    <a:prstGeom prst="rect">
                      <a:avLst/>
                    </a:prstGeom>
                  </pic:spPr>
                </pic:pic>
              </a:graphicData>
            </a:graphic>
          </wp:anchor>
        </w:drawing>
      </w:r>
      <w:r>
        <w:pict>
          <v:shape id="_x0000_s1416" o:spid="_x0000_s1416" style="position:absolute;left:0pt;margin-left:148.55pt;margin-top:552.55pt;height:0.75pt;width:321.7pt;mso-position-horizontal-relative:page;mso-position-vertical-relative:page;z-index:252076032;mso-width-relative:page;mso-height-relative:page;" filled="f" stroked="t" coordsize="6434,15" o:allowincell="f" path="m0,7l6433,7e">
            <v:fill on="f" focussize="0,0"/>
            <v:stroke color="#CEE6ED" miterlimit="10" dashstyle="dash"/>
            <v:imagedata o:title=""/>
            <o:lock v:ext="edit"/>
          </v:shape>
        </w:pict>
      </w:r>
      <w:r>
        <w:pict>
          <v:shape id="_x0000_s1417" o:spid="_x0000_s1417" style="position:absolute;left:0pt;margin-left:148.55pt;margin-top:579.15pt;height:0.75pt;width:321.7pt;mso-position-horizontal-relative:page;mso-position-vertical-relative:page;z-index:252077056;mso-width-relative:page;mso-height-relative:page;" filled="f" stroked="t" coordsize="6434,15" o:allowincell="f" path="m0,7l6433,7e">
            <v:fill on="f" focussize="0,0"/>
            <v:stroke color="#CEE6ED" miterlimit="10" dashstyle="dash"/>
            <v:imagedata o:title=""/>
            <o:lock v:ext="edit"/>
          </v:shape>
        </w:pict>
      </w:r>
      <w:r>
        <w:pict>
          <v:shape id="_x0000_s1418" o:spid="_x0000_s1418" style="position:absolute;left:0pt;margin-left:148.55pt;margin-top:605.75pt;height:0.75pt;width:321.7pt;mso-position-horizontal-relative:page;mso-position-vertical-relative:page;z-index:252078080;mso-width-relative:page;mso-height-relative:page;" filled="f" stroked="t" coordsize="6434,15" o:allowincell="f" path="m0,7l6433,7e">
            <v:fill on="f" focussize="0,0"/>
            <v:stroke color="#CEE6ED" miterlimit="10" dashstyle="dash"/>
            <v:imagedata o:title=""/>
            <o:lock v:ext="edit"/>
          </v:shape>
        </w:pict>
      </w:r>
      <w:r>
        <w:pict>
          <v:shape id="_x0000_s1419" o:spid="_x0000_s1419" style="position:absolute;left:0pt;margin-left:148.55pt;margin-top:632.35pt;height:0.75pt;width:321.7pt;mso-position-horizontal-relative:page;mso-position-vertical-relative:page;z-index:252079104;mso-width-relative:page;mso-height-relative:page;" filled="f" stroked="t" coordsize="6434,15" o:allowincell="f" path="m0,7l6433,7e">
            <v:fill on="f" focussize="0,0"/>
            <v:stroke color="#CEE6ED" miterlimit="10" dashstyle="dash"/>
            <v:imagedata o:title=""/>
            <o:lock v:ext="edit"/>
          </v:shape>
        </w:pict>
      </w:r>
      <w:r>
        <w:drawing>
          <wp:anchor distT="0" distB="0" distL="0" distR="0" simplePos="0" relativeHeight="25207296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40"/>
                    <a:stretch>
                      <a:fillRect/>
                    </a:stretch>
                  </pic:blipFill>
                  <pic:spPr>
                    <a:xfrm>
                      <a:off x="0" y="0"/>
                      <a:ext cx="7775994" cy="422998"/>
                    </a:xfrm>
                    <a:prstGeom prst="rect">
                      <a:avLst/>
                    </a:prstGeom>
                  </pic:spPr>
                </pic:pic>
              </a:graphicData>
            </a:graphic>
          </wp:anchor>
        </w:drawing>
      </w:r>
      <w:r>
        <w:pict>
          <v:shape id="_x0000_s1420" o:spid="_x0000_s1420" style="position:absolute;left:0pt;margin-left:158.55pt;margin-top:136.3pt;height:169.85pt;width:2.1pt;mso-position-horizontal-relative:page;mso-position-vertical-relative:page;z-index:252075008;mso-width-relative:page;mso-height-relative:page;" filled="f" stroked="t" coordsize="41,3397" o:allowincell="f" path="m38,0l38,3396m0,2666l35,2666m0,2033l35,2033m0,1713l35,1713m0,1066l35,1066m0,751l35,751m0,104l35,104m0,430l35,430m0,1375l35,1375m0,2345l35,2345m0,2978l35,2978e">
            <v:fill on="f" focussize="0,0"/>
            <v:stroke weight="0.28pt" color="#231F20" miterlimit="4" joinstyle="miter"/>
            <v:imagedata o:title=""/>
            <o:lock v:ext="edit"/>
          </v:shape>
        </w:pict>
      </w:r>
    </w:p>
    <w:p>
      <w:pPr>
        <w:spacing w:line="358" w:lineRule="auto"/>
        <w:rPr>
          <w:rFonts w:ascii="Arial"/>
          <w:sz w:val="21"/>
        </w:rPr>
      </w:pPr>
    </w:p>
    <w:p>
      <w:pPr>
        <w:spacing w:before="68" w:line="239" w:lineRule="auto"/>
        <w:ind w:left="1595"/>
        <w:rPr>
          <w:rFonts w:ascii="SimHei" w:hAnsi="SimHei" w:eastAsia="SimHei" w:cs="SimHei"/>
          <w:sz w:val="21"/>
          <w:szCs w:val="21"/>
        </w:rPr>
      </w:pPr>
      <w:bookmarkStart w:id="61" w:name="_bookmark44"/>
      <w:bookmarkEnd w:id="61"/>
      <w:bookmarkStart w:id="62" w:name="_bookmark43"/>
      <w:bookmarkEnd w:id="62"/>
      <w:r>
        <w:rPr>
          <w:rFonts w:ascii="Arial" w:hAnsi="Arial" w:eastAsia="Arial" w:cs="Arial"/>
          <w:color w:val="231F20"/>
          <w:spacing w:val="40"/>
          <w:sz w:val="20"/>
          <w:szCs w:val="20"/>
        </w:rPr>
        <w:t>5</w:t>
      </w:r>
      <w:r>
        <w:rPr>
          <w:rFonts w:ascii="Arial" w:hAnsi="Arial" w:eastAsia="Arial" w:cs="Arial"/>
          <w:color w:val="231F20"/>
          <w:spacing w:val="21"/>
          <w:sz w:val="20"/>
          <w:szCs w:val="20"/>
        </w:rPr>
        <w:t xml:space="preserve">8  </w:t>
      </w:r>
      <w:r>
        <w:rPr>
          <w:position w:val="-5"/>
          <w:sz w:val="20"/>
          <w:szCs w:val="20"/>
        </w:rPr>
        <w:drawing>
          <wp:inline distT="0" distB="0" distL="0" distR="0">
            <wp:extent cx="3175" cy="147320"/>
            <wp:effectExtent l="0" t="0" r="0" b="0"/>
            <wp:docPr id="307" name="IM 307"/>
            <wp:cNvGraphicFramePr/>
            <a:graphic xmlns:a="http://schemas.openxmlformats.org/drawingml/2006/main">
              <a:graphicData uri="http://schemas.openxmlformats.org/drawingml/2006/picture">
                <pic:pic xmlns:pic="http://schemas.openxmlformats.org/drawingml/2006/picture">
                  <pic:nvPicPr>
                    <pic:cNvPr id="307" name="IM 307"/>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产业篇</w:t>
      </w: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5" w:line="403" w:lineRule="exact"/>
        <w:ind w:left="2759"/>
        <w:rPr>
          <w:rFonts w:ascii="宋体" w:hAnsi="宋体" w:eastAsia="宋体" w:cs="宋体"/>
          <w:sz w:val="17"/>
          <w:szCs w:val="17"/>
        </w:rPr>
      </w:pPr>
      <w:r>
        <w:pict>
          <v:shape id="_x0000_s1421" o:spid="_x0000_s1421" o:spt="202" type="#_x0000_t202" style="position:absolute;left:0pt;margin-left:242.5pt;margin-top:96.7pt;height:12.9pt;width:28.4pt;z-index:25209036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6"/>
                      <w:sz w:val="17"/>
                      <w:szCs w:val="17"/>
                    </w:rPr>
                    <w:t>4833</w:t>
                  </w:r>
                  <w:r>
                    <w:rPr>
                      <w:rFonts w:ascii="微软雅黑" w:hAnsi="微软雅黑" w:eastAsia="微软雅黑" w:cs="微软雅黑"/>
                      <w:color w:val="030303"/>
                      <w:spacing w:val="5"/>
                      <w:sz w:val="17"/>
                      <w:szCs w:val="17"/>
                    </w:rPr>
                    <w:t>1</w:t>
                  </w:r>
                </w:p>
              </w:txbxContent>
            </v:textbox>
          </v:shape>
        </w:pict>
      </w:r>
      <w:r>
        <w:pict>
          <v:shape id="_x0000_s1422" o:spid="_x0000_s1422" o:spt="202" type="#_x0000_t202" style="position:absolute;left:0pt;margin-left:161pt;margin-top:116.55pt;height:27.6pt;width:314.65pt;z-index:252073984;mso-width-relative:page;mso-height-relative:page;" filled="f" stroked="f" coordsize="21600,21600">
            <v:path/>
            <v:fill on="f" focussize="0,0"/>
            <v:stroke on="f"/>
            <v:imagedata o:title=""/>
            <o:lock v:ext="edit" aspectratio="f"/>
            <v:textbox inset="0mm,0mm,0mm,0mm">
              <w:txbxContent>
                <w:p>
                  <w:pPr>
                    <w:tabs>
                      <w:tab w:val="left" w:pos="2901"/>
                      <w:tab w:val="left" w:pos="5402"/>
                    </w:tabs>
                    <w:spacing w:before="19" w:line="186" w:lineRule="auto"/>
                    <w:ind w:left="20" w:right="20"/>
                    <w:rPr>
                      <w:rFonts w:ascii="微软雅黑" w:hAnsi="微软雅黑" w:eastAsia="微软雅黑" w:cs="微软雅黑"/>
                      <w:sz w:val="17"/>
                      <w:szCs w:val="17"/>
                    </w:rPr>
                  </w:pPr>
                  <w:r>
                    <w:rPr>
                      <w:rFonts w:ascii="微软雅黑" w:hAnsi="微软雅黑" w:eastAsia="微软雅黑" w:cs="微软雅黑"/>
                      <w:strike/>
                      <w:color w:val="030303"/>
                      <w:sz w:val="17"/>
                      <w:szCs w:val="17"/>
                    </w:rPr>
                    <w:tab/>
                  </w:r>
                  <w:r>
                    <w:rPr>
                      <w:rFonts w:ascii="微软雅黑" w:hAnsi="微软雅黑" w:eastAsia="微软雅黑" w:cs="微软雅黑"/>
                      <w:strike/>
                      <w:color w:val="030303"/>
                      <w:sz w:val="17"/>
                      <w:szCs w:val="17"/>
                    </w:rPr>
                    <w:tab/>
                  </w:r>
                  <w:r>
                    <w:rPr>
                      <w:rFonts w:ascii="微软雅黑" w:hAnsi="微软雅黑" w:eastAsia="微软雅黑" w:cs="微软雅黑"/>
                      <w:strike/>
                      <w:color w:val="030303"/>
                      <w:spacing w:val="2"/>
                      <w:sz w:val="17"/>
                      <w:szCs w:val="17"/>
                    </w:rPr>
                    <w:t xml:space="preserve">35772  </w:t>
                  </w:r>
                  <w:r>
                    <w:rPr>
                      <w:rFonts w:ascii="微软雅黑" w:hAnsi="微软雅黑" w:eastAsia="微软雅黑" w:cs="微软雅黑"/>
                      <w:strike/>
                      <w:color w:val="030303"/>
                      <w:spacing w:val="1"/>
                      <w:sz w:val="17"/>
                      <w:szCs w:val="17"/>
                    </w:rPr>
                    <w:t xml:space="preserve">     </w:t>
                  </w:r>
                  <w:r>
                    <w:rPr>
                      <w:rFonts w:ascii="微软雅黑" w:hAnsi="微软雅黑" w:eastAsia="微软雅黑" w:cs="微软雅黑"/>
                      <w:color w:val="030303"/>
                      <w:sz w:val="17"/>
                      <w:szCs w:val="17"/>
                    </w:rPr>
                    <w:t xml:space="preserve"> </w:t>
                  </w:r>
                  <w:r>
                    <w:rPr>
                      <w:rFonts w:ascii="微软雅黑" w:hAnsi="微软雅黑" w:eastAsia="微软雅黑" w:cs="微软雅黑"/>
                      <w:color w:val="030303"/>
                      <w:position w:val="4"/>
                      <w:sz w:val="17"/>
                      <w:szCs w:val="17"/>
                      <w:u w:val="single" w:color="CEE6ED"/>
                    </w:rPr>
                    <w:tab/>
                  </w:r>
                  <w:r>
                    <w:rPr>
                      <w:rFonts w:ascii="微软雅黑" w:hAnsi="微软雅黑" w:eastAsia="微软雅黑" w:cs="微软雅黑"/>
                      <w:color w:val="030303"/>
                      <w:spacing w:val="4"/>
                      <w:position w:val="4"/>
                      <w:sz w:val="17"/>
                      <w:szCs w:val="17"/>
                      <w:u w:val="single" w:color="CEE6ED"/>
                    </w:rPr>
                    <w:t xml:space="preserve">30560    </w:t>
                  </w:r>
                  <w:r>
                    <w:rPr>
                      <w:rFonts w:ascii="微软雅黑" w:hAnsi="微软雅黑" w:eastAsia="微软雅黑" w:cs="微软雅黑"/>
                      <w:color w:val="030303"/>
                      <w:spacing w:val="2"/>
                      <w:position w:val="4"/>
                      <w:sz w:val="17"/>
                      <w:szCs w:val="17"/>
                      <w:u w:val="single" w:color="CEE6ED"/>
                    </w:rPr>
                    <w:t xml:space="preserve">          </w:t>
                  </w:r>
                  <w:r>
                    <w:rPr>
                      <w:rFonts w:ascii="微软雅黑" w:hAnsi="微软雅黑" w:eastAsia="微软雅黑" w:cs="微软雅黑"/>
                      <w:color w:val="030303"/>
                      <w:spacing w:val="2"/>
                      <w:sz w:val="17"/>
                      <w:szCs w:val="17"/>
                      <w:u w:val="single" w:color="CEE6ED"/>
                    </w:rPr>
                    <w:t>28713</w:t>
                  </w:r>
                  <w:r>
                    <w:rPr>
                      <w:rFonts w:ascii="微软雅黑" w:hAnsi="微软雅黑" w:eastAsia="微软雅黑" w:cs="微软雅黑"/>
                      <w:color w:val="030303"/>
                      <w:sz w:val="17"/>
                      <w:szCs w:val="17"/>
                      <w:u w:val="single" w:color="CEE6ED"/>
                    </w:rPr>
                    <w:t xml:space="preserve">                               </w:t>
                  </w:r>
                </w:p>
              </w:txbxContent>
            </v:textbox>
          </v:shape>
        </w:pict>
      </w:r>
      <w:r>
        <w:pict>
          <v:shape id="_x0000_s1423" o:spid="_x0000_s1423" o:spt="202" type="#_x0000_t202" style="position:absolute;left:0pt;margin-left:180.4pt;margin-top:134.85pt;height:12.9pt;width:27.95pt;z-index:252091392;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4"/>
                      <w:sz w:val="17"/>
                      <w:szCs w:val="17"/>
                    </w:rPr>
                    <w:t>27813</w:t>
                  </w:r>
                </w:p>
              </w:txbxContent>
            </v:textbox>
          </v:shape>
        </w:pict>
      </w:r>
      <w:r>
        <w:rPr>
          <w:rFonts w:ascii="宋体" w:hAnsi="宋体" w:eastAsia="宋体" w:cs="宋体"/>
          <w:color w:val="030303"/>
          <w:spacing w:val="1"/>
          <w:position w:val="17"/>
          <w:sz w:val="17"/>
          <w:szCs w:val="17"/>
        </w:rPr>
        <w:t>家</w:t>
      </w:r>
    </w:p>
    <w:p>
      <w:pPr>
        <w:spacing w:line="185" w:lineRule="auto"/>
        <w:ind w:left="2677"/>
        <w:rPr>
          <w:rFonts w:ascii="Calibri" w:hAnsi="Calibri" w:eastAsia="Calibri" w:cs="Calibri"/>
          <w:sz w:val="17"/>
          <w:szCs w:val="17"/>
        </w:rPr>
      </w:pPr>
      <w:r>
        <w:rPr>
          <w:rFonts w:ascii="Calibri" w:hAnsi="Calibri" w:eastAsia="Calibri" w:cs="Calibri"/>
          <w:color w:val="030303"/>
          <w:spacing w:val="3"/>
          <w:sz w:val="17"/>
          <w:szCs w:val="17"/>
        </w:rPr>
        <w:t>50000</w:t>
      </w:r>
    </w:p>
    <w:p>
      <w:pPr>
        <w:spacing w:before="157" w:line="186" w:lineRule="auto"/>
        <w:ind w:left="2672"/>
        <w:rPr>
          <w:rFonts w:ascii="Calibri" w:hAnsi="Calibri" w:eastAsia="Calibri" w:cs="Calibri"/>
          <w:sz w:val="17"/>
          <w:szCs w:val="17"/>
        </w:rPr>
      </w:pPr>
      <w:r>
        <w:rPr>
          <w:rFonts w:ascii="Calibri" w:hAnsi="Calibri" w:eastAsia="Calibri" w:cs="Calibri"/>
          <w:color w:val="030303"/>
          <w:spacing w:val="4"/>
          <w:sz w:val="17"/>
          <w:szCs w:val="17"/>
        </w:rPr>
        <w:t>4500</w:t>
      </w:r>
      <w:r>
        <w:rPr>
          <w:rFonts w:ascii="Calibri" w:hAnsi="Calibri" w:eastAsia="Calibri" w:cs="Calibri"/>
          <w:color w:val="030303"/>
          <w:spacing w:val="3"/>
          <w:sz w:val="17"/>
          <w:szCs w:val="17"/>
        </w:rPr>
        <w:t>0</w:t>
      </w:r>
    </w:p>
    <w:p>
      <w:pPr>
        <w:spacing w:before="158" w:line="186" w:lineRule="auto"/>
        <w:ind w:left="2672"/>
        <w:rPr>
          <w:rFonts w:ascii="Calibri" w:hAnsi="Calibri" w:eastAsia="Calibri" w:cs="Calibri"/>
          <w:sz w:val="17"/>
          <w:szCs w:val="17"/>
        </w:rPr>
      </w:pPr>
      <w:r>
        <w:rPr>
          <w:rFonts w:ascii="Calibri" w:hAnsi="Calibri" w:eastAsia="Calibri" w:cs="Calibri"/>
          <w:color w:val="030303"/>
          <w:spacing w:val="4"/>
          <w:sz w:val="17"/>
          <w:szCs w:val="17"/>
        </w:rPr>
        <w:t>4000</w:t>
      </w:r>
      <w:r>
        <w:rPr>
          <w:rFonts w:ascii="Calibri" w:hAnsi="Calibri" w:eastAsia="Calibri" w:cs="Calibri"/>
          <w:color w:val="030303"/>
          <w:spacing w:val="3"/>
          <w:sz w:val="17"/>
          <w:szCs w:val="17"/>
        </w:rPr>
        <w:t>0</w:t>
      </w:r>
    </w:p>
    <w:p>
      <w:pPr>
        <w:spacing w:before="159" w:line="186" w:lineRule="auto"/>
        <w:ind w:left="2677"/>
        <w:rPr>
          <w:rFonts w:ascii="Calibri" w:hAnsi="Calibri" w:eastAsia="Calibri" w:cs="Calibri"/>
          <w:sz w:val="17"/>
          <w:szCs w:val="17"/>
        </w:rPr>
      </w:pPr>
      <w:r>
        <w:rPr>
          <w:rFonts w:ascii="Calibri" w:hAnsi="Calibri" w:eastAsia="Calibri" w:cs="Calibri"/>
          <w:color w:val="030303"/>
          <w:spacing w:val="3"/>
          <w:sz w:val="17"/>
          <w:szCs w:val="17"/>
        </w:rPr>
        <w:t>3500</w:t>
      </w:r>
      <w:r>
        <w:rPr>
          <w:rFonts w:ascii="Calibri" w:hAnsi="Calibri" w:eastAsia="Calibri" w:cs="Calibri"/>
          <w:color w:val="030303"/>
          <w:spacing w:val="2"/>
          <w:sz w:val="17"/>
          <w:szCs w:val="17"/>
        </w:rPr>
        <w:t>0</w:t>
      </w:r>
    </w:p>
    <w:p>
      <w:pPr>
        <w:spacing w:before="158" w:line="186" w:lineRule="auto"/>
        <w:ind w:left="2677"/>
        <w:rPr>
          <w:rFonts w:ascii="Calibri" w:hAnsi="Calibri" w:eastAsia="Calibri" w:cs="Calibri"/>
          <w:sz w:val="17"/>
          <w:szCs w:val="17"/>
        </w:rPr>
      </w:pPr>
      <w:r>
        <w:rPr>
          <w:rFonts w:ascii="Calibri" w:hAnsi="Calibri" w:eastAsia="Calibri" w:cs="Calibri"/>
          <w:color w:val="030303"/>
          <w:spacing w:val="3"/>
          <w:sz w:val="17"/>
          <w:szCs w:val="17"/>
        </w:rPr>
        <w:t>3000</w:t>
      </w:r>
      <w:r>
        <w:rPr>
          <w:rFonts w:ascii="Calibri" w:hAnsi="Calibri" w:eastAsia="Calibri" w:cs="Calibri"/>
          <w:color w:val="030303"/>
          <w:spacing w:val="2"/>
          <w:sz w:val="17"/>
          <w:szCs w:val="17"/>
        </w:rPr>
        <w:t>0</w:t>
      </w:r>
    </w:p>
    <w:p>
      <w:pPr>
        <w:spacing w:before="158" w:line="186" w:lineRule="auto"/>
        <w:ind w:left="2678"/>
        <w:rPr>
          <w:rFonts w:ascii="Calibri" w:hAnsi="Calibri" w:eastAsia="Calibri" w:cs="Calibri"/>
          <w:sz w:val="17"/>
          <w:szCs w:val="17"/>
        </w:rPr>
      </w:pPr>
      <w:r>
        <w:rPr>
          <w:rFonts w:ascii="Calibri" w:hAnsi="Calibri" w:eastAsia="Calibri" w:cs="Calibri"/>
          <w:color w:val="030303"/>
          <w:spacing w:val="4"/>
          <w:sz w:val="17"/>
          <w:szCs w:val="17"/>
        </w:rPr>
        <w:t>2</w:t>
      </w:r>
      <w:r>
        <w:rPr>
          <w:rFonts w:ascii="Calibri" w:hAnsi="Calibri" w:eastAsia="Calibri" w:cs="Calibri"/>
          <w:color w:val="030303"/>
          <w:spacing w:val="3"/>
          <w:sz w:val="17"/>
          <w:szCs w:val="17"/>
        </w:rPr>
        <w:t>5</w:t>
      </w:r>
      <w:r>
        <w:rPr>
          <w:rFonts w:ascii="Calibri" w:hAnsi="Calibri" w:eastAsia="Calibri" w:cs="Calibri"/>
          <w:color w:val="030303"/>
          <w:spacing w:val="2"/>
          <w:sz w:val="17"/>
          <w:szCs w:val="17"/>
        </w:rPr>
        <w:t>000</w:t>
      </w:r>
    </w:p>
    <w:p>
      <w:pPr>
        <w:spacing w:before="158" w:line="186" w:lineRule="auto"/>
        <w:ind w:left="2678"/>
        <w:rPr>
          <w:rFonts w:ascii="Calibri" w:hAnsi="Calibri" w:eastAsia="Calibri" w:cs="Calibri"/>
          <w:sz w:val="17"/>
          <w:szCs w:val="17"/>
        </w:rPr>
      </w:pPr>
      <w:r>
        <w:rPr>
          <w:rFonts w:ascii="Calibri" w:hAnsi="Calibri" w:eastAsia="Calibri" w:cs="Calibri"/>
          <w:color w:val="030303"/>
          <w:spacing w:val="4"/>
          <w:sz w:val="17"/>
          <w:szCs w:val="17"/>
        </w:rPr>
        <w:t>2</w:t>
      </w:r>
      <w:r>
        <w:rPr>
          <w:rFonts w:ascii="Calibri" w:hAnsi="Calibri" w:eastAsia="Calibri" w:cs="Calibri"/>
          <w:color w:val="030303"/>
          <w:spacing w:val="3"/>
          <w:sz w:val="17"/>
          <w:szCs w:val="17"/>
        </w:rPr>
        <w:t>0</w:t>
      </w:r>
      <w:r>
        <w:rPr>
          <w:rFonts w:ascii="Calibri" w:hAnsi="Calibri" w:eastAsia="Calibri" w:cs="Calibri"/>
          <w:color w:val="030303"/>
          <w:spacing w:val="2"/>
          <w:sz w:val="17"/>
          <w:szCs w:val="17"/>
        </w:rPr>
        <w:t>000</w:t>
      </w:r>
    </w:p>
    <w:p>
      <w:pPr>
        <w:spacing w:before="159" w:line="186" w:lineRule="auto"/>
        <w:ind w:left="2683"/>
        <w:rPr>
          <w:rFonts w:ascii="Calibri" w:hAnsi="Calibri" w:eastAsia="Calibri" w:cs="Calibri"/>
          <w:sz w:val="17"/>
          <w:szCs w:val="17"/>
        </w:rPr>
      </w:pPr>
      <w:r>
        <w:rPr>
          <w:rFonts w:ascii="Calibri" w:hAnsi="Calibri" w:eastAsia="Calibri" w:cs="Calibri"/>
          <w:color w:val="030303"/>
          <w:spacing w:val="2"/>
          <w:sz w:val="17"/>
          <w:szCs w:val="17"/>
        </w:rPr>
        <w:t>150</w:t>
      </w:r>
      <w:r>
        <w:rPr>
          <w:rFonts w:ascii="Calibri" w:hAnsi="Calibri" w:eastAsia="Calibri" w:cs="Calibri"/>
          <w:color w:val="030303"/>
          <w:spacing w:val="1"/>
          <w:sz w:val="17"/>
          <w:szCs w:val="17"/>
        </w:rPr>
        <w:t>00</w:t>
      </w:r>
    </w:p>
    <w:p>
      <w:pPr>
        <w:spacing w:before="158" w:line="186" w:lineRule="auto"/>
        <w:ind w:left="2683"/>
        <w:rPr>
          <w:rFonts w:ascii="Calibri" w:hAnsi="Calibri" w:eastAsia="Calibri" w:cs="Calibri"/>
          <w:sz w:val="17"/>
          <w:szCs w:val="17"/>
        </w:rPr>
      </w:pPr>
      <w:r>
        <w:rPr>
          <w:rFonts w:ascii="Calibri" w:hAnsi="Calibri" w:eastAsia="Calibri" w:cs="Calibri"/>
          <w:color w:val="030303"/>
          <w:spacing w:val="2"/>
          <w:sz w:val="17"/>
          <w:szCs w:val="17"/>
        </w:rPr>
        <w:t>100</w:t>
      </w:r>
      <w:r>
        <w:rPr>
          <w:rFonts w:ascii="Calibri" w:hAnsi="Calibri" w:eastAsia="Calibri" w:cs="Calibri"/>
          <w:color w:val="030303"/>
          <w:spacing w:val="1"/>
          <w:sz w:val="17"/>
          <w:szCs w:val="17"/>
        </w:rPr>
        <w:t>00</w:t>
      </w:r>
    </w:p>
    <w:p>
      <w:pPr>
        <w:spacing w:before="158" w:line="186" w:lineRule="auto"/>
        <w:ind w:left="2768"/>
        <w:rPr>
          <w:rFonts w:ascii="Calibri" w:hAnsi="Calibri" w:eastAsia="Calibri" w:cs="Calibri"/>
          <w:sz w:val="17"/>
          <w:szCs w:val="17"/>
        </w:rPr>
      </w:pPr>
      <w:r>
        <w:rPr>
          <w:rFonts w:ascii="Calibri" w:hAnsi="Calibri" w:eastAsia="Calibri" w:cs="Calibri"/>
          <w:color w:val="030303"/>
          <w:spacing w:val="4"/>
          <w:sz w:val="17"/>
          <w:szCs w:val="17"/>
        </w:rPr>
        <w:t>5</w:t>
      </w:r>
      <w:r>
        <w:rPr>
          <w:rFonts w:ascii="Calibri" w:hAnsi="Calibri" w:eastAsia="Calibri" w:cs="Calibri"/>
          <w:color w:val="030303"/>
          <w:spacing w:val="2"/>
          <w:sz w:val="17"/>
          <w:szCs w:val="17"/>
        </w:rPr>
        <w:t>000</w:t>
      </w:r>
    </w:p>
    <w:p>
      <w:pPr>
        <w:spacing w:before="159" w:line="186" w:lineRule="auto"/>
        <w:ind w:left="3038"/>
        <w:rPr>
          <w:rFonts w:ascii="Calibri" w:hAnsi="Calibri" w:eastAsia="Calibri" w:cs="Calibri"/>
          <w:sz w:val="17"/>
          <w:szCs w:val="17"/>
        </w:rPr>
      </w:pPr>
      <w:r>
        <w:rPr>
          <w:rFonts w:ascii="Calibri" w:hAnsi="Calibri" w:eastAsia="Calibri" w:cs="Calibri"/>
          <w:color w:val="030303"/>
          <w:sz w:val="17"/>
          <w:szCs w:val="17"/>
        </w:rPr>
        <w:t>0</w:t>
      </w:r>
    </w:p>
    <w:p>
      <w:pPr>
        <w:spacing w:before="65" w:line="186" w:lineRule="auto"/>
        <w:ind w:left="3693"/>
        <w:rPr>
          <w:rFonts w:ascii="Calibri" w:hAnsi="Calibri" w:eastAsia="Calibri" w:cs="Calibri"/>
          <w:sz w:val="17"/>
          <w:szCs w:val="17"/>
        </w:rPr>
      </w:pPr>
      <w:r>
        <w:rPr>
          <w:rFonts w:ascii="Calibri" w:hAnsi="Calibri" w:eastAsia="Calibri" w:cs="Calibri"/>
          <w:color w:val="030303"/>
          <w:spacing w:val="1"/>
          <w:sz w:val="17"/>
          <w:szCs w:val="17"/>
        </w:rPr>
        <w:t xml:space="preserve">2017                       2018                       2019                       2020           </w:t>
      </w:r>
      <w:r>
        <w:rPr>
          <w:rFonts w:ascii="Calibri" w:hAnsi="Calibri" w:eastAsia="Calibri" w:cs="Calibri"/>
          <w:color w:val="030303"/>
          <w:sz w:val="17"/>
          <w:szCs w:val="17"/>
        </w:rPr>
        <w:t xml:space="preserve">            2021</w:t>
      </w:r>
    </w:p>
    <w:p>
      <w:pPr>
        <w:spacing w:before="246" w:line="382" w:lineRule="exact"/>
        <w:ind w:left="3767"/>
        <w:rPr>
          <w:rFonts w:ascii="SimHei" w:hAnsi="SimHei" w:eastAsia="SimHei" w:cs="SimHei"/>
          <w:sz w:val="20"/>
          <w:szCs w:val="20"/>
        </w:rPr>
      </w:pPr>
      <w:r>
        <w:rPr>
          <w:rFonts w:ascii="SimHei" w:hAnsi="SimHei" w:eastAsia="SimHei" w:cs="SimHei"/>
          <w:color w:val="231F20"/>
          <w:spacing w:val="2"/>
          <w:position w:val="13"/>
          <w:sz w:val="20"/>
          <w:szCs w:val="20"/>
        </w:rPr>
        <w:t xml:space="preserve">图 </w:t>
      </w:r>
      <w:r>
        <w:rPr>
          <w:rFonts w:ascii="Times New Roman" w:hAnsi="Times New Roman" w:eastAsia="Times New Roman" w:cs="Times New Roman"/>
          <w:color w:val="231F20"/>
          <w:spacing w:val="2"/>
          <w:position w:val="13"/>
          <w:sz w:val="20"/>
          <w:szCs w:val="20"/>
        </w:rPr>
        <w:t>2- 15 2017-2</w:t>
      </w:r>
      <w:r>
        <w:rPr>
          <w:rFonts w:ascii="Times New Roman" w:hAnsi="Times New Roman" w:eastAsia="Times New Roman" w:cs="Times New Roman"/>
          <w:color w:val="231F20"/>
          <w:spacing w:val="1"/>
          <w:position w:val="13"/>
          <w:sz w:val="20"/>
          <w:szCs w:val="20"/>
        </w:rPr>
        <w:t xml:space="preserve">021 </w:t>
      </w:r>
      <w:r>
        <w:rPr>
          <w:rFonts w:ascii="SimHei" w:hAnsi="SimHei" w:eastAsia="SimHei" w:cs="SimHei"/>
          <w:color w:val="231F20"/>
          <w:spacing w:val="1"/>
          <w:position w:val="13"/>
          <w:sz w:val="20"/>
          <w:szCs w:val="20"/>
        </w:rPr>
        <w:t>年生产性服务业新设外资企业情况</w:t>
      </w:r>
    </w:p>
    <w:p>
      <w:pPr>
        <w:spacing w:line="222" w:lineRule="auto"/>
        <w:ind w:left="1987"/>
        <w:rPr>
          <w:rFonts w:ascii="KaiTi" w:hAnsi="KaiTi" w:eastAsia="KaiTi" w:cs="KaiTi"/>
          <w:sz w:val="17"/>
          <w:szCs w:val="17"/>
        </w:rPr>
      </w:pPr>
      <w:r>
        <w:rPr>
          <w:rFonts w:ascii="KaiTi" w:hAnsi="KaiTi" w:eastAsia="KaiTi" w:cs="KaiTi"/>
          <w:color w:val="231F20"/>
          <w:spacing w:val="6"/>
          <w:sz w:val="17"/>
          <w:szCs w:val="17"/>
        </w:rPr>
        <w:t>数据来源：商务部外资统计。</w:t>
      </w:r>
    </w:p>
    <w:p>
      <w:pPr>
        <w:spacing w:line="315" w:lineRule="auto"/>
        <w:rPr>
          <w:rFonts w:ascii="Arial"/>
          <w:sz w:val="21"/>
        </w:rPr>
      </w:pPr>
    </w:p>
    <w:p>
      <w:pPr>
        <w:spacing w:before="73" w:line="214" w:lineRule="auto"/>
        <w:ind w:left="2442"/>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2. </w:t>
      </w:r>
      <w:r>
        <w:rPr>
          <w:rFonts w:ascii="KaiTi" w:hAnsi="KaiTi" w:eastAsia="KaiTi" w:cs="KaiTi"/>
          <w:color w:val="015DAC"/>
          <w:spacing w:val="1"/>
          <w:sz w:val="22"/>
          <w:szCs w:val="22"/>
        </w:rPr>
        <w:t>不同领域利用外资规模变化趋势</w:t>
      </w:r>
      <w:r>
        <w:rPr>
          <w:rFonts w:ascii="KaiTi" w:hAnsi="KaiTi" w:eastAsia="KaiTi" w:cs="KaiTi"/>
          <w:color w:val="015DAC"/>
          <w:sz w:val="22"/>
          <w:szCs w:val="22"/>
        </w:rPr>
        <w:t>存在差异</w:t>
      </w:r>
    </w:p>
    <w:p>
      <w:pPr>
        <w:spacing w:line="267" w:lineRule="auto"/>
        <w:rPr>
          <w:rFonts w:ascii="Arial"/>
          <w:sz w:val="21"/>
        </w:rPr>
      </w:pPr>
    </w:p>
    <w:p>
      <w:pPr>
        <w:spacing w:before="95" w:line="202" w:lineRule="auto"/>
        <w:ind w:left="2454"/>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 xml:space="preserve">近年来 </w:t>
      </w:r>
      <w:r>
        <w:rPr>
          <w:rFonts w:ascii="微软雅黑" w:hAnsi="微软雅黑" w:eastAsia="微软雅黑" w:cs="微软雅黑"/>
          <w:color w:val="231F20"/>
          <w:spacing w:val="1"/>
          <w:sz w:val="22"/>
          <w:szCs w:val="22"/>
        </w:rPr>
        <w:t>，受生产性服务领域不同行业结构转型升级、行业开放水平不同等因素影</w:t>
      </w:r>
    </w:p>
    <w:p>
      <w:pPr>
        <w:spacing w:before="82" w:line="202" w:lineRule="auto"/>
        <w:ind w:left="2003"/>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响 ，不同生</w:t>
      </w:r>
      <w:r>
        <w:rPr>
          <w:rFonts w:ascii="微软雅黑" w:hAnsi="微软雅黑" w:eastAsia="微软雅黑" w:cs="微软雅黑"/>
          <w:color w:val="231F20"/>
          <w:spacing w:val="-2"/>
          <w:sz w:val="22"/>
          <w:szCs w:val="22"/>
        </w:rPr>
        <w:t>产性服务领域利用外资规模呈现较大差异。</w:t>
      </w:r>
    </w:p>
    <w:p>
      <w:pPr>
        <w:spacing w:before="308" w:line="266" w:lineRule="auto"/>
        <w:ind w:left="1992" w:right="1917" w:firstLine="452"/>
        <w:rPr>
          <w:rFonts w:ascii="微软雅黑" w:hAnsi="微软雅黑" w:eastAsia="微软雅黑" w:cs="微软雅黑"/>
          <w:sz w:val="22"/>
          <w:szCs w:val="22"/>
        </w:rPr>
      </w:pPr>
      <w:r>
        <w:rPr>
          <w:rFonts w:ascii="SimHei" w:hAnsi="SimHei" w:eastAsia="SimHei" w:cs="SimHei"/>
          <w:color w:val="231F20"/>
          <w:spacing w:val="-14"/>
          <w:sz w:val="22"/>
          <w:szCs w:val="22"/>
        </w:rPr>
        <w:t>批发与贸</w:t>
      </w:r>
      <w:r>
        <w:rPr>
          <w:rFonts w:ascii="SimHei" w:hAnsi="SimHei" w:eastAsia="SimHei" w:cs="SimHei"/>
          <w:color w:val="231F20"/>
          <w:spacing w:val="-9"/>
          <w:sz w:val="22"/>
          <w:szCs w:val="22"/>
        </w:rPr>
        <w:t>易</w:t>
      </w:r>
      <w:r>
        <w:rPr>
          <w:rFonts w:ascii="SimHei" w:hAnsi="SimHei" w:eastAsia="SimHei" w:cs="SimHei"/>
          <w:color w:val="231F20"/>
          <w:spacing w:val="-7"/>
          <w:sz w:val="22"/>
          <w:szCs w:val="22"/>
        </w:rPr>
        <w:t>经纪代理服务领域实际使用外资规模呈“U 型”变化趋势。</w:t>
      </w:r>
      <w:r>
        <w:rPr>
          <w:rFonts w:ascii="Times New Roman" w:hAnsi="Times New Roman" w:eastAsia="Times New Roman" w:cs="Times New Roman"/>
          <w:color w:val="231F20"/>
          <w:spacing w:val="-7"/>
          <w:sz w:val="22"/>
          <w:szCs w:val="22"/>
        </w:rPr>
        <w:t>2017-2021</w:t>
      </w:r>
      <w:r>
        <w:rPr>
          <w:rFonts w:ascii="微软雅黑" w:hAnsi="微软雅黑" w:eastAsia="微软雅黑" w:cs="微软雅黑"/>
          <w:color w:val="231F20"/>
          <w:spacing w:val="-7"/>
          <w:sz w:val="22"/>
          <w:szCs w:val="22"/>
        </w:rPr>
        <w:t>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批发</w:t>
      </w:r>
      <w:r>
        <w:rPr>
          <w:rFonts w:ascii="微软雅黑" w:hAnsi="微软雅黑" w:eastAsia="微软雅黑" w:cs="微软雅黑"/>
          <w:color w:val="231F20"/>
          <w:spacing w:val="2"/>
          <w:sz w:val="22"/>
          <w:szCs w:val="22"/>
        </w:rPr>
        <w:t xml:space="preserve">与贸易经纪代理服务业实际使用外资金额先由 </w:t>
      </w:r>
      <w:r>
        <w:rPr>
          <w:rFonts w:ascii="Times New Roman" w:hAnsi="Times New Roman" w:eastAsia="Times New Roman" w:cs="Times New Roman"/>
          <w:color w:val="231F20"/>
          <w:spacing w:val="2"/>
          <w:sz w:val="22"/>
          <w:szCs w:val="22"/>
        </w:rPr>
        <w:t xml:space="preserve">2017 </w:t>
      </w:r>
      <w:r>
        <w:rPr>
          <w:rFonts w:ascii="微软雅黑" w:hAnsi="微软雅黑" w:eastAsia="微软雅黑" w:cs="微软雅黑"/>
          <w:color w:val="231F20"/>
          <w:spacing w:val="2"/>
          <w:sz w:val="22"/>
          <w:szCs w:val="22"/>
        </w:rPr>
        <w:t xml:space="preserve">年的 </w:t>
      </w:r>
      <w:r>
        <w:rPr>
          <w:rFonts w:ascii="Times New Roman" w:hAnsi="Times New Roman" w:eastAsia="Times New Roman" w:cs="Times New Roman"/>
          <w:color w:val="231F20"/>
          <w:spacing w:val="2"/>
          <w:sz w:val="22"/>
          <w:szCs w:val="22"/>
        </w:rPr>
        <w:t xml:space="preserve">81.8 </w:t>
      </w:r>
      <w:r>
        <w:rPr>
          <w:rFonts w:ascii="微软雅黑" w:hAnsi="微软雅黑" w:eastAsia="微软雅黑" w:cs="微软雅黑"/>
          <w:color w:val="231F20"/>
          <w:spacing w:val="2"/>
          <w:sz w:val="22"/>
          <w:szCs w:val="22"/>
        </w:rPr>
        <w:t xml:space="preserve">亿美元下降至 </w:t>
      </w:r>
      <w:r>
        <w:rPr>
          <w:rFonts w:ascii="Times New Roman" w:hAnsi="Times New Roman" w:eastAsia="Times New Roman" w:cs="Times New Roman"/>
          <w:color w:val="231F20"/>
          <w:spacing w:val="2"/>
          <w:sz w:val="22"/>
          <w:szCs w:val="22"/>
        </w:rPr>
        <w:t>2019</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8"/>
          <w:sz w:val="22"/>
          <w:szCs w:val="22"/>
        </w:rPr>
        <w:t xml:space="preserve">年的 </w:t>
      </w:r>
      <w:r>
        <w:rPr>
          <w:rFonts w:ascii="Times New Roman" w:hAnsi="Times New Roman" w:eastAsia="Times New Roman" w:cs="Times New Roman"/>
          <w:color w:val="231F20"/>
          <w:spacing w:val="-8"/>
          <w:sz w:val="22"/>
          <w:szCs w:val="22"/>
        </w:rPr>
        <w:t>68</w:t>
      </w:r>
      <w:r>
        <w:rPr>
          <w:rFonts w:ascii="Times New Roman" w:hAnsi="Times New Roman" w:eastAsia="Times New Roman" w:cs="Times New Roman"/>
          <w:color w:val="231F20"/>
          <w:spacing w:val="-7"/>
          <w:sz w:val="22"/>
          <w:szCs w:val="22"/>
        </w:rPr>
        <w:t>.</w:t>
      </w:r>
      <w:r>
        <w:rPr>
          <w:rFonts w:ascii="Times New Roman" w:hAnsi="Times New Roman" w:eastAsia="Times New Roman" w:cs="Times New Roman"/>
          <w:color w:val="231F20"/>
          <w:spacing w:val="-4"/>
          <w:sz w:val="22"/>
          <w:szCs w:val="22"/>
        </w:rPr>
        <w:t xml:space="preserve"> 1 </w:t>
      </w:r>
      <w:r>
        <w:rPr>
          <w:rFonts w:ascii="微软雅黑" w:hAnsi="微软雅黑" w:eastAsia="微软雅黑" w:cs="微软雅黑"/>
          <w:color w:val="231F20"/>
          <w:spacing w:val="-4"/>
          <w:sz w:val="22"/>
          <w:szCs w:val="22"/>
        </w:rPr>
        <w:t xml:space="preserve">亿美元 ，后又上升至 </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 xml:space="preserve">年的 </w:t>
      </w:r>
      <w:r>
        <w:rPr>
          <w:rFonts w:ascii="Times New Roman" w:hAnsi="Times New Roman" w:eastAsia="Times New Roman" w:cs="Times New Roman"/>
          <w:color w:val="231F20"/>
          <w:spacing w:val="-4"/>
          <w:sz w:val="22"/>
          <w:szCs w:val="22"/>
        </w:rPr>
        <w:t xml:space="preserve">116. 1 </w:t>
      </w:r>
      <w:r>
        <w:rPr>
          <w:rFonts w:ascii="微软雅黑" w:hAnsi="微软雅黑" w:eastAsia="微软雅黑" w:cs="微软雅黑"/>
          <w:color w:val="231F20"/>
          <w:spacing w:val="-4"/>
          <w:sz w:val="22"/>
          <w:szCs w:val="22"/>
        </w:rPr>
        <w:t xml:space="preserve">亿美元 ，与 </w:t>
      </w:r>
      <w:r>
        <w:rPr>
          <w:rFonts w:ascii="Times New Roman" w:hAnsi="Times New Roman" w:eastAsia="Times New Roman" w:cs="Times New Roman"/>
          <w:color w:val="231F20"/>
          <w:spacing w:val="-4"/>
          <w:sz w:val="22"/>
          <w:szCs w:val="22"/>
        </w:rPr>
        <w:t xml:space="preserve">2017 </w:t>
      </w:r>
      <w:r>
        <w:rPr>
          <w:rFonts w:ascii="微软雅黑" w:hAnsi="微软雅黑" w:eastAsia="微软雅黑" w:cs="微软雅黑"/>
          <w:color w:val="231F20"/>
          <w:spacing w:val="-4"/>
          <w:sz w:val="22"/>
          <w:szCs w:val="22"/>
        </w:rPr>
        <w:t xml:space="preserve">年相比上升 </w:t>
      </w:r>
      <w:r>
        <w:rPr>
          <w:rFonts w:ascii="Times New Roman" w:hAnsi="Times New Roman" w:eastAsia="Times New Roman" w:cs="Times New Roman"/>
          <w:color w:val="231F20"/>
          <w:spacing w:val="-4"/>
          <w:sz w:val="22"/>
          <w:szCs w:val="22"/>
        </w:rPr>
        <w:t>41.9%</w:t>
      </w:r>
      <w:r>
        <w:rPr>
          <w:rFonts w:ascii="微软雅黑" w:hAnsi="微软雅黑" w:eastAsia="微软雅黑" w:cs="微软雅黑"/>
          <w:color w:val="231F20"/>
          <w:spacing w:val="-4"/>
          <w:sz w:val="22"/>
          <w:szCs w:val="22"/>
        </w:rPr>
        <w:t>。</w:t>
      </w:r>
    </w:p>
    <w:p>
      <w:pPr>
        <w:spacing w:before="121" w:line="231" w:lineRule="auto"/>
        <w:ind w:left="2527"/>
        <w:rPr>
          <w:rFonts w:ascii="宋体" w:hAnsi="宋体" w:eastAsia="宋体" w:cs="宋体"/>
          <w:sz w:val="17"/>
          <w:szCs w:val="17"/>
        </w:rPr>
      </w:pPr>
      <w:r>
        <w:rPr>
          <w:rFonts w:ascii="宋体" w:hAnsi="宋体" w:eastAsia="宋体" w:cs="宋体"/>
          <w:color w:val="030303"/>
          <w:spacing w:val="7"/>
          <w:sz w:val="17"/>
          <w:szCs w:val="17"/>
        </w:rPr>
        <w:t>亿美元</w:t>
      </w:r>
    </w:p>
    <w:p>
      <w:pPr>
        <w:spacing w:before="190" w:line="186" w:lineRule="auto"/>
        <w:ind w:left="2596"/>
        <w:rPr>
          <w:rFonts w:ascii="Calibri" w:hAnsi="Calibri" w:eastAsia="Calibri" w:cs="Calibri"/>
          <w:sz w:val="17"/>
          <w:szCs w:val="17"/>
        </w:rPr>
      </w:pPr>
      <w:r>
        <w:rPr>
          <w:rFonts w:ascii="Calibri" w:hAnsi="Calibri" w:eastAsia="Calibri" w:cs="Calibri"/>
          <w:color w:val="030303"/>
          <w:spacing w:val="-1"/>
          <w:sz w:val="17"/>
          <w:szCs w:val="17"/>
        </w:rPr>
        <w:t>1</w:t>
      </w:r>
      <w:r>
        <w:rPr>
          <w:rFonts w:ascii="Calibri" w:hAnsi="Calibri" w:eastAsia="Calibri" w:cs="Calibri"/>
          <w:color w:val="030303"/>
          <w:sz w:val="17"/>
          <w:szCs w:val="17"/>
        </w:rPr>
        <w:t>20</w:t>
      </w:r>
      <w:r>
        <w:rPr>
          <w:rFonts w:ascii="Calibri" w:hAnsi="Calibri" w:eastAsia="Calibri" w:cs="Calibri"/>
          <w:strike/>
          <w:color w:val="030303"/>
          <w:sz w:val="17"/>
          <w:szCs w:val="17"/>
        </w:rPr>
        <w:t xml:space="preserve"> </w:t>
      </w:r>
    </w:p>
    <w:p>
      <w:pPr>
        <w:spacing w:line="316" w:lineRule="auto"/>
        <w:rPr>
          <w:rFonts w:ascii="Arial"/>
          <w:sz w:val="21"/>
        </w:rPr>
      </w:pPr>
    </w:p>
    <w:p>
      <w:pPr>
        <w:spacing w:before="53" w:line="186" w:lineRule="auto"/>
        <w:ind w:left="2596"/>
        <w:rPr>
          <w:rFonts w:ascii="Calibri" w:hAnsi="Calibri" w:eastAsia="Calibri" w:cs="Calibri"/>
          <w:sz w:val="17"/>
          <w:szCs w:val="17"/>
        </w:rPr>
      </w:pPr>
      <w:r>
        <w:rPr>
          <w:rFonts w:ascii="Calibri" w:hAnsi="Calibri" w:eastAsia="Calibri" w:cs="Calibri"/>
          <w:color w:val="030303"/>
          <w:spacing w:val="-1"/>
          <w:sz w:val="17"/>
          <w:szCs w:val="17"/>
        </w:rPr>
        <w:t>1</w:t>
      </w:r>
      <w:r>
        <w:rPr>
          <w:rFonts w:ascii="Calibri" w:hAnsi="Calibri" w:eastAsia="Calibri" w:cs="Calibri"/>
          <w:color w:val="030303"/>
          <w:sz w:val="17"/>
          <w:szCs w:val="17"/>
        </w:rPr>
        <w:t>00</w:t>
      </w:r>
      <w:r>
        <w:rPr>
          <w:rFonts w:ascii="Calibri" w:hAnsi="Calibri" w:eastAsia="Calibri" w:cs="Calibri"/>
          <w:strike/>
          <w:color w:val="030303"/>
          <w:sz w:val="17"/>
          <w:szCs w:val="17"/>
        </w:rPr>
        <w:t xml:space="preserve"> </w:t>
      </w:r>
    </w:p>
    <w:p>
      <w:pPr>
        <w:spacing w:line="316" w:lineRule="auto"/>
        <w:rPr>
          <w:rFonts w:ascii="Arial"/>
          <w:sz w:val="21"/>
        </w:rPr>
      </w:pPr>
    </w:p>
    <w:p>
      <w:pPr>
        <w:spacing w:before="53" w:line="186" w:lineRule="auto"/>
        <w:ind w:left="2679"/>
        <w:rPr>
          <w:rFonts w:ascii="Calibri" w:hAnsi="Calibri" w:eastAsia="Calibri" w:cs="Calibri"/>
          <w:sz w:val="17"/>
          <w:szCs w:val="17"/>
        </w:rPr>
      </w:pPr>
      <w:r>
        <w:rPr>
          <w:rFonts w:ascii="Calibri" w:hAnsi="Calibri" w:eastAsia="Calibri" w:cs="Calibri"/>
          <w:color w:val="030303"/>
          <w:spacing w:val="1"/>
          <w:sz w:val="17"/>
          <w:szCs w:val="17"/>
        </w:rPr>
        <w:t>80</w:t>
      </w:r>
      <w:r>
        <w:rPr>
          <w:rFonts w:ascii="Calibri" w:hAnsi="Calibri" w:eastAsia="Calibri" w:cs="Calibri"/>
          <w:strike/>
          <w:color w:val="030303"/>
          <w:sz w:val="17"/>
          <w:szCs w:val="17"/>
        </w:rPr>
        <w:t xml:space="preserve"> </w:t>
      </w:r>
    </w:p>
    <w:p>
      <w:pPr>
        <w:spacing w:before="262" w:line="125" w:lineRule="exact"/>
        <w:ind w:left="8565"/>
        <w:rPr>
          <w:rFonts w:ascii="微软雅黑" w:hAnsi="微软雅黑" w:eastAsia="微软雅黑" w:cs="微软雅黑"/>
          <w:sz w:val="15"/>
          <w:szCs w:val="15"/>
        </w:rPr>
      </w:pPr>
      <w:r>
        <w:rPr>
          <w:rFonts w:ascii="微软雅黑" w:hAnsi="微软雅黑" w:eastAsia="微软雅黑" w:cs="微软雅黑"/>
          <w:color w:val="030303"/>
          <w:spacing w:val="12"/>
          <w:position w:val="-2"/>
          <w:sz w:val="15"/>
          <w:szCs w:val="15"/>
        </w:rPr>
        <w:t>116.</w:t>
      </w:r>
      <w:r>
        <w:rPr>
          <w:rFonts w:ascii="微软雅黑" w:hAnsi="微软雅黑" w:eastAsia="微软雅黑" w:cs="微软雅黑"/>
          <w:color w:val="030303"/>
          <w:spacing w:val="11"/>
          <w:position w:val="-2"/>
          <w:sz w:val="15"/>
          <w:szCs w:val="15"/>
        </w:rPr>
        <w:t>1</w:t>
      </w:r>
    </w:p>
    <w:p>
      <w:pPr>
        <w:spacing w:line="183" w:lineRule="auto"/>
        <w:ind w:left="2681"/>
        <w:rPr>
          <w:rFonts w:ascii="Calibri" w:hAnsi="Calibri" w:eastAsia="Calibri" w:cs="Calibri"/>
          <w:sz w:val="15"/>
          <w:szCs w:val="15"/>
        </w:rPr>
      </w:pPr>
      <w:r>
        <w:rPr>
          <w:rFonts w:ascii="Calibri" w:hAnsi="Calibri" w:eastAsia="Calibri" w:cs="Calibri"/>
          <w:color w:val="030303"/>
          <w:spacing w:val="10"/>
          <w:sz w:val="15"/>
          <w:szCs w:val="15"/>
        </w:rPr>
        <w:t>60</w:t>
      </w:r>
      <w:r>
        <w:rPr>
          <w:rFonts w:ascii="Calibri" w:hAnsi="Calibri" w:eastAsia="Calibri" w:cs="Calibri"/>
          <w:strike/>
          <w:color w:val="030303"/>
          <w:sz w:val="15"/>
          <w:szCs w:val="15"/>
        </w:rPr>
        <w:t xml:space="preserve">  </w:t>
      </w:r>
    </w:p>
    <w:p>
      <w:pPr>
        <w:tabs>
          <w:tab w:val="left" w:pos="3433"/>
        </w:tabs>
        <w:spacing w:before="250" w:line="116" w:lineRule="auto"/>
        <w:ind w:left="2971"/>
        <w:rPr>
          <w:rFonts w:ascii="微软雅黑" w:hAnsi="微软雅黑" w:eastAsia="微软雅黑" w:cs="微软雅黑"/>
          <w:sz w:val="17"/>
          <w:szCs w:val="17"/>
        </w:rPr>
      </w:pPr>
      <w:r>
        <w:pict>
          <v:shape id="_x0000_s1424" o:spid="_x0000_s1424" o:spt="202" type="#_x0000_t202" style="position:absolute;left:0pt;margin-left:132.8pt;margin-top:17.8pt;height:10.05pt;width:14.6pt;z-index:252093440;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3"/>
                      <w:sz w:val="17"/>
                      <w:szCs w:val="17"/>
                    </w:rPr>
                    <w:t>4</w:t>
                  </w:r>
                  <w:r>
                    <w:rPr>
                      <w:rFonts w:ascii="Calibri" w:hAnsi="Calibri" w:eastAsia="Calibri" w:cs="Calibri"/>
                      <w:color w:val="030303"/>
                      <w:spacing w:val="2"/>
                      <w:sz w:val="17"/>
                      <w:szCs w:val="17"/>
                    </w:rPr>
                    <w:t>0</w:t>
                  </w:r>
                  <w:r>
                    <w:rPr>
                      <w:rFonts w:ascii="Calibri" w:hAnsi="Calibri" w:eastAsia="Calibri" w:cs="Calibri"/>
                      <w:strike/>
                      <w:color w:val="030303"/>
                      <w:sz w:val="17"/>
                      <w:szCs w:val="17"/>
                    </w:rPr>
                    <w:t xml:space="preserve"> </w:t>
                  </w:r>
                </w:p>
              </w:txbxContent>
            </v:textbox>
          </v:shape>
        </w:pict>
      </w:r>
      <w:r>
        <w:rPr>
          <w:rFonts w:ascii="微软雅黑" w:hAnsi="微软雅黑" w:eastAsia="微软雅黑" w:cs="微软雅黑"/>
          <w:color w:val="030303"/>
          <w:position w:val="4"/>
          <w:sz w:val="17"/>
          <w:szCs w:val="17"/>
          <w:u w:val="single" w:color="CEE6ED"/>
        </w:rPr>
        <w:tab/>
      </w:r>
      <w:r>
        <w:rPr>
          <w:rFonts w:ascii="微软雅黑" w:hAnsi="微软雅黑" w:eastAsia="微软雅黑" w:cs="微软雅黑"/>
          <w:color w:val="030303"/>
          <w:spacing w:val="1"/>
          <w:position w:val="4"/>
          <w:sz w:val="17"/>
          <w:szCs w:val="17"/>
          <w:u w:val="single" w:color="CEE6ED"/>
        </w:rPr>
        <w:t xml:space="preserve">81.8                        </w:t>
      </w:r>
      <w:r>
        <w:rPr>
          <w:rFonts w:ascii="微软雅黑" w:hAnsi="微软雅黑" w:eastAsia="微软雅黑" w:cs="微软雅黑"/>
          <w:color w:val="030303"/>
          <w:position w:val="4"/>
          <w:sz w:val="17"/>
          <w:szCs w:val="17"/>
          <w:u w:val="single" w:color="CEE6ED"/>
        </w:rPr>
        <w:t xml:space="preserve">                                              </w:t>
      </w:r>
      <w:r>
        <w:rPr>
          <w:rFonts w:ascii="微软雅黑" w:hAnsi="微软雅黑" w:eastAsia="微软雅黑" w:cs="微软雅黑"/>
          <w:color w:val="030303"/>
          <w:sz w:val="17"/>
          <w:szCs w:val="17"/>
          <w:u w:val="single" w:color="CEE6ED"/>
        </w:rPr>
        <w:t xml:space="preserve">79.2                                  </w:t>
      </w:r>
    </w:p>
    <w:p>
      <w:pPr>
        <w:spacing w:line="116" w:lineRule="exact"/>
        <w:ind w:left="4722"/>
        <w:rPr>
          <w:rFonts w:ascii="微软雅黑" w:hAnsi="微软雅黑" w:eastAsia="微软雅黑" w:cs="微软雅黑"/>
          <w:sz w:val="14"/>
          <w:szCs w:val="14"/>
        </w:rPr>
      </w:pPr>
      <w:r>
        <w:rPr>
          <w:rFonts w:ascii="微软雅黑" w:hAnsi="微软雅黑" w:eastAsia="微软雅黑" w:cs="微软雅黑"/>
          <w:color w:val="030303"/>
          <w:spacing w:val="19"/>
          <w:position w:val="-2"/>
          <w:sz w:val="14"/>
          <w:szCs w:val="14"/>
        </w:rPr>
        <w:t>7</w:t>
      </w:r>
      <w:r>
        <w:rPr>
          <w:rFonts w:ascii="微软雅黑" w:hAnsi="微软雅黑" w:eastAsia="微软雅黑" w:cs="微软雅黑"/>
          <w:color w:val="030303"/>
          <w:spacing w:val="17"/>
          <w:position w:val="-2"/>
          <w:sz w:val="14"/>
          <w:szCs w:val="14"/>
        </w:rPr>
        <w:t>4.8</w:t>
      </w:r>
    </w:p>
    <w:p>
      <w:pPr>
        <w:spacing w:before="1" w:line="174" w:lineRule="auto"/>
        <w:ind w:left="6027"/>
        <w:rPr>
          <w:rFonts w:ascii="微软雅黑" w:hAnsi="微软雅黑" w:eastAsia="微软雅黑" w:cs="微软雅黑"/>
          <w:sz w:val="15"/>
          <w:szCs w:val="15"/>
        </w:rPr>
      </w:pPr>
      <w:r>
        <w:rPr>
          <w:rFonts w:ascii="微软雅黑" w:hAnsi="微软雅黑" w:eastAsia="微软雅黑" w:cs="微软雅黑"/>
          <w:color w:val="030303"/>
          <w:spacing w:val="13"/>
          <w:sz w:val="15"/>
          <w:szCs w:val="15"/>
        </w:rPr>
        <w:t>6</w:t>
      </w:r>
      <w:r>
        <w:rPr>
          <w:rFonts w:ascii="微软雅黑" w:hAnsi="微软雅黑" w:eastAsia="微软雅黑" w:cs="微软雅黑"/>
          <w:color w:val="030303"/>
          <w:spacing w:val="12"/>
          <w:sz w:val="15"/>
          <w:szCs w:val="15"/>
        </w:rPr>
        <w:t>8.1</w:t>
      </w:r>
    </w:p>
    <w:p>
      <w:pPr>
        <w:spacing w:before="174" w:line="186" w:lineRule="auto"/>
        <w:ind w:left="2682"/>
        <w:rPr>
          <w:rFonts w:ascii="Calibri" w:hAnsi="Calibri" w:eastAsia="Calibri" w:cs="Calibri"/>
          <w:sz w:val="17"/>
          <w:szCs w:val="17"/>
        </w:rPr>
      </w:pPr>
      <w:r>
        <w:rPr>
          <w:rFonts w:ascii="Calibri" w:hAnsi="Calibri" w:eastAsia="Calibri" w:cs="Calibri"/>
          <w:color w:val="030303"/>
          <w:spacing w:val="-1"/>
          <w:sz w:val="17"/>
          <w:szCs w:val="17"/>
        </w:rPr>
        <w:t>2</w:t>
      </w:r>
      <w:r>
        <w:rPr>
          <w:rFonts w:ascii="Calibri" w:hAnsi="Calibri" w:eastAsia="Calibri" w:cs="Calibri"/>
          <w:color w:val="030303"/>
          <w:sz w:val="17"/>
          <w:szCs w:val="17"/>
        </w:rPr>
        <w:t>0</w:t>
      </w:r>
      <w:r>
        <w:rPr>
          <w:rFonts w:ascii="Calibri" w:hAnsi="Calibri" w:eastAsia="Calibri" w:cs="Calibri"/>
          <w:strike/>
          <w:color w:val="030303"/>
          <w:sz w:val="17"/>
          <w:szCs w:val="17"/>
        </w:rPr>
        <w:t xml:space="preserve"> </w:t>
      </w:r>
    </w:p>
    <w:p>
      <w:pPr>
        <w:spacing w:line="316" w:lineRule="auto"/>
        <w:rPr>
          <w:rFonts w:ascii="Arial"/>
          <w:sz w:val="21"/>
        </w:rPr>
      </w:pPr>
    </w:p>
    <w:p>
      <w:pPr>
        <w:spacing w:before="53" w:line="186" w:lineRule="auto"/>
        <w:ind w:left="2769"/>
        <w:rPr>
          <w:rFonts w:ascii="Calibri" w:hAnsi="Calibri" w:eastAsia="Calibri" w:cs="Calibri"/>
          <w:sz w:val="17"/>
          <w:szCs w:val="17"/>
        </w:rPr>
      </w:pPr>
      <w:r>
        <w:rPr>
          <w:rFonts w:ascii="Calibri" w:hAnsi="Calibri" w:eastAsia="Calibri" w:cs="Calibri"/>
          <w:color w:val="030303"/>
          <w:sz w:val="17"/>
          <w:szCs w:val="17"/>
        </w:rPr>
        <w:t>0</w:t>
      </w:r>
    </w:p>
    <w:p>
      <w:pPr>
        <w:spacing w:before="65" w:line="186" w:lineRule="auto"/>
        <w:ind w:left="3442"/>
        <w:rPr>
          <w:rFonts w:ascii="Calibri" w:hAnsi="Calibri" w:eastAsia="Calibri" w:cs="Calibri"/>
          <w:sz w:val="17"/>
          <w:szCs w:val="17"/>
        </w:rPr>
      </w:pPr>
      <w:r>
        <w:rPr>
          <w:rFonts w:ascii="Calibri" w:hAnsi="Calibri" w:eastAsia="Calibri" w:cs="Calibri"/>
          <w:color w:val="030303"/>
          <w:spacing w:val="1"/>
          <w:sz w:val="17"/>
          <w:szCs w:val="17"/>
        </w:rPr>
        <w:t>2017                        2018                        2019                        2020</w:t>
      </w:r>
      <w:r>
        <w:rPr>
          <w:rFonts w:ascii="Calibri" w:hAnsi="Calibri" w:eastAsia="Calibri" w:cs="Calibri"/>
          <w:color w:val="030303"/>
          <w:sz w:val="17"/>
          <w:szCs w:val="17"/>
        </w:rPr>
        <w:t xml:space="preserve">                        2021</w:t>
      </w:r>
    </w:p>
    <w:p>
      <w:pPr>
        <w:spacing w:before="200" w:line="383" w:lineRule="exact"/>
        <w:ind w:left="3146"/>
        <w:rPr>
          <w:rFonts w:ascii="SimHei" w:hAnsi="SimHei" w:eastAsia="SimHei" w:cs="SimHei"/>
          <w:sz w:val="20"/>
          <w:szCs w:val="20"/>
        </w:rPr>
      </w:pPr>
      <w:r>
        <w:rPr>
          <w:rFonts w:ascii="SimHei" w:hAnsi="SimHei" w:eastAsia="SimHei" w:cs="SimHei"/>
          <w:color w:val="231F20"/>
          <w:spacing w:val="4"/>
          <w:position w:val="13"/>
          <w:sz w:val="20"/>
          <w:szCs w:val="20"/>
        </w:rPr>
        <w:t xml:space="preserve">图 </w:t>
      </w:r>
      <w:r>
        <w:rPr>
          <w:rFonts w:ascii="Times New Roman" w:hAnsi="Times New Roman" w:eastAsia="Times New Roman" w:cs="Times New Roman"/>
          <w:color w:val="231F20"/>
          <w:spacing w:val="4"/>
          <w:position w:val="13"/>
          <w:sz w:val="20"/>
          <w:szCs w:val="20"/>
        </w:rPr>
        <w:t xml:space="preserve">2- </w:t>
      </w:r>
      <w:r>
        <w:rPr>
          <w:rFonts w:ascii="Times New Roman" w:hAnsi="Times New Roman" w:eastAsia="Times New Roman" w:cs="Times New Roman"/>
          <w:color w:val="231F20"/>
          <w:spacing w:val="3"/>
          <w:position w:val="13"/>
          <w:sz w:val="20"/>
          <w:szCs w:val="20"/>
        </w:rPr>
        <w:t>1</w:t>
      </w:r>
      <w:r>
        <w:rPr>
          <w:rFonts w:ascii="Times New Roman" w:hAnsi="Times New Roman" w:eastAsia="Times New Roman" w:cs="Times New Roman"/>
          <w:color w:val="231F20"/>
          <w:spacing w:val="2"/>
          <w:position w:val="13"/>
          <w:sz w:val="20"/>
          <w:szCs w:val="20"/>
        </w:rPr>
        <w:t xml:space="preserve">6 2017-2021 </w:t>
      </w:r>
      <w:r>
        <w:rPr>
          <w:rFonts w:ascii="SimHei" w:hAnsi="SimHei" w:eastAsia="SimHei" w:cs="SimHei"/>
          <w:color w:val="231F20"/>
          <w:spacing w:val="2"/>
          <w:position w:val="13"/>
          <w:sz w:val="20"/>
          <w:szCs w:val="20"/>
        </w:rPr>
        <w:t>年批发与贸易经纪代理服务业实际使用外资情况</w:t>
      </w:r>
    </w:p>
    <w:p>
      <w:pPr>
        <w:spacing w:line="222" w:lineRule="auto"/>
        <w:ind w:left="1987"/>
        <w:rPr>
          <w:rFonts w:ascii="KaiTi" w:hAnsi="KaiTi" w:eastAsia="KaiTi" w:cs="KaiTi"/>
          <w:sz w:val="17"/>
          <w:szCs w:val="17"/>
        </w:rPr>
      </w:pPr>
      <w:r>
        <w:rPr>
          <w:rFonts w:ascii="KaiTi" w:hAnsi="KaiTi" w:eastAsia="KaiTi" w:cs="KaiTi"/>
          <w:color w:val="231F20"/>
          <w:spacing w:val="6"/>
          <w:sz w:val="17"/>
          <w:szCs w:val="17"/>
        </w:rPr>
        <w:t>数据来源：商务部外资统计。</w:t>
      </w:r>
    </w:p>
    <w:p>
      <w:pPr>
        <w:sectPr>
          <w:pgSz w:w="12246" w:h="16498"/>
          <w:pgMar w:top="400" w:right="0" w:bottom="400" w:left="0" w:header="0" w:footer="0" w:gutter="0"/>
          <w:cols w:space="720" w:num="1"/>
        </w:sectPr>
      </w:pPr>
    </w:p>
    <w:p>
      <w:pPr>
        <w:spacing w:line="241" w:lineRule="auto"/>
        <w:rPr>
          <w:rFonts w:ascii="Arial"/>
          <w:sz w:val="21"/>
        </w:rPr>
      </w:pPr>
      <w:r>
        <w:pict>
          <v:rect id="_x0000_s1425" o:spid="_x0000_s1425" o:spt="1" style="position:absolute;left:0pt;margin-left:153.05pt;margin-top:200.4pt;height:169.15pt;width:0.3pt;mso-position-horizontal-relative:page;mso-position-vertical-relative:page;z-index:252107776;mso-width-relative:page;mso-height-relative:page;" fillcolor="#231F20" filled="t" stroked="f" coordsize="21600,21600" o:allowincell="f">
            <v:path/>
            <v:fill on="t" focussize="0,0"/>
            <v:stroke on="f"/>
            <v:imagedata o:title=""/>
            <o:lock v:ext="edit"/>
          </v:rect>
        </w:pict>
      </w:r>
      <w:r>
        <w:pict>
          <v:rect id="_x0000_s1426" o:spid="_x0000_s1426" o:spt="1" style="position:absolute;left:0pt;margin-left:154.8pt;margin-top:332.55pt;height:0.75pt;width:321.7pt;mso-position-horizontal-relative:page;mso-position-vertical-relative:page;z-index:252111872;mso-width-relative:page;mso-height-relative:page;" fillcolor="#CEE6ED" filled="t" stroked="f" coordsize="21600,21600" o:allowincell="f">
            <v:path/>
            <v:fill on="t" focussize="0,0"/>
            <v:stroke on="f"/>
            <v:imagedata o:title=""/>
            <o:lock v:ext="edit"/>
          </v:rect>
        </w:pict>
      </w:r>
      <w:r>
        <w:pict>
          <v:rect id="_x0000_s1427" o:spid="_x0000_s1427" o:spt="1" style="position:absolute;left:0pt;margin-left:148.5pt;margin-top:531.9pt;height:169.15pt;width:0.3pt;mso-position-horizontal-relative:page;mso-position-vertical-relative:page;z-index:252122112;mso-width-relative:page;mso-height-relative:page;" fillcolor="#231F20" filled="t" stroked="f" coordsize="21600,21600" o:allowincell="f">
            <v:path/>
            <v:fill on="t" focussize="0,0"/>
            <v:stroke on="f"/>
            <v:imagedata o:title=""/>
            <o:lock v:ext="edit"/>
          </v:rect>
        </w:pict>
      </w:r>
      <w:r>
        <w:pict>
          <v:rect id="_x0000_s1428" o:spid="_x0000_s1428" o:spt="1" style="position:absolute;left:0pt;margin-left:244.25pt;margin-top:655.4pt;height:5.05pt;width:5.05pt;mso-position-horizontal-relative:page;mso-position-vertical-relative:page;z-index:-251210752;mso-width-relative:page;mso-height-relative:page;" fillcolor="#4E7DB1" filled="t" stroked="f" coordsize="21600,21600" o:allowincell="f">
            <v:path/>
            <v:fill on="t" focussize="0,0"/>
            <v:stroke on="f"/>
            <v:imagedata o:title=""/>
            <o:lock v:ext="edit"/>
          </v:rect>
        </w:pict>
      </w:r>
      <w:r>
        <w:pict>
          <v:rect id="_x0000_s1429" o:spid="_x0000_s1429" o:spt="1" style="position:absolute;left:0pt;margin-left:150.25pt;margin-top:600.1pt;height:0.75pt;width:321.7pt;mso-position-horizontal-relative:page;mso-position-vertical-relative:page;z-index:-251218944;mso-width-relative:page;mso-height-relative:page;" fillcolor="#CEE6ED" filled="t" stroked="f" coordsize="21600,21600" o:allowincell="f">
            <v:path/>
            <v:fill on="t" focussize="0,0"/>
            <v:stroke on="f"/>
            <v:imagedata o:title=""/>
            <o:lock v:ext="edit"/>
          </v:rect>
        </w:pict>
      </w:r>
      <w:r>
        <w:pict>
          <v:shape id="_x0000_s1430" o:spid="_x0000_s1430" style="position:absolute;left:0pt;margin-left:154.8pt;margin-top:204.9pt;height:0.75pt;width:321.7pt;mso-position-horizontal-relative:page;mso-position-vertical-relative:page;z-index:252109824;mso-width-relative:page;mso-height-relative:page;" filled="f" stroked="t" coordsize="6434,15" o:allowincell="f" path="m0,7l6433,7e">
            <v:fill on="f" focussize="0,0"/>
            <v:stroke color="#CEE6ED" miterlimit="10" dashstyle="dash"/>
            <v:imagedata o:title=""/>
            <o:lock v:ext="edit"/>
          </v:shape>
        </w:pict>
      </w:r>
      <w:r>
        <w:pict>
          <v:shape id="_x0000_s1431" o:spid="_x0000_s1431" style="position:absolute;left:0pt;margin-left:154.8pt;margin-top:236.8pt;height:0.75pt;width:321.7pt;mso-position-horizontal-relative:page;mso-position-vertical-relative:page;z-index:252113920;mso-width-relative:page;mso-height-relative:page;" filled="f" stroked="t" coordsize="6434,15" o:allowincell="f" path="m0,7l6433,7e">
            <v:fill on="f" focussize="0,0"/>
            <v:stroke color="#CEE6ED" miterlimit="10" dashstyle="dash"/>
            <v:imagedata o:title=""/>
            <o:lock v:ext="edit"/>
          </v:shape>
        </w:pict>
      </w:r>
      <w:r>
        <w:pict>
          <v:shape id="_x0000_s1432" o:spid="_x0000_s1432" style="position:absolute;left:0pt;margin-left:154.8pt;margin-top:268.75pt;height:0.75pt;width:321.7pt;mso-position-horizontal-relative:page;mso-position-vertical-relative:page;z-index:252110848;mso-width-relative:page;mso-height-relative:page;" filled="f" stroked="t" coordsize="6434,15" o:allowincell="f" path="m0,7l6433,7e">
            <v:fill on="f" focussize="0,0"/>
            <v:stroke color="#CEE6ED" miterlimit="10" dashstyle="dash"/>
            <v:imagedata o:title=""/>
            <o:lock v:ext="edit"/>
          </v:shape>
        </w:pict>
      </w:r>
      <w:r>
        <w:pict>
          <v:shape id="_x0000_s1433" o:spid="_x0000_s1433" style="position:absolute;left:0pt;margin-left:154.8pt;margin-top:300.65pt;height:0.75pt;width:321.7pt;mso-position-horizontal-relative:page;mso-position-vertical-relative:page;z-index:252114944;mso-width-relative:page;mso-height-relative:page;" filled="f" stroked="t" coordsize="6434,15" o:allowincell="f" path="m0,7l6433,7e">
            <v:fill on="f" focussize="0,0"/>
            <v:stroke color="#CEE6ED" miterlimit="10" dashstyle="dash"/>
            <v:imagedata o:title=""/>
            <o:lock v:ext="edit"/>
          </v:shape>
        </w:pict>
      </w:r>
      <w:r>
        <w:pict>
          <v:shape id="_x0000_s1434" o:spid="_x0000_s1434" style="position:absolute;left:0pt;margin-left:150.25pt;margin-top:536.25pt;height:0.75pt;width:321.7pt;mso-position-horizontal-relative:page;mso-position-vertical-relative:page;z-index:252112896;mso-width-relative:page;mso-height-relative:page;" filled="f" stroked="t" coordsize="6434,15" o:allowincell="f" path="m0,7l6433,7e">
            <v:fill on="f" focussize="0,0"/>
            <v:stroke color="#CEE6ED" miterlimit="10" dashstyle="dash"/>
            <v:imagedata o:title=""/>
            <o:lock v:ext="edit"/>
          </v:shape>
        </w:pict>
      </w:r>
      <w:r>
        <w:pict>
          <v:shape id="_x0000_s1435" o:spid="_x0000_s1435" style="position:absolute;left:0pt;margin-left:150.25pt;margin-top:568.2pt;height:0.75pt;width:321.7pt;mso-position-horizontal-relative:page;mso-position-vertical-relative:page;z-index:-251219968;mso-width-relative:page;mso-height-relative:page;" filled="f" stroked="t" coordsize="6434,15" o:allowincell="f" path="m0,7l6433,7e">
            <v:fill on="f" focussize="0,0"/>
            <v:stroke color="#CEE6ED" miterlimit="10" dashstyle="dash"/>
            <v:imagedata o:title=""/>
            <o:lock v:ext="edit"/>
          </v:shape>
        </w:pict>
      </w:r>
      <w:r>
        <w:pict>
          <v:shape id="_x0000_s1436" o:spid="_x0000_s1436" style="position:absolute;left:0pt;margin-left:150.25pt;margin-top:663.95pt;height:0.75pt;width:321.7pt;mso-position-horizontal-relative:page;mso-position-vertical-relative:page;z-index:-251217920;mso-width-relative:page;mso-height-relative:page;" filled="f" stroked="t" coordsize="6434,15" o:allowincell="f" path="m0,7l6433,7e">
            <v:fill on="f" focussize="0,0"/>
            <v:stroke color="#CEE6ED" miterlimit="10" dashstyle="dash"/>
            <v:imagedata o:title=""/>
            <o:lock v:ext="edit"/>
          </v:shape>
        </w:pict>
      </w:r>
      <w:r>
        <w:drawing>
          <wp:anchor distT="0" distB="0" distL="0" distR="0" simplePos="0" relativeHeight="25209548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09" name="IM 309"/>
            <wp:cNvGraphicFramePr/>
            <a:graphic xmlns:a="http://schemas.openxmlformats.org/drawingml/2006/main">
              <a:graphicData uri="http://schemas.openxmlformats.org/drawingml/2006/picture">
                <pic:pic xmlns:pic="http://schemas.openxmlformats.org/drawingml/2006/picture">
                  <pic:nvPicPr>
                    <pic:cNvPr id="309" name="IM 309"/>
                    <pic:cNvPicPr/>
                  </pic:nvPicPr>
                  <pic:blipFill>
                    <a:blip r:embed="rId43"/>
                    <a:stretch>
                      <a:fillRect/>
                    </a:stretch>
                  </pic:blipFill>
                  <pic:spPr>
                    <a:xfrm>
                      <a:off x="0" y="0"/>
                      <a:ext cx="7775994" cy="422998"/>
                    </a:xfrm>
                    <a:prstGeom prst="rect">
                      <a:avLst/>
                    </a:prstGeom>
                  </pic:spPr>
                </pic:pic>
              </a:graphicData>
            </a:graphic>
          </wp:anchor>
        </w:drawing>
      </w:r>
      <w:r>
        <w:drawing>
          <wp:anchor distT="0" distB="0" distL="0" distR="0" simplePos="0" relativeHeight="252108800" behindDoc="0" locked="0" layoutInCell="0" allowOverlap="1">
            <wp:simplePos x="0" y="0"/>
            <wp:positionH relativeFrom="page">
              <wp:posOffset>1922145</wp:posOffset>
            </wp:positionH>
            <wp:positionV relativeFrom="page">
              <wp:posOffset>4618355</wp:posOffset>
            </wp:positionV>
            <wp:extent cx="4282440" cy="13335"/>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43"/>
                    <a:stretch>
                      <a:fillRect/>
                    </a:stretch>
                  </pic:blipFill>
                  <pic:spPr>
                    <a:xfrm>
                      <a:off x="0" y="0"/>
                      <a:ext cx="4282198" cy="13168"/>
                    </a:xfrm>
                    <a:prstGeom prst="rect">
                      <a:avLst/>
                    </a:prstGeom>
                  </pic:spPr>
                </pic:pic>
              </a:graphicData>
            </a:graphic>
          </wp:anchor>
        </w:drawing>
      </w:r>
      <w:r>
        <w:pict>
          <v:shape id="_x0000_s1437" o:spid="_x0000_s1437" style="position:absolute;left:0pt;margin-left:372.95pt;margin-top:587.65pt;height:5.05pt;width:5.05pt;mso-position-horizontal-relative:page;mso-position-vertical-relative:page;z-index:-251213824;mso-width-relative:page;mso-height-relative:page;" fillcolor="#4E7DB1" filled="t" stroked="f" coordsize="101,101" o:allowincell="f" path="m0,50c0,22,22,0,50,0c77,0,100,22,100,50c100,77,77,100,50,100c22,100,0,77,0,50e">
            <v:path/>
            <v:fill on="t" focussize="0,0"/>
            <v:stroke on="f"/>
            <v:imagedata o:title=""/>
            <o:lock v:ext="edit"/>
          </v:shape>
        </w:pict>
      </w:r>
      <w:r>
        <w:pict>
          <v:group id="_x0000_s1438" o:spid="_x0000_s1438" o:spt="203" style="position:absolute;left:0pt;margin-left:308.2pt;margin-top:589pt;height:41.25pt;width:68.35pt;mso-position-horizontal-relative:page;mso-position-vertical-relative:page;z-index:-251214848;mso-width-relative:page;mso-height-relative:page;" coordsize="1366,825" o:allowincell="f">
            <o:lock v:ext="edit"/>
            <v:shape id="_x0000_s1439" o:spid="_x0000_s1439" style="position:absolute;left:35;top:0;height:790;width:1331;" filled="f" stroked="t" coordsize="1331,790" path="m22,766l1309,22e">
              <v:fill on="f" focussize="0,0"/>
              <v:stroke weight="2.25pt" color="#4E7DB1" miterlimit="10" endcap="round"/>
              <v:imagedata o:title=""/>
              <o:lock v:ext="edit"/>
            </v:shape>
            <v:shape id="_x0000_s1440" o:spid="_x0000_s1440" style="position:absolute;left:0;top:709;height:116;width:116;" fillcolor="#4E7DB1" filled="t" stroked="t" coordsize="116,116" path="m7,57c7,29,29,7,57,7c85,7,107,29,107,57c107,85,85,107,57,107c29,107,7,85,7,57e">
              <v:fill on="t" focussize="0,0"/>
              <v:stroke color="#4E7DB1" miterlimit="10"/>
              <v:imagedata o:title=""/>
              <o:lock v:ext="edit"/>
            </v:shape>
          </v:group>
        </w:pict>
      </w:r>
      <w:r>
        <w:pict>
          <v:shape id="_x0000_s1441" o:spid="_x0000_s1441" style="position:absolute;left:0pt;margin-left:179.9pt;margin-top:664.15pt;height:5.05pt;width:5.05pt;mso-position-horizontal-relative:page;mso-position-vertical-relative:page;z-index:252123136;mso-width-relative:page;mso-height-relative:page;" fillcolor="#4E7DB1" filled="t" stroked="f" coordsize="101,101" o:allowincell="f" path="m0,50c0,22,22,0,50,0c77,0,100,22,100,50c100,77,77,100,50,100c22,100,0,77,0,50e">
            <v:path/>
            <v:fill on="t" focussize="0,0"/>
            <v:stroke on="f"/>
            <v:imagedata o:title=""/>
            <o:lock v:ext="edit"/>
          </v:shape>
        </w:pict>
      </w:r>
      <w:r>
        <w:pict>
          <v:shape id="_x0000_s1442" o:spid="_x0000_s1442" style="position:absolute;left:0pt;margin-left:179.55pt;margin-top:663.8pt;height:5.8pt;width:5.8pt;mso-position-horizontal-relative:page;mso-position-vertical-relative:page;z-index:252124160;mso-width-relative:page;mso-height-relative:page;" filled="f" stroked="t" coordsize="116,116" o:allowincell="f" path="m7,57c7,29,29,7,57,7c85,7,107,29,107,57c107,85,85,107,57,107c29,107,7,85,7,57e">
            <v:fill on="f" focussize="0,0"/>
            <v:stroke color="#4E7DB1" miterlimit="10"/>
            <v:imagedata o:title=""/>
            <o:lock v:ext="edit"/>
          </v:shape>
        </w:pict>
      </w:r>
      <w:r>
        <w:drawing>
          <wp:anchor distT="0" distB="0" distL="0" distR="0" simplePos="0" relativeHeight="252106752" behindDoc="0" locked="0" layoutInCell="0" allowOverlap="1">
            <wp:simplePos x="0" y="0"/>
            <wp:positionH relativeFrom="page">
              <wp:posOffset>1864360</wp:posOffset>
            </wp:positionH>
            <wp:positionV relativeFrom="page">
              <wp:posOffset>8782685</wp:posOffset>
            </wp:positionV>
            <wp:extent cx="4457065" cy="120015"/>
            <wp:effectExtent l="0" t="0" r="0" b="0"/>
            <wp:wrapNone/>
            <wp:docPr id="311" name="IM 311"/>
            <wp:cNvGraphicFramePr/>
            <a:graphic xmlns:a="http://schemas.openxmlformats.org/drawingml/2006/main">
              <a:graphicData uri="http://schemas.openxmlformats.org/drawingml/2006/picture">
                <pic:pic xmlns:pic="http://schemas.openxmlformats.org/drawingml/2006/picture">
                  <pic:nvPicPr>
                    <pic:cNvPr id="311" name="IM 311"/>
                    <pic:cNvPicPr/>
                  </pic:nvPicPr>
                  <pic:blipFill>
                    <a:blip r:embed="rId144"/>
                    <a:stretch>
                      <a:fillRect/>
                    </a:stretch>
                  </pic:blipFill>
                  <pic:spPr>
                    <a:xfrm>
                      <a:off x="0" y="0"/>
                      <a:ext cx="4456797" cy="120002"/>
                    </a:xfrm>
                    <a:prstGeom prst="rect">
                      <a:avLst/>
                    </a:prstGeom>
                  </pic:spPr>
                </pic:pic>
              </a:graphicData>
            </a:graphic>
          </wp:anchor>
        </w:drawing>
      </w:r>
      <w:r>
        <w:pict>
          <v:shape id="_x0000_s1443" o:spid="_x0000_s1443" style="position:absolute;left:0pt;margin-left:437.25pt;margin-top:562.5pt;height:5.05pt;width:5.05pt;mso-position-horizontal-relative:page;mso-position-vertical-relative:page;z-index:-251211776;mso-width-relative:page;mso-height-relative:page;" fillcolor="#4E7DB1" filled="t" stroked="f" coordsize="101,101" o:allowincell="f" path="m0,50c0,22,22,0,50,0c77,0,100,22,100,50c100,77,77,100,50,100c22,100,0,77,0,50e">
            <v:path/>
            <v:fill on="t" focussize="0,0"/>
            <v:stroke on="f"/>
            <v:imagedata o:title=""/>
            <o:lock v:ext="edit"/>
          </v:shape>
        </w:pict>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bookmarkStart w:id="63" w:name="_bookmark45"/>
      <w:bookmarkEnd w:id="63"/>
      <w:r>
        <w:rPr>
          <w:rFonts w:ascii="SimHei" w:hAnsi="SimHei" w:eastAsia="SimHei" w:cs="SimHei"/>
          <w:color w:val="1A67B3"/>
          <w:spacing w:val="39"/>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313" name="IM 313"/>
            <wp:cNvGraphicFramePr/>
            <a:graphic xmlns:a="http://schemas.openxmlformats.org/drawingml/2006/main">
              <a:graphicData uri="http://schemas.openxmlformats.org/drawingml/2006/picture">
                <pic:pic xmlns:pic="http://schemas.openxmlformats.org/drawingml/2006/picture">
                  <pic:nvPicPr>
                    <pic:cNvPr id="313" name="IM 313"/>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59</w:t>
      </w: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94" w:line="261" w:lineRule="auto"/>
        <w:ind w:left="1987" w:right="1984" w:firstLine="458"/>
        <w:rPr>
          <w:rFonts w:ascii="微软雅黑" w:hAnsi="微软雅黑" w:eastAsia="微软雅黑" w:cs="微软雅黑"/>
          <w:sz w:val="22"/>
          <w:szCs w:val="22"/>
        </w:rPr>
      </w:pPr>
      <w:r>
        <w:rPr>
          <w:rFonts w:ascii="SimHei" w:hAnsi="SimHei" w:eastAsia="SimHei" w:cs="SimHei"/>
          <w:color w:val="231F20"/>
          <w:spacing w:val="-1"/>
          <w:sz w:val="22"/>
          <w:szCs w:val="22"/>
        </w:rPr>
        <w:t xml:space="preserve">信息服务业自 </w:t>
      </w:r>
      <w:r>
        <w:rPr>
          <w:rFonts w:ascii="SimHei" w:hAnsi="SimHei" w:eastAsia="SimHei" w:cs="SimHei"/>
          <w:color w:val="231F20"/>
          <w:sz w:val="22"/>
          <w:szCs w:val="22"/>
        </w:rPr>
        <w:t>2018 年稳步提升。</w:t>
      </w:r>
      <w:r>
        <w:rPr>
          <w:rFonts w:ascii="Times New Roman" w:hAnsi="Times New Roman" w:eastAsia="Times New Roman" w:cs="Times New Roman"/>
          <w:color w:val="231F20"/>
          <w:sz w:val="22"/>
          <w:szCs w:val="22"/>
        </w:rPr>
        <w:t xml:space="preserve">2017 </w:t>
      </w:r>
      <w:r>
        <w:rPr>
          <w:rFonts w:ascii="微软雅黑" w:hAnsi="微软雅黑" w:eastAsia="微软雅黑" w:cs="微软雅黑"/>
          <w:color w:val="231F20"/>
          <w:sz w:val="22"/>
          <w:szCs w:val="22"/>
        </w:rPr>
        <w:t xml:space="preserve">年 ，信息服务业领域实际使用外资金额为 </w:t>
      </w:r>
      <w:r>
        <w:rPr>
          <w:rFonts w:ascii="Times New Roman" w:hAnsi="Times New Roman" w:eastAsia="Times New Roman" w:cs="Times New Roman"/>
          <w:color w:val="231F20"/>
          <w:spacing w:val="2"/>
          <w:sz w:val="22"/>
          <w:szCs w:val="22"/>
        </w:rPr>
        <w:t xml:space="preserve">210.4 </w:t>
      </w:r>
      <w:r>
        <w:rPr>
          <w:rFonts w:ascii="微软雅黑" w:hAnsi="微软雅黑" w:eastAsia="微软雅黑" w:cs="微软雅黑"/>
          <w:color w:val="231F20"/>
          <w:spacing w:val="2"/>
          <w:sz w:val="22"/>
          <w:szCs w:val="22"/>
        </w:rPr>
        <w:t>亿美元，</w:t>
      </w:r>
      <w:r>
        <w:rPr>
          <w:rFonts w:ascii="Times New Roman" w:hAnsi="Times New Roman" w:eastAsia="Times New Roman" w:cs="Times New Roman"/>
          <w:color w:val="231F20"/>
          <w:spacing w:val="2"/>
          <w:sz w:val="22"/>
          <w:szCs w:val="22"/>
        </w:rPr>
        <w:t xml:space="preserve">2018 </w:t>
      </w:r>
      <w:r>
        <w:rPr>
          <w:rFonts w:ascii="微软雅黑" w:hAnsi="微软雅黑" w:eastAsia="微软雅黑" w:cs="微软雅黑"/>
          <w:color w:val="231F20"/>
          <w:spacing w:val="2"/>
          <w:sz w:val="22"/>
          <w:szCs w:val="22"/>
        </w:rPr>
        <w:t xml:space="preserve">年下降 </w:t>
      </w:r>
      <w:r>
        <w:rPr>
          <w:rFonts w:ascii="Times New Roman" w:hAnsi="Times New Roman" w:eastAsia="Times New Roman" w:cs="Times New Roman"/>
          <w:color w:val="231F20"/>
          <w:spacing w:val="2"/>
          <w:sz w:val="22"/>
          <w:szCs w:val="22"/>
        </w:rPr>
        <w:t xml:space="preserve">44.2% </w:t>
      </w:r>
      <w:r>
        <w:rPr>
          <w:rFonts w:ascii="微软雅黑" w:hAnsi="微软雅黑" w:eastAsia="微软雅黑" w:cs="微软雅黑"/>
          <w:color w:val="231F20"/>
          <w:spacing w:val="2"/>
          <w:sz w:val="22"/>
          <w:szCs w:val="22"/>
        </w:rPr>
        <w:t xml:space="preserve">至 </w:t>
      </w:r>
      <w:r>
        <w:rPr>
          <w:rFonts w:ascii="Times New Roman" w:hAnsi="Times New Roman" w:eastAsia="Times New Roman" w:cs="Times New Roman"/>
          <w:color w:val="231F20"/>
          <w:spacing w:val="2"/>
          <w:sz w:val="22"/>
          <w:szCs w:val="22"/>
        </w:rPr>
        <w:t>11</w:t>
      </w:r>
      <w:r>
        <w:rPr>
          <w:rFonts w:ascii="Times New Roman" w:hAnsi="Times New Roman" w:eastAsia="Times New Roman" w:cs="Times New Roman"/>
          <w:color w:val="231F20"/>
          <w:spacing w:val="1"/>
          <w:sz w:val="22"/>
          <w:szCs w:val="22"/>
        </w:rPr>
        <w:t xml:space="preserve">7.5 </w:t>
      </w:r>
      <w:r>
        <w:rPr>
          <w:rFonts w:ascii="微软雅黑" w:hAnsi="微软雅黑" w:eastAsia="微软雅黑" w:cs="微软雅黑"/>
          <w:color w:val="231F20"/>
          <w:spacing w:val="1"/>
          <w:sz w:val="22"/>
          <w:szCs w:val="22"/>
        </w:rPr>
        <w:t>亿美元 ，此后开始稳步提升，</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年增加</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至 </w:t>
      </w:r>
      <w:r>
        <w:rPr>
          <w:rFonts w:ascii="Times New Roman" w:hAnsi="Times New Roman" w:eastAsia="Times New Roman" w:cs="Times New Roman"/>
          <w:color w:val="231F20"/>
          <w:spacing w:val="-6"/>
          <w:sz w:val="22"/>
          <w:szCs w:val="22"/>
        </w:rPr>
        <w:t xml:space="preserve">184 </w:t>
      </w:r>
      <w:r>
        <w:rPr>
          <w:rFonts w:ascii="微软雅黑" w:hAnsi="微软雅黑" w:eastAsia="微软雅黑" w:cs="微软雅黑"/>
          <w:color w:val="231F20"/>
          <w:spacing w:val="-6"/>
          <w:sz w:val="22"/>
          <w:szCs w:val="22"/>
        </w:rPr>
        <w:t xml:space="preserve">亿美元，  同比增长 </w:t>
      </w:r>
      <w:r>
        <w:rPr>
          <w:rFonts w:ascii="Times New Roman" w:hAnsi="Times New Roman" w:eastAsia="Times New Roman" w:cs="Times New Roman"/>
          <w:color w:val="231F20"/>
          <w:spacing w:val="-6"/>
          <w:sz w:val="22"/>
          <w:szCs w:val="22"/>
        </w:rPr>
        <w:t>16.5%</w:t>
      </w:r>
      <w:r>
        <w:rPr>
          <w:rFonts w:ascii="微软雅黑" w:hAnsi="微软雅黑" w:eastAsia="微软雅黑" w:cs="微软雅黑"/>
          <w:color w:val="231F20"/>
          <w:spacing w:val="-5"/>
          <w:sz w:val="22"/>
          <w:szCs w:val="22"/>
        </w:rPr>
        <w:t>。</w:t>
      </w:r>
    </w:p>
    <w:p>
      <w:pPr>
        <w:spacing w:before="138" w:line="231" w:lineRule="auto"/>
        <w:ind w:left="2651"/>
        <w:rPr>
          <w:rFonts w:ascii="宋体" w:hAnsi="宋体" w:eastAsia="宋体" w:cs="宋体"/>
          <w:sz w:val="17"/>
          <w:szCs w:val="17"/>
        </w:rPr>
      </w:pPr>
      <w:r>
        <w:rPr>
          <w:rFonts w:ascii="宋体" w:hAnsi="宋体" w:eastAsia="宋体" w:cs="宋体"/>
          <w:color w:val="030303"/>
          <w:spacing w:val="7"/>
          <w:sz w:val="17"/>
          <w:szCs w:val="17"/>
        </w:rPr>
        <w:t>亿美元</w:t>
      </w:r>
    </w:p>
    <w:p>
      <w:pPr>
        <w:spacing w:before="150" w:line="186" w:lineRule="auto"/>
        <w:ind w:left="2716"/>
        <w:rPr>
          <w:rFonts w:ascii="Calibri" w:hAnsi="Calibri" w:eastAsia="Calibri" w:cs="Calibri"/>
          <w:sz w:val="17"/>
          <w:szCs w:val="17"/>
        </w:rPr>
      </w:pPr>
      <w:r>
        <w:rPr>
          <w:rFonts w:ascii="Calibri" w:hAnsi="Calibri" w:eastAsia="Calibri" w:cs="Calibri"/>
          <w:color w:val="030303"/>
          <w:spacing w:val="2"/>
          <w:sz w:val="17"/>
          <w:szCs w:val="17"/>
        </w:rPr>
        <w:t>2</w:t>
      </w:r>
      <w:r>
        <w:rPr>
          <w:rFonts w:ascii="Calibri" w:hAnsi="Calibri" w:eastAsia="Calibri" w:cs="Calibri"/>
          <w:color w:val="030303"/>
          <w:spacing w:val="1"/>
          <w:sz w:val="17"/>
          <w:szCs w:val="17"/>
        </w:rPr>
        <w:t>50</w:t>
      </w:r>
      <w:r>
        <w:rPr>
          <w:rFonts w:ascii="Calibri" w:hAnsi="Calibri" w:eastAsia="Calibri" w:cs="Calibri"/>
          <w:strike/>
          <w:color w:val="030303"/>
          <w:sz w:val="17"/>
          <w:szCs w:val="17"/>
        </w:rPr>
        <w:t xml:space="preserve">  </w:t>
      </w:r>
    </w:p>
    <w:p>
      <w:pPr>
        <w:spacing w:line="422" w:lineRule="auto"/>
        <w:rPr>
          <w:rFonts w:ascii="Arial"/>
          <w:sz w:val="21"/>
        </w:rPr>
      </w:pPr>
    </w:p>
    <w:p>
      <w:pPr>
        <w:spacing w:before="51" w:line="186" w:lineRule="auto"/>
        <w:ind w:left="2716"/>
        <w:rPr>
          <w:rFonts w:ascii="Calibri" w:hAnsi="Calibri" w:eastAsia="Calibri" w:cs="Calibri"/>
          <w:sz w:val="17"/>
          <w:szCs w:val="17"/>
        </w:rPr>
      </w:pPr>
      <w:r>
        <w:rPr>
          <w:rFonts w:ascii="Calibri" w:hAnsi="Calibri" w:eastAsia="Calibri" w:cs="Calibri"/>
          <w:color w:val="030303"/>
          <w:spacing w:val="2"/>
          <w:sz w:val="17"/>
          <w:szCs w:val="17"/>
        </w:rPr>
        <w:t>2</w:t>
      </w:r>
      <w:r>
        <w:rPr>
          <w:rFonts w:ascii="Calibri" w:hAnsi="Calibri" w:eastAsia="Calibri" w:cs="Calibri"/>
          <w:color w:val="030303"/>
          <w:spacing w:val="1"/>
          <w:sz w:val="17"/>
          <w:szCs w:val="17"/>
        </w:rPr>
        <w:t>00</w:t>
      </w:r>
      <w:r>
        <w:rPr>
          <w:rFonts w:ascii="Calibri" w:hAnsi="Calibri" w:eastAsia="Calibri" w:cs="Calibri"/>
          <w:strike/>
          <w:color w:val="030303"/>
          <w:sz w:val="17"/>
          <w:szCs w:val="17"/>
        </w:rPr>
        <w:t xml:space="preserve">  </w:t>
      </w:r>
    </w:p>
    <w:p>
      <w:pPr>
        <w:spacing w:line="423" w:lineRule="auto"/>
        <w:rPr>
          <w:rFonts w:ascii="Arial"/>
          <w:sz w:val="21"/>
        </w:rPr>
      </w:pPr>
    </w:p>
    <w:p>
      <w:pPr>
        <w:spacing w:before="52" w:line="186" w:lineRule="auto"/>
        <w:ind w:left="2721"/>
        <w:rPr>
          <w:rFonts w:ascii="Calibri" w:hAnsi="Calibri" w:eastAsia="Calibri" w:cs="Calibri"/>
          <w:sz w:val="17"/>
          <w:szCs w:val="17"/>
        </w:rPr>
      </w:pPr>
      <w:r>
        <w:rPr>
          <w:rFonts w:ascii="Calibri" w:hAnsi="Calibri" w:eastAsia="Calibri" w:cs="Calibri"/>
          <w:color w:val="030303"/>
          <w:spacing w:val="-1"/>
          <w:sz w:val="17"/>
          <w:szCs w:val="17"/>
        </w:rPr>
        <w:t>1</w:t>
      </w:r>
      <w:r>
        <w:rPr>
          <w:rFonts w:ascii="Calibri" w:hAnsi="Calibri" w:eastAsia="Calibri" w:cs="Calibri"/>
          <w:color w:val="030303"/>
          <w:sz w:val="17"/>
          <w:szCs w:val="17"/>
        </w:rPr>
        <w:t>50</w:t>
      </w:r>
      <w:r>
        <w:rPr>
          <w:rFonts w:ascii="Calibri" w:hAnsi="Calibri" w:eastAsia="Calibri" w:cs="Calibri"/>
          <w:strike/>
          <w:color w:val="030303"/>
          <w:sz w:val="17"/>
          <w:szCs w:val="17"/>
        </w:rPr>
        <w:t xml:space="preserve">  </w:t>
      </w:r>
    </w:p>
    <w:p>
      <w:pPr>
        <w:spacing w:line="283" w:lineRule="auto"/>
        <w:rPr>
          <w:rFonts w:ascii="Arial"/>
          <w:sz w:val="21"/>
        </w:rPr>
      </w:pPr>
    </w:p>
    <w:p>
      <w:pPr>
        <w:spacing w:before="70" w:line="132" w:lineRule="exact"/>
        <w:ind w:left="3525"/>
        <w:rPr>
          <w:rFonts w:ascii="微软雅黑" w:hAnsi="微软雅黑" w:eastAsia="微软雅黑" w:cs="微软雅黑"/>
          <w:sz w:val="16"/>
          <w:szCs w:val="16"/>
        </w:rPr>
      </w:pPr>
      <w:r>
        <w:pict>
          <v:shape id="_x0000_s1444" o:spid="_x0000_s1444" o:spt="202" type="#_x0000_t202" style="position:absolute;left:0pt;margin-left:436.75pt;margin-top:4.7pt;height:12.9pt;width:16.95pt;z-index:252116992;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1"/>
                      <w:sz w:val="17"/>
                      <w:szCs w:val="17"/>
                    </w:rPr>
                    <w:t>1</w:t>
                  </w:r>
                  <w:r>
                    <w:rPr>
                      <w:rFonts w:ascii="微软雅黑" w:hAnsi="微软雅黑" w:eastAsia="微软雅黑" w:cs="微软雅黑"/>
                      <w:color w:val="030303"/>
                      <w:sz w:val="17"/>
                      <w:szCs w:val="17"/>
                    </w:rPr>
                    <w:t>84</w:t>
                  </w:r>
                </w:p>
              </w:txbxContent>
            </v:textbox>
          </v:shape>
        </w:pict>
      </w:r>
      <w:r>
        <w:rPr>
          <w:rFonts w:ascii="微软雅黑" w:hAnsi="微软雅黑" w:eastAsia="微软雅黑" w:cs="微软雅黑"/>
          <w:color w:val="030303"/>
          <w:spacing w:val="9"/>
          <w:position w:val="-2"/>
          <w:sz w:val="16"/>
          <w:szCs w:val="16"/>
        </w:rPr>
        <w:t>2</w:t>
      </w:r>
      <w:r>
        <w:rPr>
          <w:rFonts w:ascii="微软雅黑" w:hAnsi="微软雅黑" w:eastAsia="微软雅黑" w:cs="微软雅黑"/>
          <w:color w:val="030303"/>
          <w:spacing w:val="8"/>
          <w:position w:val="-2"/>
          <w:sz w:val="16"/>
          <w:szCs w:val="16"/>
        </w:rPr>
        <w:t>10.4</w:t>
      </w:r>
    </w:p>
    <w:p>
      <w:pPr>
        <w:spacing w:line="162" w:lineRule="auto"/>
        <w:ind w:left="2721"/>
        <w:rPr>
          <w:rFonts w:ascii="Calibri" w:hAnsi="Calibri" w:eastAsia="Calibri" w:cs="Calibri"/>
          <w:sz w:val="16"/>
          <w:szCs w:val="16"/>
        </w:rPr>
      </w:pPr>
      <w:r>
        <w:rPr>
          <w:rFonts w:ascii="Calibri" w:hAnsi="Calibri" w:eastAsia="Calibri" w:cs="Calibri"/>
          <w:color w:val="030303"/>
          <w:spacing w:val="6"/>
          <w:sz w:val="16"/>
          <w:szCs w:val="16"/>
        </w:rPr>
        <w:t>1</w:t>
      </w:r>
      <w:r>
        <w:rPr>
          <w:rFonts w:ascii="Calibri" w:hAnsi="Calibri" w:eastAsia="Calibri" w:cs="Calibri"/>
          <w:color w:val="030303"/>
          <w:spacing w:val="4"/>
          <w:sz w:val="16"/>
          <w:szCs w:val="16"/>
        </w:rPr>
        <w:t>00</w:t>
      </w:r>
      <w:r>
        <w:rPr>
          <w:rFonts w:ascii="Calibri" w:hAnsi="Calibri" w:eastAsia="Calibri" w:cs="Calibri"/>
          <w:strike/>
          <w:color w:val="030303"/>
          <w:sz w:val="16"/>
          <w:szCs w:val="16"/>
        </w:rPr>
        <w:t xml:space="preserve">  </w:t>
      </w:r>
    </w:p>
    <w:p>
      <w:pPr>
        <w:spacing w:line="144" w:lineRule="exact"/>
        <w:ind w:left="7412"/>
        <w:rPr>
          <w:rFonts w:ascii="微软雅黑" w:hAnsi="微软雅黑" w:eastAsia="微软雅黑" w:cs="微软雅黑"/>
          <w:sz w:val="17"/>
          <w:szCs w:val="17"/>
        </w:rPr>
      </w:pPr>
      <w:r>
        <w:rPr>
          <w:rFonts w:ascii="微软雅黑" w:hAnsi="微软雅黑" w:eastAsia="微软雅黑" w:cs="微软雅黑"/>
          <w:color w:val="030303"/>
          <w:spacing w:val="2"/>
          <w:position w:val="-2"/>
          <w:sz w:val="17"/>
          <w:szCs w:val="17"/>
        </w:rPr>
        <w:t>15</w:t>
      </w:r>
      <w:r>
        <w:rPr>
          <w:rFonts w:ascii="微软雅黑" w:hAnsi="微软雅黑" w:eastAsia="微软雅黑" w:cs="微软雅黑"/>
          <w:color w:val="030303"/>
          <w:spacing w:val="1"/>
          <w:position w:val="-2"/>
          <w:sz w:val="17"/>
          <w:szCs w:val="17"/>
        </w:rPr>
        <w:t>7.9</w:t>
      </w:r>
    </w:p>
    <w:p>
      <w:pPr>
        <w:spacing w:line="178" w:lineRule="auto"/>
        <w:ind w:left="6098"/>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14</w:t>
      </w:r>
      <w:r>
        <w:rPr>
          <w:rFonts w:ascii="微软雅黑" w:hAnsi="微软雅黑" w:eastAsia="微软雅黑" w:cs="微软雅黑"/>
          <w:color w:val="030303"/>
          <w:spacing w:val="1"/>
          <w:sz w:val="17"/>
          <w:szCs w:val="17"/>
        </w:rPr>
        <w:t>7.3</w:t>
      </w:r>
    </w:p>
    <w:p>
      <w:pPr>
        <w:spacing w:before="39" w:line="179" w:lineRule="auto"/>
        <w:ind w:left="4828"/>
        <w:rPr>
          <w:rFonts w:ascii="微软雅黑" w:hAnsi="微软雅黑" w:eastAsia="微软雅黑" w:cs="微软雅黑"/>
          <w:sz w:val="17"/>
          <w:szCs w:val="17"/>
        </w:rPr>
      </w:pPr>
      <w:r>
        <w:pict>
          <v:shape id="_x0000_s1445" o:spid="_x0000_s1445" o:spt="202" type="#_x0000_t202" style="position:absolute;left:0pt;margin-left:139.25pt;margin-top:5.8pt;height:10.05pt;width:14.8pt;z-index:252120064;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z w:val="17"/>
                      <w:szCs w:val="17"/>
                    </w:rPr>
                    <w:t>50</w:t>
                  </w:r>
                  <w:r>
                    <w:rPr>
                      <w:rFonts w:ascii="Calibri" w:hAnsi="Calibri" w:eastAsia="Calibri" w:cs="Calibri"/>
                      <w:strike/>
                      <w:color w:val="030303"/>
                      <w:sz w:val="17"/>
                      <w:szCs w:val="17"/>
                    </w:rPr>
                    <w:t xml:space="preserve">  </w:t>
                  </w:r>
                </w:p>
              </w:txbxContent>
            </v:textbox>
          </v:shape>
        </w:pict>
      </w:r>
      <w:r>
        <w:rPr>
          <w:rFonts w:ascii="微软雅黑" w:hAnsi="微软雅黑" w:eastAsia="微软雅黑" w:cs="微软雅黑"/>
          <w:color w:val="030303"/>
          <w:spacing w:val="2"/>
          <w:sz w:val="17"/>
          <w:szCs w:val="17"/>
        </w:rPr>
        <w:t>11</w:t>
      </w:r>
      <w:r>
        <w:rPr>
          <w:rFonts w:ascii="微软雅黑" w:hAnsi="微软雅黑" w:eastAsia="微软雅黑" w:cs="微软雅黑"/>
          <w:color w:val="030303"/>
          <w:spacing w:val="1"/>
          <w:sz w:val="17"/>
          <w:szCs w:val="17"/>
        </w:rPr>
        <w:t>7.5</w:t>
      </w:r>
    </w:p>
    <w:p>
      <w:pPr>
        <w:spacing w:line="464" w:lineRule="auto"/>
        <w:rPr>
          <w:rFonts w:ascii="Arial"/>
          <w:sz w:val="21"/>
        </w:rPr>
      </w:pPr>
    </w:p>
    <w:p>
      <w:pPr>
        <w:spacing w:before="52" w:line="186" w:lineRule="auto"/>
        <w:ind w:left="2894"/>
        <w:rPr>
          <w:rFonts w:ascii="Calibri" w:hAnsi="Calibri" w:eastAsia="Calibri" w:cs="Calibri"/>
          <w:sz w:val="17"/>
          <w:szCs w:val="17"/>
        </w:rPr>
      </w:pPr>
      <w:r>
        <w:rPr>
          <w:rFonts w:ascii="Calibri" w:hAnsi="Calibri" w:eastAsia="Calibri" w:cs="Calibri"/>
          <w:color w:val="030303"/>
          <w:sz w:val="17"/>
          <w:szCs w:val="17"/>
        </w:rPr>
        <w:t>0</w:t>
      </w:r>
    </w:p>
    <w:p>
      <w:pPr>
        <w:spacing w:before="66" w:line="186" w:lineRule="auto"/>
        <w:ind w:left="3567"/>
        <w:rPr>
          <w:rFonts w:ascii="Calibri" w:hAnsi="Calibri" w:eastAsia="Calibri" w:cs="Calibri"/>
          <w:sz w:val="17"/>
          <w:szCs w:val="17"/>
        </w:rPr>
      </w:pPr>
      <w:r>
        <w:rPr>
          <w:rFonts w:ascii="Calibri" w:hAnsi="Calibri" w:eastAsia="Calibri" w:cs="Calibri"/>
          <w:color w:val="030303"/>
          <w:spacing w:val="1"/>
          <w:sz w:val="17"/>
          <w:szCs w:val="17"/>
        </w:rPr>
        <w:t>2017                        2018                        2019                        2020</w:t>
      </w:r>
      <w:r>
        <w:rPr>
          <w:rFonts w:ascii="Calibri" w:hAnsi="Calibri" w:eastAsia="Calibri" w:cs="Calibri"/>
          <w:color w:val="030303"/>
          <w:sz w:val="17"/>
          <w:szCs w:val="17"/>
        </w:rPr>
        <w:t xml:space="preserve">                        2021</w:t>
      </w:r>
    </w:p>
    <w:p>
      <w:pPr>
        <w:spacing w:before="294" w:line="382" w:lineRule="exact"/>
        <w:ind w:left="3871"/>
        <w:rPr>
          <w:rFonts w:ascii="SimHei" w:hAnsi="SimHei" w:eastAsia="SimHei" w:cs="SimHei"/>
          <w:sz w:val="20"/>
          <w:szCs w:val="20"/>
        </w:rPr>
      </w:pPr>
      <w:r>
        <w:rPr>
          <w:rFonts w:ascii="SimHei" w:hAnsi="SimHei" w:eastAsia="SimHei" w:cs="SimHei"/>
          <w:color w:val="231F20"/>
          <w:spacing w:val="2"/>
          <w:position w:val="13"/>
          <w:sz w:val="20"/>
          <w:szCs w:val="20"/>
        </w:rPr>
        <w:t xml:space="preserve">图 </w:t>
      </w:r>
      <w:r>
        <w:rPr>
          <w:rFonts w:ascii="Times New Roman" w:hAnsi="Times New Roman" w:eastAsia="Times New Roman" w:cs="Times New Roman"/>
          <w:color w:val="231F20"/>
          <w:spacing w:val="2"/>
          <w:position w:val="13"/>
          <w:sz w:val="20"/>
          <w:szCs w:val="20"/>
        </w:rPr>
        <w:t xml:space="preserve">2- 17 </w:t>
      </w:r>
      <w:r>
        <w:rPr>
          <w:rFonts w:ascii="Times New Roman" w:hAnsi="Times New Roman" w:eastAsia="Times New Roman" w:cs="Times New Roman"/>
          <w:color w:val="231F20"/>
          <w:spacing w:val="1"/>
          <w:position w:val="13"/>
          <w:sz w:val="20"/>
          <w:szCs w:val="20"/>
        </w:rPr>
        <w:t xml:space="preserve">2017-2021 </w:t>
      </w:r>
      <w:r>
        <w:rPr>
          <w:rFonts w:ascii="SimHei" w:hAnsi="SimHei" w:eastAsia="SimHei" w:cs="SimHei"/>
          <w:color w:val="231F20"/>
          <w:spacing w:val="1"/>
          <w:position w:val="13"/>
          <w:sz w:val="20"/>
          <w:szCs w:val="20"/>
        </w:rPr>
        <w:t>年信息服务业实际使用外资情况</w:t>
      </w:r>
    </w:p>
    <w:p>
      <w:pPr>
        <w:spacing w:line="222" w:lineRule="auto"/>
        <w:ind w:left="1987"/>
        <w:rPr>
          <w:rFonts w:ascii="KaiTi" w:hAnsi="KaiTi" w:eastAsia="KaiTi" w:cs="KaiTi"/>
          <w:sz w:val="17"/>
          <w:szCs w:val="17"/>
        </w:rPr>
      </w:pPr>
      <w:r>
        <w:rPr>
          <w:rFonts w:ascii="KaiTi" w:hAnsi="KaiTi" w:eastAsia="KaiTi" w:cs="KaiTi"/>
          <w:color w:val="231F20"/>
          <w:spacing w:val="6"/>
          <w:sz w:val="17"/>
          <w:szCs w:val="17"/>
        </w:rPr>
        <w:t>数据来源：商务部外资统计。</w:t>
      </w:r>
    </w:p>
    <w:p>
      <w:pPr>
        <w:spacing w:line="283" w:lineRule="auto"/>
        <w:rPr>
          <w:rFonts w:ascii="Arial"/>
          <w:sz w:val="21"/>
        </w:rPr>
      </w:pPr>
    </w:p>
    <w:p>
      <w:pPr>
        <w:spacing w:before="95" w:line="266" w:lineRule="auto"/>
        <w:ind w:left="1992" w:right="1984" w:firstLine="450"/>
        <w:rPr>
          <w:rFonts w:ascii="微软雅黑" w:hAnsi="微软雅黑" w:eastAsia="微软雅黑" w:cs="微软雅黑"/>
          <w:sz w:val="22"/>
          <w:szCs w:val="22"/>
        </w:rPr>
      </w:pPr>
      <w:r>
        <w:rPr>
          <w:rFonts w:ascii="SimHei" w:hAnsi="SimHei" w:eastAsia="SimHei" w:cs="SimHei"/>
          <w:color w:val="231F20"/>
          <w:spacing w:val="6"/>
          <w:sz w:val="22"/>
          <w:szCs w:val="22"/>
        </w:rPr>
        <w:t>研发设计与其他</w:t>
      </w:r>
      <w:r>
        <w:rPr>
          <w:rFonts w:ascii="SimHei" w:hAnsi="SimHei" w:eastAsia="SimHei" w:cs="SimHei"/>
          <w:color w:val="231F20"/>
          <w:spacing w:val="3"/>
          <w:sz w:val="22"/>
          <w:szCs w:val="22"/>
        </w:rPr>
        <w:t>技术服务业实际使用外资规模快速攀升。</w:t>
      </w:r>
      <w:r>
        <w:rPr>
          <w:rFonts w:ascii="Times New Roman" w:hAnsi="Times New Roman" w:eastAsia="Times New Roman" w:cs="Times New Roman"/>
          <w:color w:val="231F20"/>
          <w:spacing w:val="3"/>
          <w:sz w:val="22"/>
          <w:szCs w:val="22"/>
        </w:rPr>
        <w:t xml:space="preserve">2017-2021 </w:t>
      </w:r>
      <w:r>
        <w:rPr>
          <w:rFonts w:ascii="微软雅黑" w:hAnsi="微软雅黑" w:eastAsia="微软雅黑" w:cs="微软雅黑"/>
          <w:color w:val="231F20"/>
          <w:spacing w:val="3"/>
          <w:sz w:val="22"/>
          <w:szCs w:val="22"/>
        </w:rPr>
        <w:t>年 ，研发设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计与</w:t>
      </w:r>
      <w:r>
        <w:rPr>
          <w:rFonts w:ascii="微软雅黑" w:hAnsi="微软雅黑" w:eastAsia="微软雅黑" w:cs="微软雅黑"/>
          <w:color w:val="231F20"/>
          <w:spacing w:val="3"/>
          <w:sz w:val="22"/>
          <w:szCs w:val="22"/>
        </w:rPr>
        <w:t>其</w:t>
      </w:r>
      <w:r>
        <w:rPr>
          <w:rFonts w:ascii="微软雅黑" w:hAnsi="微软雅黑" w:eastAsia="微软雅黑" w:cs="微软雅黑"/>
          <w:color w:val="231F20"/>
          <w:spacing w:val="2"/>
          <w:sz w:val="22"/>
          <w:szCs w:val="22"/>
        </w:rPr>
        <w:t xml:space="preserve">他技术服务实际使用外资金额呈现高速增长态势 ，从 </w:t>
      </w:r>
      <w:r>
        <w:rPr>
          <w:rFonts w:ascii="Times New Roman" w:hAnsi="Times New Roman" w:eastAsia="Times New Roman" w:cs="Times New Roman"/>
          <w:color w:val="231F20"/>
          <w:spacing w:val="2"/>
          <w:sz w:val="22"/>
          <w:szCs w:val="22"/>
        </w:rPr>
        <w:t xml:space="preserve">2017 </w:t>
      </w:r>
      <w:r>
        <w:rPr>
          <w:rFonts w:ascii="微软雅黑" w:hAnsi="微软雅黑" w:eastAsia="微软雅黑" w:cs="微软雅黑"/>
          <w:color w:val="231F20"/>
          <w:spacing w:val="2"/>
          <w:sz w:val="22"/>
          <w:szCs w:val="22"/>
        </w:rPr>
        <w:t xml:space="preserve">年的 </w:t>
      </w:r>
      <w:r>
        <w:rPr>
          <w:rFonts w:ascii="Times New Roman" w:hAnsi="Times New Roman" w:eastAsia="Times New Roman" w:cs="Times New Roman"/>
          <w:color w:val="231F20"/>
          <w:spacing w:val="2"/>
          <w:sz w:val="22"/>
          <w:szCs w:val="22"/>
        </w:rPr>
        <w:t xml:space="preserve">46.3 </w:t>
      </w:r>
      <w:r>
        <w:rPr>
          <w:rFonts w:ascii="微软雅黑" w:hAnsi="微软雅黑" w:eastAsia="微软雅黑" w:cs="微软雅黑"/>
          <w:color w:val="231F20"/>
          <w:spacing w:val="2"/>
          <w:sz w:val="22"/>
          <w:szCs w:val="22"/>
        </w:rPr>
        <w:t>亿美元增</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长至 </w:t>
      </w:r>
      <w:r>
        <w:rPr>
          <w:rFonts w:ascii="Times New Roman" w:hAnsi="Times New Roman" w:eastAsia="Times New Roman" w:cs="Times New Roman"/>
          <w:color w:val="231F20"/>
          <w:spacing w:val="-3"/>
          <w:sz w:val="22"/>
          <w:szCs w:val="22"/>
        </w:rPr>
        <w:t>2</w:t>
      </w:r>
      <w:r>
        <w:rPr>
          <w:rFonts w:ascii="Times New Roman" w:hAnsi="Times New Roman" w:eastAsia="Times New Roman" w:cs="Times New Roman"/>
          <w:color w:val="231F20"/>
          <w:spacing w:val="-2"/>
          <w:sz w:val="22"/>
          <w:szCs w:val="22"/>
        </w:rPr>
        <w:t xml:space="preserve">021 </w:t>
      </w:r>
      <w:r>
        <w:rPr>
          <w:rFonts w:ascii="微软雅黑" w:hAnsi="微软雅黑" w:eastAsia="微软雅黑" w:cs="微软雅黑"/>
          <w:color w:val="231F20"/>
          <w:spacing w:val="-2"/>
          <w:sz w:val="22"/>
          <w:szCs w:val="22"/>
        </w:rPr>
        <w:t xml:space="preserve">年的 </w:t>
      </w:r>
      <w:r>
        <w:rPr>
          <w:rFonts w:ascii="Times New Roman" w:hAnsi="Times New Roman" w:eastAsia="Times New Roman" w:cs="Times New Roman"/>
          <w:color w:val="231F20"/>
          <w:spacing w:val="-2"/>
          <w:sz w:val="22"/>
          <w:szCs w:val="22"/>
        </w:rPr>
        <w:t xml:space="preserve">205.6 </w:t>
      </w:r>
      <w:r>
        <w:rPr>
          <w:rFonts w:ascii="微软雅黑" w:hAnsi="微软雅黑" w:eastAsia="微软雅黑" w:cs="微软雅黑"/>
          <w:color w:val="231F20"/>
          <w:spacing w:val="-2"/>
          <w:sz w:val="22"/>
          <w:szCs w:val="22"/>
        </w:rPr>
        <w:t xml:space="preserve">亿美元 ，年均增速达到 </w:t>
      </w:r>
      <w:r>
        <w:rPr>
          <w:rFonts w:ascii="Times New Roman" w:hAnsi="Times New Roman" w:eastAsia="Times New Roman" w:cs="Times New Roman"/>
          <w:color w:val="231F20"/>
          <w:spacing w:val="-2"/>
          <w:sz w:val="22"/>
          <w:szCs w:val="22"/>
        </w:rPr>
        <w:t>45.2%</w:t>
      </w:r>
      <w:r>
        <w:rPr>
          <w:rFonts w:ascii="微软雅黑" w:hAnsi="微软雅黑" w:eastAsia="微软雅黑" w:cs="微软雅黑"/>
          <w:color w:val="231F20"/>
          <w:spacing w:val="-2"/>
          <w:sz w:val="22"/>
          <w:szCs w:val="22"/>
        </w:rPr>
        <w:t>。</w:t>
      </w:r>
    </w:p>
    <w:p>
      <w:pPr>
        <w:spacing w:before="131" w:line="231" w:lineRule="auto"/>
        <w:ind w:left="2608"/>
        <w:rPr>
          <w:rFonts w:ascii="宋体" w:hAnsi="宋体" w:eastAsia="宋体" w:cs="宋体"/>
          <w:sz w:val="17"/>
          <w:szCs w:val="17"/>
        </w:rPr>
      </w:pPr>
      <w:r>
        <w:rPr>
          <w:rFonts w:ascii="宋体" w:hAnsi="宋体" w:eastAsia="宋体" w:cs="宋体"/>
          <w:color w:val="030303"/>
          <w:spacing w:val="7"/>
          <w:sz w:val="17"/>
          <w:szCs w:val="17"/>
        </w:rPr>
        <w:t>亿美元</w:t>
      </w:r>
    </w:p>
    <w:p>
      <w:pPr>
        <w:spacing w:before="190" w:line="186" w:lineRule="auto"/>
        <w:ind w:left="2625"/>
        <w:rPr>
          <w:rFonts w:ascii="Calibri" w:hAnsi="Calibri" w:eastAsia="Calibri" w:cs="Calibri"/>
          <w:sz w:val="17"/>
          <w:szCs w:val="17"/>
        </w:rPr>
      </w:pPr>
      <w:r>
        <w:rPr>
          <w:rFonts w:ascii="Calibri" w:hAnsi="Calibri" w:eastAsia="Calibri" w:cs="Calibri"/>
          <w:color w:val="030303"/>
          <w:spacing w:val="2"/>
          <w:sz w:val="17"/>
          <w:szCs w:val="17"/>
        </w:rPr>
        <w:t>2</w:t>
      </w:r>
      <w:r>
        <w:rPr>
          <w:rFonts w:ascii="Calibri" w:hAnsi="Calibri" w:eastAsia="Calibri" w:cs="Calibri"/>
          <w:color w:val="030303"/>
          <w:spacing w:val="1"/>
          <w:sz w:val="17"/>
          <w:szCs w:val="17"/>
        </w:rPr>
        <w:t>50</w:t>
      </w:r>
      <w:r>
        <w:rPr>
          <w:rFonts w:ascii="Calibri" w:hAnsi="Calibri" w:eastAsia="Calibri" w:cs="Calibri"/>
          <w:strike/>
          <w:color w:val="030303"/>
          <w:sz w:val="17"/>
          <w:szCs w:val="17"/>
        </w:rPr>
        <w:t xml:space="preserve">  </w:t>
      </w:r>
    </w:p>
    <w:p>
      <w:pPr>
        <w:spacing w:line="400" w:lineRule="auto"/>
        <w:rPr>
          <w:rFonts w:ascii="Arial"/>
          <w:sz w:val="21"/>
        </w:rPr>
      </w:pPr>
    </w:p>
    <w:p>
      <w:pPr>
        <w:spacing w:before="1" w:line="115" w:lineRule="exact"/>
        <w:ind w:firstLine="8738"/>
        <w:textAlignment w:val="center"/>
      </w:pPr>
      <w:r>
        <w:pict>
          <v:shape id="_x0000_s1446" o:spid="_x0000_s1446" style="height:5.8pt;width:5.8pt;" filled="f" stroked="t" coordsize="116,116" path="m7,57c7,29,29,7,57,7c85,7,107,29,107,57c107,85,85,107,57,107c29,107,7,85,7,57e">
            <v:fill on="f" focussize="0,0"/>
            <v:stroke color="#4E7DB1" miterlimit="10"/>
            <v:imagedata o:title=""/>
            <o:lock v:ext="edit"/>
            <w10:wrap type="none"/>
            <w10:anchorlock/>
          </v:shape>
        </w:pict>
      </w:r>
    </w:p>
    <w:p>
      <w:pPr>
        <w:spacing w:before="22" w:line="178" w:lineRule="auto"/>
        <w:ind w:left="8634"/>
        <w:rPr>
          <w:rFonts w:ascii="微软雅黑" w:hAnsi="微软雅黑" w:eastAsia="微软雅黑" w:cs="微软雅黑"/>
          <w:sz w:val="17"/>
          <w:szCs w:val="17"/>
        </w:rPr>
      </w:pPr>
      <w:r>
        <w:pict>
          <v:shape id="_x0000_s1447" o:spid="_x0000_s1447" o:spt="202" type="#_x0000_t202" style="position:absolute;left:0pt;margin-left:130.25pt;margin-top:-3.05pt;height:10.05pt;width:19.3pt;z-index:252118016;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2"/>
                      <w:sz w:val="17"/>
                      <w:szCs w:val="17"/>
                    </w:rPr>
                    <w:t>2</w:t>
                  </w:r>
                  <w:r>
                    <w:rPr>
                      <w:rFonts w:ascii="Calibri" w:hAnsi="Calibri" w:eastAsia="Calibri" w:cs="Calibri"/>
                      <w:color w:val="030303"/>
                      <w:spacing w:val="1"/>
                      <w:sz w:val="17"/>
                      <w:szCs w:val="17"/>
                    </w:rPr>
                    <w:t>00</w:t>
                  </w:r>
                  <w:r>
                    <w:rPr>
                      <w:rFonts w:ascii="Calibri" w:hAnsi="Calibri" w:eastAsia="Calibri" w:cs="Calibri"/>
                      <w:strike/>
                      <w:color w:val="030303"/>
                      <w:sz w:val="17"/>
                      <w:szCs w:val="17"/>
                    </w:rPr>
                    <w:t xml:space="preserve">  </w:t>
                  </w:r>
                </w:p>
              </w:txbxContent>
            </v:textbox>
          </v:shape>
        </w:pict>
      </w:r>
      <w:r>
        <w:pict>
          <v:group id="_x0000_s1448" o:spid="_x0000_s1448" o:spt="203" style="position:absolute;left:0pt;margin-left:372.55pt;margin-top:-4pt;height:29.2pt;width:68.35pt;z-index:-251212800;mso-width-relative:page;mso-height-relative:page;" coordsize="1366,584">
            <o:lock v:ext="edit"/>
            <v:shape id="_x0000_s1449" o:spid="_x0000_s1449" style="position:absolute;left:35;top:0;height:547;width:1331;" filled="f" stroked="t" coordsize="1331,547" path="m22,525l1309,22e">
              <v:fill on="f" focussize="0,0"/>
              <v:stroke weight="2.25pt" color="#4E7DB1" miterlimit="10" endcap="round"/>
              <v:imagedata o:title=""/>
              <o:lock v:ext="edit"/>
            </v:shape>
            <v:shape id="_x0000_s1450" o:spid="_x0000_s1450" style="position:absolute;left:0;top:467;height:116;width:116;" filled="f" stroked="t" coordsize="116,116" path="m7,57c7,29,29,7,57,7c85,7,107,29,107,57c107,85,85,107,57,107c29,107,7,85,7,57e">
              <v:fill on="f" focussize="0,0"/>
              <v:stroke color="#4E7DB1" miterlimit="10"/>
              <v:imagedata o:title=""/>
              <o:lock v:ext="edit"/>
            </v:shape>
          </v:group>
        </w:pict>
      </w:r>
      <w:r>
        <w:rPr>
          <w:rFonts w:ascii="微软雅黑" w:hAnsi="微软雅黑" w:eastAsia="微软雅黑" w:cs="微软雅黑"/>
          <w:color w:val="030303"/>
          <w:spacing w:val="3"/>
          <w:sz w:val="17"/>
          <w:szCs w:val="17"/>
        </w:rPr>
        <w:t>205.6</w:t>
      </w:r>
    </w:p>
    <w:p>
      <w:pPr>
        <w:spacing w:line="304" w:lineRule="auto"/>
        <w:rPr>
          <w:rFonts w:ascii="Arial"/>
          <w:sz w:val="21"/>
        </w:rPr>
      </w:pPr>
    </w:p>
    <w:p>
      <w:pPr>
        <w:spacing w:before="53" w:line="186" w:lineRule="auto"/>
        <w:ind w:left="2630"/>
        <w:rPr>
          <w:rFonts w:ascii="Calibri" w:hAnsi="Calibri" w:eastAsia="Calibri" w:cs="Calibri"/>
          <w:sz w:val="17"/>
          <w:szCs w:val="17"/>
        </w:rPr>
      </w:pPr>
      <w:r>
        <w:pict>
          <v:shape id="_x0000_s1451" o:spid="_x0000_s1451" o:spt="202" type="#_x0000_t202" style="position:absolute;left:0pt;margin-left:369.45pt;margin-top:-1.95pt;height:12.9pt;width:24.4pt;z-index:25211596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16</w:t>
                  </w:r>
                  <w:r>
                    <w:rPr>
                      <w:rFonts w:ascii="微软雅黑" w:hAnsi="微软雅黑" w:eastAsia="微软雅黑" w:cs="微软雅黑"/>
                      <w:color w:val="030303"/>
                      <w:spacing w:val="1"/>
                      <w:sz w:val="17"/>
                      <w:szCs w:val="17"/>
                    </w:rPr>
                    <w:t>6.2</w:t>
                  </w:r>
                </w:p>
              </w:txbxContent>
            </v:textbox>
          </v:shape>
        </w:pict>
      </w:r>
      <w:r>
        <w:rPr>
          <w:rFonts w:ascii="Calibri" w:hAnsi="Calibri" w:eastAsia="Calibri" w:cs="Calibri"/>
          <w:color w:val="030303"/>
          <w:spacing w:val="-1"/>
          <w:sz w:val="17"/>
          <w:szCs w:val="17"/>
        </w:rPr>
        <w:t>1</w:t>
      </w:r>
      <w:r>
        <w:rPr>
          <w:rFonts w:ascii="Calibri" w:hAnsi="Calibri" w:eastAsia="Calibri" w:cs="Calibri"/>
          <w:color w:val="030303"/>
          <w:sz w:val="17"/>
          <w:szCs w:val="17"/>
        </w:rPr>
        <w:t>50</w:t>
      </w:r>
      <w:r>
        <w:rPr>
          <w:rFonts w:ascii="Calibri" w:hAnsi="Calibri" w:eastAsia="Calibri" w:cs="Calibri"/>
          <w:strike/>
          <w:color w:val="030303"/>
          <w:sz w:val="17"/>
          <w:szCs w:val="17"/>
        </w:rPr>
        <w:t xml:space="preserve">  </w:t>
      </w:r>
    </w:p>
    <w:p>
      <w:pPr>
        <w:spacing w:line="444" w:lineRule="auto"/>
        <w:rPr>
          <w:rFonts w:ascii="Arial"/>
          <w:sz w:val="21"/>
        </w:rPr>
      </w:pPr>
    </w:p>
    <w:p>
      <w:pPr>
        <w:spacing w:before="73" w:line="179" w:lineRule="auto"/>
        <w:ind w:left="6069"/>
        <w:rPr>
          <w:rFonts w:ascii="微软雅黑" w:hAnsi="微软雅黑" w:eastAsia="微软雅黑" w:cs="微软雅黑"/>
          <w:sz w:val="17"/>
          <w:szCs w:val="17"/>
        </w:rPr>
      </w:pPr>
      <w:r>
        <w:pict>
          <v:rect id="_x0000_s1452" o:spid="_x0000_s1452" o:spt="1" style="position:absolute;left:0pt;margin-left:150.25pt;margin-top:3.9pt;height:0.75pt;width:321.7pt;z-index:-251216896;mso-width-relative:page;mso-height-relative:page;" fillcolor="#CEE6ED" filled="t" stroked="f" coordsize="21600,21600">
            <v:path/>
            <v:fill on="t" focussize="0,0"/>
            <v:stroke on="f"/>
            <v:imagedata o:title=""/>
            <o:lock v:ext="edit"/>
          </v:rect>
        </w:pict>
      </w:r>
      <w:r>
        <w:pict>
          <v:shape id="_x0000_s1453" o:spid="_x0000_s1453" o:spt="202" type="#_x0000_t202" style="position:absolute;left:0pt;margin-left:130.5pt;margin-top:0.5pt;height:10.05pt;width:19.05pt;z-index:252119040;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Calibri" w:hAnsi="Calibri" w:eastAsia="Calibri" w:cs="Calibri"/>
                      <w:sz w:val="17"/>
                      <w:szCs w:val="17"/>
                    </w:rPr>
                  </w:pPr>
                  <w:r>
                    <w:rPr>
                      <w:rFonts w:ascii="Calibri" w:hAnsi="Calibri" w:eastAsia="Calibri" w:cs="Calibri"/>
                      <w:color w:val="030303"/>
                      <w:spacing w:val="-1"/>
                      <w:sz w:val="17"/>
                      <w:szCs w:val="17"/>
                    </w:rPr>
                    <w:t>1</w:t>
                  </w:r>
                  <w:r>
                    <w:rPr>
                      <w:rFonts w:ascii="Calibri" w:hAnsi="Calibri" w:eastAsia="Calibri" w:cs="Calibri"/>
                      <w:color w:val="030303"/>
                      <w:sz w:val="17"/>
                      <w:szCs w:val="17"/>
                    </w:rPr>
                    <w:t>00</w:t>
                  </w:r>
                  <w:r>
                    <w:rPr>
                      <w:rFonts w:ascii="Calibri" w:hAnsi="Calibri" w:eastAsia="Calibri" w:cs="Calibri"/>
                      <w:strike/>
                      <w:color w:val="030303"/>
                      <w:sz w:val="17"/>
                      <w:szCs w:val="17"/>
                    </w:rPr>
                    <w:t xml:space="preserve">  </w:t>
                  </w:r>
                </w:p>
              </w:txbxContent>
            </v:textbox>
          </v:shape>
        </w:pict>
      </w:r>
      <w:r>
        <w:pict>
          <v:shape id="_x0000_s1454" o:spid="_x0000_s1454" style="position:absolute;left:0pt;margin-left:181.3pt;margin-top:-1.85pt;height:41.6pt;width:130.95pt;z-index:-251215872;mso-width-relative:page;mso-height-relative:page;" filled="f" stroked="t" coordsize="2618,831" path="m22,808l1309,634m1309,634l2596,22e">
            <v:fill on="f" focussize="0,0"/>
            <v:stroke weight="2.25pt" color="#4E7DB1" miterlimit="10" endcap="round"/>
            <v:imagedata o:title=""/>
            <o:lock v:ext="edit"/>
          </v:shape>
        </w:pict>
      </w:r>
      <w:r>
        <w:rPr>
          <w:rFonts w:ascii="微软雅黑" w:hAnsi="微软雅黑" w:eastAsia="微软雅黑" w:cs="微软雅黑"/>
          <w:color w:val="030303"/>
          <w:spacing w:val="2"/>
          <w:sz w:val="17"/>
          <w:szCs w:val="17"/>
        </w:rPr>
        <w:t>10</w:t>
      </w:r>
      <w:r>
        <w:rPr>
          <w:rFonts w:ascii="微软雅黑" w:hAnsi="微软雅黑" w:eastAsia="微软雅黑" w:cs="微软雅黑"/>
          <w:color w:val="030303"/>
          <w:spacing w:val="1"/>
          <w:sz w:val="17"/>
          <w:szCs w:val="17"/>
        </w:rPr>
        <w:t>7.9</w:t>
      </w:r>
    </w:p>
    <w:p>
      <w:pPr>
        <w:spacing w:line="246" w:lineRule="auto"/>
        <w:rPr>
          <w:rFonts w:ascii="Arial"/>
          <w:sz w:val="21"/>
        </w:rPr>
      </w:pPr>
    </w:p>
    <w:p>
      <w:pPr>
        <w:spacing w:before="1" w:line="115" w:lineRule="exact"/>
        <w:ind w:firstLine="4877"/>
        <w:textAlignment w:val="center"/>
      </w:pPr>
      <w:r>
        <w:pict>
          <v:shape id="_x0000_s1455" o:spid="_x0000_s1455" style="height:5.8pt;width:5.8pt;" filled="f" stroked="t" coordsize="116,116" path="m7,57c7,29,29,7,57,7c85,7,107,29,107,57c107,85,85,107,57,107c29,107,7,85,7,57e">
            <v:fill on="f" focussize="0,0"/>
            <v:stroke color="#4E7DB1" miterlimit="10"/>
            <v:imagedata o:title=""/>
            <o:lock v:ext="edit"/>
            <w10:wrap type="none"/>
            <w10:anchorlock/>
          </v:shape>
        </w:pict>
      </w:r>
    </w:p>
    <w:p>
      <w:pPr>
        <w:spacing w:before="15" w:line="186" w:lineRule="auto"/>
        <w:ind w:left="2714"/>
        <w:rPr>
          <w:rFonts w:ascii="Calibri" w:hAnsi="Calibri" w:eastAsia="Calibri" w:cs="Calibri"/>
          <w:sz w:val="17"/>
          <w:szCs w:val="17"/>
        </w:rPr>
      </w:pPr>
      <w:r>
        <w:pict>
          <v:shape id="_x0000_s1456" o:spid="_x0000_s1456" o:spt="202" type="#_x0000_t202" style="position:absolute;left:0pt;margin-left:242.1pt;margin-top:-0.3pt;height:12.85pt;width:12.05pt;z-index:252121088;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17"/>
                      <w:szCs w:val="17"/>
                    </w:rPr>
                  </w:pPr>
                  <w:r>
                    <w:rPr>
                      <w:rFonts w:ascii="微软雅黑" w:hAnsi="微软雅黑" w:eastAsia="微软雅黑" w:cs="微软雅黑"/>
                      <w:color w:val="030303"/>
                      <w:spacing w:val="1"/>
                      <w:sz w:val="17"/>
                      <w:szCs w:val="17"/>
                    </w:rPr>
                    <w:t>6</w:t>
                  </w:r>
                  <w:r>
                    <w:rPr>
                      <w:rFonts w:ascii="微软雅黑" w:hAnsi="微软雅黑" w:eastAsia="微软雅黑" w:cs="微软雅黑"/>
                      <w:color w:val="030303"/>
                      <w:sz w:val="17"/>
                      <w:szCs w:val="17"/>
                    </w:rPr>
                    <w:t>0</w:t>
                  </w:r>
                </w:p>
              </w:txbxContent>
            </v:textbox>
          </v:shape>
        </w:pict>
      </w:r>
      <w:r>
        <w:rPr>
          <w:rFonts w:ascii="Calibri" w:hAnsi="Calibri" w:eastAsia="Calibri" w:cs="Calibri"/>
          <w:color w:val="030303"/>
          <w:sz w:val="17"/>
          <w:szCs w:val="17"/>
        </w:rPr>
        <w:t>50</w:t>
      </w:r>
      <w:r>
        <w:rPr>
          <w:rFonts w:ascii="Calibri" w:hAnsi="Calibri" w:eastAsia="Calibri" w:cs="Calibri"/>
          <w:strike/>
          <w:color w:val="030303"/>
          <w:sz w:val="17"/>
          <w:szCs w:val="17"/>
        </w:rPr>
        <w:t xml:space="preserve">  </w:t>
      </w:r>
    </w:p>
    <w:p>
      <w:pPr>
        <w:spacing w:before="40" w:line="178" w:lineRule="auto"/>
        <w:ind w:left="3478"/>
        <w:rPr>
          <w:rFonts w:ascii="微软雅黑" w:hAnsi="微软雅黑" w:eastAsia="微软雅黑" w:cs="微软雅黑"/>
          <w:sz w:val="17"/>
          <w:szCs w:val="17"/>
        </w:rPr>
      </w:pPr>
      <w:r>
        <w:rPr>
          <w:rFonts w:ascii="微软雅黑" w:hAnsi="微软雅黑" w:eastAsia="微软雅黑" w:cs="微软雅黑"/>
          <w:color w:val="030303"/>
          <w:spacing w:val="6"/>
          <w:sz w:val="17"/>
          <w:szCs w:val="17"/>
        </w:rPr>
        <w:t>4</w:t>
      </w:r>
      <w:r>
        <w:rPr>
          <w:rFonts w:ascii="微软雅黑" w:hAnsi="微软雅黑" w:eastAsia="微软雅黑" w:cs="微软雅黑"/>
          <w:color w:val="030303"/>
          <w:spacing w:val="4"/>
          <w:sz w:val="17"/>
          <w:szCs w:val="17"/>
        </w:rPr>
        <w:t>6.3</w:t>
      </w:r>
    </w:p>
    <w:p>
      <w:pPr>
        <w:spacing w:before="221" w:line="186" w:lineRule="auto"/>
        <w:ind w:left="2803"/>
        <w:rPr>
          <w:rFonts w:ascii="Calibri" w:hAnsi="Calibri" w:eastAsia="Calibri" w:cs="Calibri"/>
          <w:sz w:val="17"/>
          <w:szCs w:val="17"/>
        </w:rPr>
      </w:pPr>
      <w:r>
        <w:rPr>
          <w:rFonts w:ascii="Calibri" w:hAnsi="Calibri" w:eastAsia="Calibri" w:cs="Calibri"/>
          <w:color w:val="030303"/>
          <w:sz w:val="17"/>
          <w:szCs w:val="17"/>
        </w:rPr>
        <w:t>0</w:t>
      </w:r>
    </w:p>
    <w:p>
      <w:pPr>
        <w:spacing w:before="65" w:line="186" w:lineRule="auto"/>
        <w:ind w:left="3476"/>
        <w:rPr>
          <w:rFonts w:ascii="Calibri" w:hAnsi="Calibri" w:eastAsia="Calibri" w:cs="Calibri"/>
          <w:sz w:val="17"/>
          <w:szCs w:val="17"/>
        </w:rPr>
      </w:pPr>
      <w:r>
        <w:rPr>
          <w:rFonts w:ascii="Calibri" w:hAnsi="Calibri" w:eastAsia="Calibri" w:cs="Calibri"/>
          <w:color w:val="030303"/>
          <w:spacing w:val="1"/>
          <w:sz w:val="17"/>
          <w:szCs w:val="17"/>
        </w:rPr>
        <w:t>2017                        2018                        2019                        2020</w:t>
      </w:r>
      <w:r>
        <w:rPr>
          <w:rFonts w:ascii="Calibri" w:hAnsi="Calibri" w:eastAsia="Calibri" w:cs="Calibri"/>
          <w:color w:val="030303"/>
          <w:sz w:val="17"/>
          <w:szCs w:val="17"/>
        </w:rPr>
        <w:t xml:space="preserve">                        2021</w:t>
      </w:r>
    </w:p>
    <w:p>
      <w:pPr>
        <w:spacing w:before="243" w:line="382" w:lineRule="exact"/>
        <w:ind w:left="3146"/>
        <w:rPr>
          <w:rFonts w:ascii="SimHei" w:hAnsi="SimHei" w:eastAsia="SimHei" w:cs="SimHei"/>
          <w:sz w:val="20"/>
          <w:szCs w:val="20"/>
        </w:rPr>
      </w:pPr>
      <w:r>
        <w:rPr>
          <w:rFonts w:ascii="SimHei" w:hAnsi="SimHei" w:eastAsia="SimHei" w:cs="SimHei"/>
          <w:color w:val="231F20"/>
          <w:spacing w:val="4"/>
          <w:position w:val="13"/>
          <w:sz w:val="20"/>
          <w:szCs w:val="20"/>
        </w:rPr>
        <w:t xml:space="preserve">图 </w:t>
      </w:r>
      <w:r>
        <w:rPr>
          <w:rFonts w:ascii="Times New Roman" w:hAnsi="Times New Roman" w:eastAsia="Times New Roman" w:cs="Times New Roman"/>
          <w:color w:val="231F20"/>
          <w:spacing w:val="4"/>
          <w:position w:val="13"/>
          <w:sz w:val="20"/>
          <w:szCs w:val="20"/>
        </w:rPr>
        <w:t xml:space="preserve">2- </w:t>
      </w:r>
      <w:r>
        <w:rPr>
          <w:rFonts w:ascii="Times New Roman" w:hAnsi="Times New Roman" w:eastAsia="Times New Roman" w:cs="Times New Roman"/>
          <w:color w:val="231F20"/>
          <w:spacing w:val="3"/>
          <w:position w:val="13"/>
          <w:sz w:val="20"/>
          <w:szCs w:val="20"/>
        </w:rPr>
        <w:t>1</w:t>
      </w:r>
      <w:r>
        <w:rPr>
          <w:rFonts w:ascii="Times New Roman" w:hAnsi="Times New Roman" w:eastAsia="Times New Roman" w:cs="Times New Roman"/>
          <w:color w:val="231F20"/>
          <w:spacing w:val="2"/>
          <w:position w:val="13"/>
          <w:sz w:val="20"/>
          <w:szCs w:val="20"/>
        </w:rPr>
        <w:t xml:space="preserve">8 2017-2021 </w:t>
      </w:r>
      <w:r>
        <w:rPr>
          <w:rFonts w:ascii="SimHei" w:hAnsi="SimHei" w:eastAsia="SimHei" w:cs="SimHei"/>
          <w:color w:val="231F20"/>
          <w:spacing w:val="2"/>
          <w:position w:val="13"/>
          <w:sz w:val="20"/>
          <w:szCs w:val="20"/>
        </w:rPr>
        <w:t>年研发设计与其他技术服务业实际使用外资情况</w:t>
      </w:r>
    </w:p>
    <w:p>
      <w:pPr>
        <w:spacing w:before="1" w:line="222" w:lineRule="auto"/>
        <w:ind w:left="1987"/>
        <w:rPr>
          <w:rFonts w:ascii="KaiTi" w:hAnsi="KaiTi" w:eastAsia="KaiTi" w:cs="KaiTi"/>
          <w:sz w:val="17"/>
          <w:szCs w:val="17"/>
        </w:rPr>
      </w:pPr>
      <w:r>
        <w:rPr>
          <w:rFonts w:ascii="KaiTi" w:hAnsi="KaiTi" w:eastAsia="KaiTi" w:cs="KaiTi"/>
          <w:color w:val="231F20"/>
          <w:spacing w:val="6"/>
          <w:sz w:val="17"/>
          <w:szCs w:val="17"/>
        </w:rPr>
        <w:t>数据来源：商务部外资统计。</w:t>
      </w:r>
    </w:p>
    <w:p>
      <w:pPr>
        <w:sectPr>
          <w:pgSz w:w="12246" w:h="16498"/>
          <w:pgMar w:top="400" w:right="0" w:bottom="400" w:left="0" w:header="0" w:footer="0" w:gutter="0"/>
          <w:cols w:space="720" w:num="1"/>
        </w:sectPr>
      </w:pPr>
    </w:p>
    <w:p>
      <w:pPr>
        <w:spacing w:line="357" w:lineRule="auto"/>
        <w:rPr>
          <w:rFonts w:ascii="Arial"/>
          <w:sz w:val="21"/>
        </w:rPr>
      </w:pPr>
      <w:r>
        <w:pict>
          <v:rect id="_x0000_s1457" o:spid="_x0000_s1457" o:spt="1" style="position:absolute;left:0pt;margin-left:150.5pt;margin-top:491.95pt;height:170.15pt;width:0.3pt;mso-position-horizontal-relative:page;mso-position-vertical-relative:page;z-index:252136448;mso-width-relative:page;mso-height-relative:page;" fillcolor="#231F20" filled="t" stroked="f" coordsize="21600,21600" o:allowincell="f">
            <v:path/>
            <v:fill on="t" focussize="0,0"/>
            <v:stroke on="f"/>
            <v:imagedata o:title=""/>
            <o:lock v:ext="edit"/>
          </v:rect>
        </w:pict>
      </w:r>
      <w:r>
        <w:pict>
          <v:shape id="_x0000_s1458" o:spid="_x0000_s1458" style="position:absolute;left:0pt;margin-left:152.65pt;margin-top:497pt;height:0.75pt;width:321.7pt;mso-position-horizontal-relative:page;mso-position-vertical-relative:page;z-index:252132352;mso-width-relative:page;mso-height-relative:page;" filled="f" stroked="t" coordsize="6434,15" o:allowincell="f" path="m0,7l6433,7e">
            <v:fill on="f" focussize="0,0"/>
            <v:stroke color="#CEE6ED" miterlimit="10" dashstyle="dash"/>
            <v:imagedata o:title=""/>
            <o:lock v:ext="edit"/>
          </v:shape>
        </w:pict>
      </w:r>
      <w:r>
        <w:pict>
          <v:shape id="_x0000_s1459" o:spid="_x0000_s1459" style="position:absolute;left:0pt;margin-left:152.65pt;margin-top:516.95pt;height:0.75pt;width:321.7pt;mso-position-horizontal-relative:page;mso-position-vertical-relative:page;z-index:252133376;mso-width-relative:page;mso-height-relative:page;" filled="f" stroked="t" coordsize="6434,15" o:allowincell="f" path="m0,7l6433,7e">
            <v:fill on="f" focussize="0,0"/>
            <v:stroke color="#CEE6ED" miterlimit="10" dashstyle="dash"/>
            <v:imagedata o:title=""/>
            <o:lock v:ext="edit"/>
          </v:shape>
        </w:pict>
      </w:r>
      <w:r>
        <w:pict>
          <v:shape id="_x0000_s1460" o:spid="_x0000_s1460" style="position:absolute;left:0pt;margin-left:152.65pt;margin-top:536.9pt;height:0.75pt;width:321.7pt;mso-position-horizontal-relative:page;mso-position-vertical-relative:page;z-index:252134400;mso-width-relative:page;mso-height-relative:page;" filled="f" stroked="t" coordsize="6434,15" o:allowincell="f" path="m0,7l6433,7e">
            <v:fill on="f" focussize="0,0"/>
            <v:stroke color="#CEE6ED" miterlimit="10" dashstyle="dash"/>
            <v:imagedata o:title=""/>
            <o:lock v:ext="edit"/>
          </v:shape>
        </w:pict>
      </w:r>
      <w:r>
        <w:pict>
          <v:shape id="_x0000_s1461" o:spid="_x0000_s1461" style="position:absolute;left:0pt;margin-left:152.65pt;margin-top:556.85pt;height:0.75pt;width:321.7pt;mso-position-horizontal-relative:page;mso-position-vertical-relative:page;z-index:252128256;mso-width-relative:page;mso-height-relative:page;" filled="f" stroked="t" coordsize="6434,15" o:allowincell="f" path="m0,7l6433,7e">
            <v:fill on="f" focussize="0,0"/>
            <v:stroke color="#CEE6ED" miterlimit="10" dashstyle="dash"/>
            <v:imagedata o:title=""/>
            <o:lock v:ext="edit"/>
          </v:shape>
        </w:pict>
      </w:r>
      <w:r>
        <w:pict>
          <v:shape id="_x0000_s1462" o:spid="_x0000_s1462" style="position:absolute;left:0pt;margin-left:152.65pt;margin-top:596.75pt;height:0.75pt;width:321.7pt;mso-position-horizontal-relative:page;mso-position-vertical-relative:page;z-index:252131328;mso-width-relative:page;mso-height-relative:page;" filled="f" stroked="t" coordsize="6434,15" o:allowincell="f" path="m0,7l6433,7e">
            <v:fill on="f" focussize="0,0"/>
            <v:stroke color="#CEE6ED" miterlimit="10" dashstyle="dash"/>
            <v:imagedata o:title=""/>
            <o:lock v:ext="edit"/>
          </v:shape>
        </w:pict>
      </w:r>
      <w:r>
        <w:pict>
          <v:shape id="_x0000_s1463" o:spid="_x0000_s1463" style="position:absolute;left:0pt;margin-left:152.65pt;margin-top:616.7pt;height:0.75pt;width:321.7pt;mso-position-horizontal-relative:page;mso-position-vertical-relative:page;z-index:252129280;mso-width-relative:page;mso-height-relative:page;" filled="f" stroked="t" coordsize="6434,15" o:allowincell="f" path="m0,7l6433,7e">
            <v:fill on="f" focussize="0,0"/>
            <v:stroke color="#CEE6ED" miterlimit="10" dashstyle="dash"/>
            <v:imagedata o:title=""/>
            <o:lock v:ext="edit"/>
          </v:shape>
        </w:pict>
      </w:r>
      <w:r>
        <w:pict>
          <v:shape id="_x0000_s1464" o:spid="_x0000_s1464" style="position:absolute;left:0pt;margin-left:152.65pt;margin-top:636.65pt;height:0.75pt;width:321.7pt;mso-position-horizontal-relative:page;mso-position-vertical-relative:page;z-index:252130304;mso-width-relative:page;mso-height-relative:page;" filled="f" stroked="t" coordsize="6434,15" o:allowincell="f" path="m0,7l6433,7e">
            <v:fill on="f" focussize="0,0"/>
            <v:stroke color="#CEE6ED" miterlimit="10" dashstyle="dash"/>
            <v:imagedata o:title=""/>
            <o:lock v:ext="edit"/>
          </v:shape>
        </w:pict>
      </w:r>
      <w:r>
        <w:drawing>
          <wp:anchor distT="0" distB="0" distL="0" distR="0" simplePos="0" relativeHeight="252127232" behindDoc="0" locked="0" layoutInCell="0" allowOverlap="1">
            <wp:simplePos x="0" y="0"/>
            <wp:positionH relativeFrom="page">
              <wp:posOffset>1889760</wp:posOffset>
            </wp:positionH>
            <wp:positionV relativeFrom="page">
              <wp:posOffset>8338820</wp:posOffset>
            </wp:positionV>
            <wp:extent cx="4282440" cy="10795"/>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45"/>
                    <a:stretch>
                      <a:fillRect/>
                    </a:stretch>
                  </pic:blipFill>
                  <pic:spPr>
                    <a:xfrm>
                      <a:off x="0" y="0"/>
                      <a:ext cx="4282198" cy="10699"/>
                    </a:xfrm>
                    <a:prstGeom prst="rect">
                      <a:avLst/>
                    </a:prstGeom>
                  </pic:spPr>
                </pic:pic>
              </a:graphicData>
            </a:graphic>
          </wp:anchor>
        </w:drawing>
      </w:r>
      <w:r>
        <w:drawing>
          <wp:anchor distT="0" distB="0" distL="0" distR="0" simplePos="0" relativeHeight="25212518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15" name="IM 315"/>
            <wp:cNvGraphicFramePr/>
            <a:graphic xmlns:a="http://schemas.openxmlformats.org/drawingml/2006/main">
              <a:graphicData uri="http://schemas.openxmlformats.org/drawingml/2006/picture">
                <pic:pic xmlns:pic="http://schemas.openxmlformats.org/drawingml/2006/picture">
                  <pic:nvPicPr>
                    <pic:cNvPr id="315" name="IM 315"/>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bookmarkStart w:id="64" w:name="_bookmark46"/>
      <w:bookmarkEnd w:id="64"/>
      <w:r>
        <w:rPr>
          <w:rFonts w:ascii="Arial" w:hAnsi="Arial" w:eastAsia="Arial" w:cs="Arial"/>
          <w:color w:val="231F20"/>
          <w:spacing w:val="41"/>
          <w:sz w:val="20"/>
          <w:szCs w:val="20"/>
        </w:rPr>
        <w:t>6</w:t>
      </w:r>
      <w:r>
        <w:rPr>
          <w:rFonts w:ascii="Arial" w:hAnsi="Arial" w:eastAsia="Arial" w:cs="Arial"/>
          <w:color w:val="231F20"/>
          <w:spacing w:val="21"/>
          <w:sz w:val="20"/>
          <w:szCs w:val="20"/>
        </w:rPr>
        <w:t xml:space="preserve">0  </w:t>
      </w:r>
      <w:r>
        <w:rPr>
          <w:position w:val="-5"/>
          <w:sz w:val="20"/>
          <w:szCs w:val="20"/>
        </w:rPr>
        <w:drawing>
          <wp:inline distT="0" distB="0" distL="0" distR="0">
            <wp:extent cx="3175" cy="14732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317" name="IM 317"/>
            <wp:cNvGraphicFramePr/>
            <a:graphic xmlns:a="http://schemas.openxmlformats.org/drawingml/2006/main">
              <a:graphicData uri="http://schemas.openxmlformats.org/drawingml/2006/picture">
                <pic:pic xmlns:pic="http://schemas.openxmlformats.org/drawingml/2006/picture">
                  <pic:nvPicPr>
                    <pic:cNvPr id="317" name="IM 317"/>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产业篇</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214" w:lineRule="auto"/>
        <w:ind w:left="2446"/>
        <w:rPr>
          <w:rFonts w:ascii="KaiTi" w:hAnsi="KaiTi" w:eastAsia="KaiTi" w:cs="KaiTi"/>
          <w:sz w:val="22"/>
          <w:szCs w:val="22"/>
        </w:rPr>
      </w:pPr>
      <w:r>
        <w:rPr>
          <w:rFonts w:ascii="Times New Roman" w:hAnsi="Times New Roman" w:eastAsia="Times New Roman" w:cs="Times New Roman"/>
          <w:color w:val="015DAC"/>
          <w:spacing w:val="1"/>
          <w:sz w:val="22"/>
          <w:szCs w:val="22"/>
        </w:rPr>
        <w:t xml:space="preserve">3. </w:t>
      </w:r>
      <w:r>
        <w:rPr>
          <w:rFonts w:ascii="KaiTi" w:hAnsi="KaiTi" w:eastAsia="KaiTi" w:cs="KaiTi"/>
          <w:color w:val="015DAC"/>
          <w:spacing w:val="1"/>
          <w:sz w:val="22"/>
          <w:szCs w:val="22"/>
        </w:rPr>
        <w:t>生产性服务行业细</w:t>
      </w:r>
      <w:r>
        <w:rPr>
          <w:rFonts w:ascii="KaiTi" w:hAnsi="KaiTi" w:eastAsia="KaiTi" w:cs="KaiTi"/>
          <w:color w:val="015DAC"/>
          <w:sz w:val="22"/>
          <w:szCs w:val="22"/>
        </w:rPr>
        <w:t>分领域投资持续活跃</w:t>
      </w:r>
    </w:p>
    <w:p>
      <w:pPr>
        <w:spacing w:line="267" w:lineRule="auto"/>
        <w:rPr>
          <w:rFonts w:ascii="Arial"/>
          <w:sz w:val="21"/>
        </w:rPr>
      </w:pPr>
    </w:p>
    <w:p>
      <w:pPr>
        <w:spacing w:before="94" w:line="258" w:lineRule="auto"/>
        <w:ind w:left="1987" w:right="1919" w:firstLine="456"/>
        <w:rPr>
          <w:rFonts w:ascii="微软雅黑" w:hAnsi="微软雅黑" w:eastAsia="微软雅黑" w:cs="微软雅黑"/>
          <w:sz w:val="22"/>
          <w:szCs w:val="22"/>
        </w:rPr>
      </w:pPr>
      <w:r>
        <w:rPr>
          <w:rFonts w:ascii="SimHei" w:hAnsi="SimHei" w:eastAsia="SimHei" w:cs="SimHei"/>
          <w:color w:val="231F20"/>
          <w:spacing w:val="1"/>
          <w:sz w:val="22"/>
          <w:szCs w:val="22"/>
        </w:rPr>
        <w:t>在金融领域，</w:t>
      </w:r>
      <w:r>
        <w:rPr>
          <w:rFonts w:ascii="微软雅黑" w:hAnsi="微软雅黑" w:eastAsia="微软雅黑" w:cs="微软雅黑"/>
          <w:color w:val="231F20"/>
          <w:spacing w:val="1"/>
          <w:sz w:val="22"/>
          <w:szCs w:val="22"/>
        </w:rPr>
        <w:t xml:space="preserve">在华外资银行总资产从 </w:t>
      </w:r>
      <w:r>
        <w:rPr>
          <w:rFonts w:ascii="Times New Roman" w:hAnsi="Times New Roman" w:eastAsia="Times New Roman" w:cs="Times New Roman"/>
          <w:color w:val="231F20"/>
          <w:spacing w:val="1"/>
          <w:sz w:val="22"/>
          <w:szCs w:val="22"/>
        </w:rPr>
        <w:t>201</w:t>
      </w:r>
      <w:r>
        <w:rPr>
          <w:rFonts w:ascii="Times New Roman" w:hAnsi="Times New Roman" w:eastAsia="Times New Roman" w:cs="Times New Roman"/>
          <w:color w:val="231F20"/>
          <w:sz w:val="22"/>
          <w:szCs w:val="22"/>
        </w:rPr>
        <w:t xml:space="preserve">3 </w:t>
      </w:r>
      <w:r>
        <w:rPr>
          <w:rFonts w:ascii="微软雅黑" w:hAnsi="微软雅黑" w:eastAsia="微软雅黑" w:cs="微软雅黑"/>
          <w:color w:val="231F20"/>
          <w:sz w:val="22"/>
          <w:szCs w:val="22"/>
        </w:rPr>
        <w:t xml:space="preserve">年的 </w:t>
      </w:r>
      <w:r>
        <w:rPr>
          <w:rFonts w:ascii="Times New Roman" w:hAnsi="Times New Roman" w:eastAsia="Times New Roman" w:cs="Times New Roman"/>
          <w:color w:val="231F20"/>
          <w:sz w:val="22"/>
          <w:szCs w:val="22"/>
        </w:rPr>
        <w:t xml:space="preserve">4159 </w:t>
      </w:r>
      <w:r>
        <w:rPr>
          <w:rFonts w:ascii="微软雅黑" w:hAnsi="微软雅黑" w:eastAsia="微软雅黑" w:cs="微软雅黑"/>
          <w:color w:val="231F20"/>
          <w:sz w:val="22"/>
          <w:szCs w:val="22"/>
        </w:rPr>
        <w:t xml:space="preserve">亿元增长至 </w:t>
      </w:r>
      <w:r>
        <w:rPr>
          <w:rFonts w:ascii="Times New Roman" w:hAnsi="Times New Roman" w:eastAsia="Times New Roman" w:cs="Times New Roman"/>
          <w:color w:val="231F20"/>
          <w:sz w:val="22"/>
          <w:szCs w:val="22"/>
        </w:rPr>
        <w:t xml:space="preserve">2020 </w:t>
      </w:r>
      <w:r>
        <w:rPr>
          <w:rFonts w:ascii="微软雅黑" w:hAnsi="微软雅黑" w:eastAsia="微软雅黑" w:cs="微软雅黑"/>
          <w:color w:val="231F20"/>
          <w:sz w:val="22"/>
          <w:szCs w:val="22"/>
        </w:rPr>
        <w:t xml:space="preserve">年的 </w:t>
      </w:r>
      <w:r>
        <w:rPr>
          <w:rFonts w:ascii="Times New Roman" w:hAnsi="Times New Roman" w:eastAsia="Times New Roman" w:cs="Times New Roman"/>
          <w:color w:val="231F20"/>
          <w:sz w:val="22"/>
          <w:szCs w:val="22"/>
        </w:rPr>
        <w:t xml:space="preserve">3.8 </w:t>
      </w:r>
      <w:r>
        <w:rPr>
          <w:rFonts w:ascii="微软雅黑" w:hAnsi="微软雅黑" w:eastAsia="微软雅黑" w:cs="微软雅黑"/>
          <w:color w:val="231F20"/>
          <w:sz w:val="22"/>
          <w:szCs w:val="22"/>
        </w:rPr>
        <w:t xml:space="preserve">万 </w:t>
      </w:r>
      <w:r>
        <w:rPr>
          <w:rFonts w:ascii="微软雅黑" w:hAnsi="微软雅黑" w:eastAsia="微软雅黑" w:cs="微软雅黑"/>
          <w:color w:val="231F20"/>
          <w:spacing w:val="-1"/>
          <w:sz w:val="22"/>
          <w:szCs w:val="22"/>
        </w:rPr>
        <w:t xml:space="preserve">亿元 ，年均增长率为 </w:t>
      </w:r>
      <w:r>
        <w:rPr>
          <w:rFonts w:ascii="Times New Roman" w:hAnsi="Times New Roman" w:eastAsia="Times New Roman" w:cs="Times New Roman"/>
          <w:color w:val="231F20"/>
          <w:spacing w:val="-1"/>
          <w:sz w:val="22"/>
          <w:szCs w:val="22"/>
        </w:rPr>
        <w:t>13.9%</w:t>
      </w:r>
      <w:r>
        <w:rPr>
          <w:rFonts w:ascii="微软雅黑" w:hAnsi="微软雅黑" w:eastAsia="微软雅黑" w:cs="微软雅黑"/>
          <w:color w:val="231F20"/>
          <w:spacing w:val="-1"/>
          <w:sz w:val="22"/>
          <w:szCs w:val="22"/>
        </w:rPr>
        <w:t xml:space="preserve">。截至 </w:t>
      </w:r>
      <w:r>
        <w:rPr>
          <w:rFonts w:ascii="Times New Roman" w:hAnsi="Times New Roman" w:eastAsia="Times New Roman" w:cs="Times New Roman"/>
          <w:color w:val="231F20"/>
          <w:spacing w:val="-1"/>
          <w:sz w:val="22"/>
          <w:szCs w:val="22"/>
        </w:rPr>
        <w:t xml:space="preserve">2020 </w:t>
      </w:r>
      <w:r>
        <w:rPr>
          <w:rFonts w:ascii="微软雅黑" w:hAnsi="微软雅黑" w:eastAsia="微软雅黑" w:cs="微软雅黑"/>
          <w:color w:val="231F20"/>
          <w:spacing w:val="-1"/>
          <w:sz w:val="22"/>
          <w:szCs w:val="22"/>
        </w:rPr>
        <w:t xml:space="preserve">年，外资银行在华共设立 </w:t>
      </w:r>
      <w:r>
        <w:rPr>
          <w:rFonts w:ascii="Times New Roman" w:hAnsi="Times New Roman" w:eastAsia="Times New Roman" w:cs="Times New Roman"/>
          <w:color w:val="231F20"/>
          <w:sz w:val="22"/>
          <w:szCs w:val="22"/>
        </w:rPr>
        <w:t xml:space="preserve">41 </w:t>
      </w:r>
      <w:r>
        <w:rPr>
          <w:rFonts w:ascii="微软雅黑" w:hAnsi="微软雅黑" w:eastAsia="微软雅黑" w:cs="微软雅黑"/>
          <w:color w:val="231F20"/>
          <w:sz w:val="22"/>
          <w:szCs w:val="22"/>
        </w:rPr>
        <w:t>家法人银行、</w:t>
      </w:r>
      <w:r>
        <w:rPr>
          <w:rFonts w:ascii="Times New Roman" w:hAnsi="Times New Roman" w:eastAsia="Times New Roman" w:cs="Times New Roman"/>
          <w:color w:val="231F20"/>
          <w:sz w:val="22"/>
          <w:szCs w:val="22"/>
        </w:rPr>
        <w:t xml:space="preserve">115 </w:t>
      </w:r>
      <w:r>
        <w:rPr>
          <w:rFonts w:ascii="微软雅黑" w:hAnsi="微软雅黑" w:eastAsia="微软雅黑" w:cs="微软雅黑"/>
          <w:color w:val="231F20"/>
          <w:spacing w:val="2"/>
          <w:sz w:val="22"/>
          <w:szCs w:val="22"/>
        </w:rPr>
        <w:t xml:space="preserve">家银行分行和 </w:t>
      </w:r>
      <w:r>
        <w:rPr>
          <w:rFonts w:ascii="Times New Roman" w:hAnsi="Times New Roman" w:eastAsia="Times New Roman" w:cs="Times New Roman"/>
          <w:color w:val="231F20"/>
          <w:spacing w:val="2"/>
          <w:sz w:val="22"/>
          <w:szCs w:val="22"/>
        </w:rPr>
        <w:t xml:space="preserve">149 </w:t>
      </w:r>
      <w:r>
        <w:rPr>
          <w:rFonts w:ascii="微软雅黑" w:hAnsi="微软雅黑" w:eastAsia="微软雅黑" w:cs="微软雅黑"/>
          <w:color w:val="231F20"/>
          <w:spacing w:val="2"/>
          <w:sz w:val="22"/>
          <w:szCs w:val="22"/>
        </w:rPr>
        <w:t xml:space="preserve">家代表处 ，营业性机构共 </w:t>
      </w:r>
      <w:r>
        <w:rPr>
          <w:rFonts w:ascii="Times New Roman" w:hAnsi="Times New Roman" w:eastAsia="Times New Roman" w:cs="Times New Roman"/>
          <w:color w:val="231F20"/>
          <w:spacing w:val="2"/>
          <w:sz w:val="22"/>
          <w:szCs w:val="22"/>
        </w:rPr>
        <w:t xml:space="preserve">975 </w:t>
      </w:r>
      <w:r>
        <w:rPr>
          <w:rFonts w:ascii="微软雅黑" w:hAnsi="微软雅黑" w:eastAsia="微软雅黑" w:cs="微软雅黑"/>
          <w:color w:val="231F20"/>
          <w:spacing w:val="2"/>
          <w:sz w:val="22"/>
          <w:szCs w:val="22"/>
        </w:rPr>
        <w:t>家 (</w:t>
      </w:r>
      <w:r>
        <w:rPr>
          <w:rFonts w:ascii="微软雅黑" w:hAnsi="微软雅黑" w:eastAsia="微软雅黑" w:cs="微软雅黑"/>
          <w:color w:val="231F20"/>
          <w:spacing w:val="1"/>
          <w:sz w:val="22"/>
          <w:szCs w:val="22"/>
        </w:rPr>
        <w:t xml:space="preserve"> 含总行、分行、支行 ) 。境外保</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险机</w:t>
      </w:r>
      <w:r>
        <w:rPr>
          <w:rFonts w:ascii="微软雅黑" w:hAnsi="微软雅黑" w:eastAsia="微软雅黑" w:cs="微软雅黑"/>
          <w:color w:val="231F20"/>
          <w:spacing w:val="3"/>
          <w:sz w:val="22"/>
          <w:szCs w:val="22"/>
        </w:rPr>
        <w:t xml:space="preserve">构在华共设立了 </w:t>
      </w:r>
      <w:r>
        <w:rPr>
          <w:rFonts w:ascii="Times New Roman" w:hAnsi="Times New Roman" w:eastAsia="Times New Roman" w:cs="Times New Roman"/>
          <w:color w:val="231F20"/>
          <w:spacing w:val="3"/>
          <w:sz w:val="22"/>
          <w:szCs w:val="22"/>
        </w:rPr>
        <w:t xml:space="preserve">66 </w:t>
      </w:r>
      <w:r>
        <w:rPr>
          <w:rFonts w:ascii="微软雅黑" w:hAnsi="微软雅黑" w:eastAsia="微软雅黑" w:cs="微软雅黑"/>
          <w:color w:val="231F20"/>
          <w:spacing w:val="3"/>
          <w:sz w:val="22"/>
          <w:szCs w:val="22"/>
        </w:rPr>
        <w:t>家外资保险机构、</w:t>
      </w:r>
      <w:r>
        <w:rPr>
          <w:rFonts w:ascii="Times New Roman" w:hAnsi="Times New Roman" w:eastAsia="Times New Roman" w:cs="Times New Roman"/>
          <w:color w:val="231F20"/>
          <w:spacing w:val="3"/>
          <w:sz w:val="22"/>
          <w:szCs w:val="22"/>
        </w:rPr>
        <w:t xml:space="preserve">117 </w:t>
      </w:r>
      <w:r>
        <w:rPr>
          <w:rFonts w:ascii="微软雅黑" w:hAnsi="微软雅黑" w:eastAsia="微软雅黑" w:cs="微软雅黑"/>
          <w:color w:val="231F20"/>
          <w:spacing w:val="3"/>
          <w:sz w:val="22"/>
          <w:szCs w:val="22"/>
        </w:rPr>
        <w:t xml:space="preserve">家代表处和 </w:t>
      </w:r>
      <w:r>
        <w:rPr>
          <w:rFonts w:ascii="Times New Roman" w:hAnsi="Times New Roman" w:eastAsia="Times New Roman" w:cs="Times New Roman"/>
          <w:color w:val="231F20"/>
          <w:spacing w:val="3"/>
          <w:sz w:val="22"/>
          <w:szCs w:val="22"/>
        </w:rPr>
        <w:t xml:space="preserve">17 </w:t>
      </w:r>
      <w:r>
        <w:rPr>
          <w:rFonts w:ascii="微软雅黑" w:hAnsi="微软雅黑" w:eastAsia="微软雅黑" w:cs="微软雅黑"/>
          <w:color w:val="231F20"/>
          <w:spacing w:val="3"/>
          <w:sz w:val="22"/>
          <w:szCs w:val="22"/>
        </w:rPr>
        <w:t>家保险专业中介机构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外资保险公司总资产 </w:t>
      </w:r>
      <w:r>
        <w:rPr>
          <w:rFonts w:ascii="Times New Roman" w:hAnsi="Times New Roman" w:eastAsia="Times New Roman" w:cs="Times New Roman"/>
          <w:color w:val="231F20"/>
          <w:spacing w:val="-1"/>
          <w:sz w:val="22"/>
          <w:szCs w:val="22"/>
        </w:rPr>
        <w:t xml:space="preserve">1.7 </w:t>
      </w:r>
      <w:r>
        <w:rPr>
          <w:rFonts w:ascii="微软雅黑" w:hAnsi="微软雅黑" w:eastAsia="微软雅黑" w:cs="微软雅黑"/>
          <w:color w:val="231F20"/>
          <w:spacing w:val="-1"/>
          <w:sz w:val="22"/>
          <w:szCs w:val="22"/>
        </w:rPr>
        <w:t>万亿元 ，外资</w:t>
      </w:r>
      <w:r>
        <w:rPr>
          <w:rFonts w:ascii="微软雅黑" w:hAnsi="微软雅黑" w:eastAsia="微软雅黑" w:cs="微软雅黑"/>
          <w:color w:val="231F20"/>
          <w:sz w:val="22"/>
          <w:szCs w:val="22"/>
        </w:rPr>
        <w:t xml:space="preserve">保险公司实现原保费收入 </w:t>
      </w:r>
      <w:r>
        <w:rPr>
          <w:rFonts w:ascii="Times New Roman" w:hAnsi="Times New Roman" w:eastAsia="Times New Roman" w:cs="Times New Roman"/>
          <w:color w:val="231F20"/>
          <w:sz w:val="22"/>
          <w:szCs w:val="22"/>
        </w:rPr>
        <w:t xml:space="preserve">3524.4 </w:t>
      </w:r>
      <w:r>
        <w:rPr>
          <w:rFonts w:ascii="微软雅黑" w:hAnsi="微软雅黑" w:eastAsia="微软雅黑" w:cs="微软雅黑"/>
          <w:color w:val="231F20"/>
          <w:sz w:val="22"/>
          <w:szCs w:val="22"/>
        </w:rPr>
        <w:t xml:space="preserve">亿元 ，市场份 </w:t>
      </w:r>
      <w:r>
        <w:rPr>
          <w:rFonts w:ascii="微软雅黑" w:hAnsi="微软雅黑" w:eastAsia="微软雅黑" w:cs="微软雅黑"/>
          <w:color w:val="231F20"/>
          <w:spacing w:val="-4"/>
          <w:sz w:val="22"/>
          <w:szCs w:val="22"/>
        </w:rPr>
        <w:t xml:space="preserve">额 </w:t>
      </w:r>
      <w:r>
        <w:rPr>
          <w:rFonts w:ascii="Times New Roman" w:hAnsi="Times New Roman" w:eastAsia="Times New Roman" w:cs="Times New Roman"/>
          <w:color w:val="231F20"/>
          <w:spacing w:val="-4"/>
          <w:sz w:val="22"/>
          <w:szCs w:val="22"/>
        </w:rPr>
        <w:t xml:space="preserve">7.8% </w:t>
      </w:r>
      <w:r>
        <w:rPr>
          <w:rFonts w:ascii="微软雅黑" w:hAnsi="微软雅黑" w:eastAsia="微软雅黑" w:cs="微软雅黑"/>
          <w:color w:val="231F20"/>
          <w:spacing w:val="-4"/>
          <w:sz w:val="22"/>
          <w:szCs w:val="22"/>
        </w:rPr>
        <w:t xml:space="preserve">，同比上升 </w:t>
      </w:r>
      <w:r>
        <w:rPr>
          <w:rFonts w:ascii="Times New Roman" w:hAnsi="Times New Roman" w:eastAsia="Times New Roman" w:cs="Times New Roman"/>
          <w:color w:val="231F20"/>
          <w:spacing w:val="-2"/>
          <w:sz w:val="22"/>
          <w:szCs w:val="22"/>
        </w:rPr>
        <w:t xml:space="preserve">0.6 </w:t>
      </w:r>
      <w:r>
        <w:rPr>
          <w:rFonts w:ascii="微软雅黑" w:hAnsi="微软雅黑" w:eastAsia="微软雅黑" w:cs="微软雅黑"/>
          <w:color w:val="231F20"/>
          <w:spacing w:val="-2"/>
          <w:sz w:val="22"/>
          <w:szCs w:val="22"/>
        </w:rPr>
        <w:t>个百分点。外资保险公司的发展完善了中国保险市场主体结构，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推动中国形成了中外资保险公司优势互补、公平竞争额、共</w:t>
      </w:r>
      <w:r>
        <w:rPr>
          <w:rFonts w:ascii="微软雅黑" w:hAnsi="微软雅黑" w:eastAsia="微软雅黑" w:cs="微软雅黑"/>
          <w:color w:val="231F20"/>
          <w:sz w:val="22"/>
          <w:szCs w:val="22"/>
        </w:rPr>
        <w:t>同发展的局面。</w:t>
      </w:r>
    </w:p>
    <w:p>
      <w:pPr>
        <w:spacing w:before="184" w:line="259" w:lineRule="auto"/>
        <w:ind w:left="1991" w:right="1863" w:firstLine="449"/>
        <w:rPr>
          <w:rFonts w:ascii="微软雅黑" w:hAnsi="微软雅黑" w:eastAsia="微软雅黑" w:cs="微软雅黑"/>
          <w:sz w:val="22"/>
          <w:szCs w:val="22"/>
        </w:rPr>
      </w:pPr>
      <w:r>
        <w:rPr>
          <w:rFonts w:ascii="SimHei" w:hAnsi="SimHei" w:eastAsia="SimHei" w:cs="SimHei"/>
          <w:color w:val="231F20"/>
          <w:spacing w:val="-8"/>
          <w:sz w:val="22"/>
          <w:szCs w:val="22"/>
        </w:rPr>
        <w:t xml:space="preserve">在电信领域， </w:t>
      </w:r>
      <w:r>
        <w:rPr>
          <w:rFonts w:ascii="微软雅黑" w:hAnsi="微软雅黑" w:eastAsia="微软雅黑" w:cs="微软雅黑"/>
          <w:color w:val="231F20"/>
          <w:spacing w:val="-6"/>
          <w:sz w:val="22"/>
          <w:szCs w:val="22"/>
        </w:rPr>
        <w:t>中</w:t>
      </w:r>
      <w:r>
        <w:rPr>
          <w:rFonts w:ascii="微软雅黑" w:hAnsi="微软雅黑" w:eastAsia="微软雅黑" w:cs="微软雅黑"/>
          <w:color w:val="231F20"/>
          <w:spacing w:val="-4"/>
          <w:sz w:val="22"/>
          <w:szCs w:val="22"/>
        </w:rPr>
        <w:t xml:space="preserve">国信息通信研究院发布的《信息通信业营商环境发展报告( </w:t>
      </w:r>
      <w:r>
        <w:rPr>
          <w:rFonts w:ascii="Times New Roman" w:hAnsi="Times New Roman" w:eastAsia="Times New Roman" w:cs="Times New Roman"/>
          <w:color w:val="231F20"/>
          <w:spacing w:val="-4"/>
          <w:sz w:val="22"/>
          <w:szCs w:val="22"/>
        </w:rPr>
        <w:t xml:space="preserve">2022 </w:t>
      </w:r>
      <w:r>
        <w:rPr>
          <w:rFonts w:ascii="微软雅黑" w:hAnsi="微软雅黑" w:eastAsia="微软雅黑" w:cs="微软雅黑"/>
          <w:color w:val="231F20"/>
          <w:spacing w:val="-4"/>
          <w:sz w:val="22"/>
          <w:szCs w:val="22"/>
        </w:rPr>
        <w:t>)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显示，  中国外商投资经营电信业务</w:t>
      </w:r>
      <w:r>
        <w:rPr>
          <w:rFonts w:ascii="微软雅黑" w:hAnsi="微软雅黑" w:eastAsia="微软雅黑" w:cs="微软雅黑"/>
          <w:color w:val="231F20"/>
          <w:spacing w:val="-1"/>
          <w:sz w:val="22"/>
          <w:szCs w:val="22"/>
        </w:rPr>
        <w:t>主要集中在增值电信业务领域。</w:t>
      </w:r>
      <w:r>
        <w:rPr>
          <w:rFonts w:ascii="Times New Roman" w:hAnsi="Times New Roman" w:eastAsia="Times New Roman" w:cs="Times New Roman"/>
          <w:color w:val="231F20"/>
          <w:spacing w:val="-1"/>
          <w:sz w:val="22"/>
          <w:szCs w:val="22"/>
        </w:rPr>
        <w:t xml:space="preserve">2019 </w:t>
      </w:r>
      <w:r>
        <w:rPr>
          <w:rFonts w:ascii="微软雅黑" w:hAnsi="微软雅黑" w:eastAsia="微软雅黑" w:cs="微软雅黑"/>
          <w:color w:val="231F20"/>
          <w:spacing w:val="-1"/>
          <w:sz w:val="22"/>
          <w:szCs w:val="22"/>
        </w:rPr>
        <w:t>年在全国范围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内放开电子商务、国内多方通信、存储转发类、呼叫中心业务等</w:t>
      </w:r>
      <w:r>
        <w:rPr>
          <w:rFonts w:ascii="Times New Roman" w:hAnsi="Times New Roman" w:eastAsia="Times New Roman" w:cs="Times New Roman"/>
          <w:color w:val="231F20"/>
          <w:spacing w:val="5"/>
          <w:sz w:val="22"/>
          <w:szCs w:val="22"/>
        </w:rPr>
        <w:t xml:space="preserve">4 </w:t>
      </w:r>
      <w:r>
        <w:rPr>
          <w:rFonts w:ascii="微软雅黑" w:hAnsi="微软雅黑" w:eastAsia="微软雅黑" w:cs="微软雅黑"/>
          <w:color w:val="231F20"/>
          <w:spacing w:val="5"/>
          <w:sz w:val="22"/>
          <w:szCs w:val="22"/>
        </w:rPr>
        <w:t>项增值电信业</w:t>
      </w:r>
      <w:r>
        <w:rPr>
          <w:rFonts w:ascii="微软雅黑" w:hAnsi="微软雅黑" w:eastAsia="微软雅黑" w:cs="微软雅黑"/>
          <w:color w:val="231F20"/>
          <w:spacing w:val="4"/>
          <w:sz w:val="22"/>
          <w:szCs w:val="22"/>
        </w:rPr>
        <w:t>务</w:t>
      </w:r>
      <w:r>
        <w:rPr>
          <w:rFonts w:ascii="微软雅黑" w:hAnsi="微软雅黑" w:eastAsia="微软雅黑" w:cs="微软雅黑"/>
          <w:color w:val="231F20"/>
          <w:sz w:val="22"/>
          <w:szCs w:val="22"/>
        </w:rPr>
        <w:t xml:space="preserve">外  </w:t>
      </w:r>
      <w:r>
        <w:rPr>
          <w:rFonts w:ascii="微软雅黑" w:hAnsi="微软雅黑" w:eastAsia="微软雅黑" w:cs="微软雅黑"/>
          <w:color w:val="231F20"/>
          <w:spacing w:val="6"/>
          <w:sz w:val="22"/>
          <w:szCs w:val="22"/>
        </w:rPr>
        <w:t>资股比限制</w:t>
      </w:r>
      <w:r>
        <w:rPr>
          <w:rFonts w:ascii="微软雅黑" w:hAnsi="微软雅黑" w:eastAsia="微软雅黑" w:cs="微软雅黑"/>
          <w:color w:val="231F20"/>
          <w:spacing w:val="4"/>
          <w:sz w:val="22"/>
          <w:szCs w:val="22"/>
        </w:rPr>
        <w:t>后</w:t>
      </w:r>
      <w:r>
        <w:rPr>
          <w:rFonts w:ascii="微软雅黑" w:hAnsi="微软雅黑" w:eastAsia="微软雅黑" w:cs="微软雅黑"/>
          <w:color w:val="231F20"/>
          <w:spacing w:val="3"/>
          <w:sz w:val="22"/>
          <w:szCs w:val="22"/>
        </w:rPr>
        <w:t xml:space="preserve"> ，外商投资参与中国信息通信业建设的步伐显著加快。截至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底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工业和信</w:t>
      </w:r>
      <w:r>
        <w:rPr>
          <w:rFonts w:ascii="微软雅黑" w:hAnsi="微软雅黑" w:eastAsia="微软雅黑" w:cs="微软雅黑"/>
          <w:color w:val="231F20"/>
          <w:spacing w:val="3"/>
          <w:sz w:val="22"/>
          <w:szCs w:val="22"/>
        </w:rPr>
        <w:t xml:space="preserve">息化部颁发的增值电信业务经营许可中 ，外商投资企业共 </w:t>
      </w:r>
      <w:r>
        <w:rPr>
          <w:rFonts w:ascii="Times New Roman" w:hAnsi="Times New Roman" w:eastAsia="Times New Roman" w:cs="Times New Roman"/>
          <w:color w:val="231F20"/>
          <w:spacing w:val="3"/>
          <w:sz w:val="22"/>
          <w:szCs w:val="22"/>
        </w:rPr>
        <w:t xml:space="preserve">753 </w:t>
      </w:r>
      <w:r>
        <w:rPr>
          <w:rFonts w:ascii="微软雅黑" w:hAnsi="微软雅黑" w:eastAsia="微软雅黑" w:cs="微软雅黑"/>
          <w:color w:val="231F20"/>
          <w:spacing w:val="3"/>
          <w:sz w:val="22"/>
          <w:szCs w:val="22"/>
        </w:rPr>
        <w:t xml:space="preserve">家 ，较 </w:t>
      </w:r>
      <w:r>
        <w:rPr>
          <w:rFonts w:ascii="Times New Roman" w:hAnsi="Times New Roman" w:eastAsia="Times New Roman" w:cs="Times New Roman"/>
          <w:color w:val="231F20"/>
          <w:spacing w:val="3"/>
          <w:sz w:val="22"/>
          <w:szCs w:val="22"/>
        </w:rPr>
        <w:t>2020</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2"/>
          <w:sz w:val="22"/>
          <w:szCs w:val="22"/>
        </w:rPr>
        <w:t xml:space="preserve">年底增长 </w:t>
      </w:r>
      <w:r>
        <w:rPr>
          <w:rFonts w:ascii="Times New Roman" w:hAnsi="Times New Roman" w:eastAsia="Times New Roman" w:cs="Times New Roman"/>
          <w:color w:val="231F20"/>
          <w:spacing w:val="2"/>
          <w:sz w:val="22"/>
          <w:szCs w:val="22"/>
        </w:rPr>
        <w:t xml:space="preserve">12.4% </w:t>
      </w:r>
      <w:r>
        <w:rPr>
          <w:rFonts w:ascii="微软雅黑" w:hAnsi="微软雅黑" w:eastAsia="微软雅黑" w:cs="微软雅黑"/>
          <w:color w:val="231F20"/>
          <w:spacing w:val="2"/>
          <w:sz w:val="22"/>
          <w:szCs w:val="22"/>
        </w:rPr>
        <w:t xml:space="preserve">，是 </w:t>
      </w:r>
      <w:r>
        <w:rPr>
          <w:rFonts w:ascii="Times New Roman" w:hAnsi="Times New Roman" w:eastAsia="Times New Roman" w:cs="Times New Roman"/>
          <w:color w:val="231F20"/>
          <w:spacing w:val="2"/>
          <w:sz w:val="22"/>
          <w:szCs w:val="22"/>
        </w:rPr>
        <w:t>2017</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 xml:space="preserve">年的 </w:t>
      </w:r>
      <w:r>
        <w:rPr>
          <w:rFonts w:ascii="Times New Roman" w:hAnsi="Times New Roman" w:eastAsia="Times New Roman" w:cs="Times New Roman"/>
          <w:color w:val="231F20"/>
          <w:spacing w:val="1"/>
          <w:sz w:val="22"/>
          <w:szCs w:val="22"/>
        </w:rPr>
        <w:t xml:space="preserve">13.2 </w:t>
      </w:r>
      <w:r>
        <w:rPr>
          <w:rFonts w:ascii="微软雅黑" w:hAnsi="微软雅黑" w:eastAsia="微软雅黑" w:cs="微软雅黑"/>
          <w:color w:val="231F20"/>
          <w:spacing w:val="1"/>
          <w:sz w:val="22"/>
          <w:szCs w:val="22"/>
        </w:rPr>
        <w:t>倍。</w:t>
      </w:r>
      <w:r>
        <w:rPr>
          <w:rFonts w:ascii="Times New Roman" w:hAnsi="Times New Roman" w:eastAsia="Times New Roman" w:cs="Times New Roman"/>
          <w:color w:val="231F20"/>
          <w:spacing w:val="1"/>
          <w:sz w:val="22"/>
          <w:szCs w:val="22"/>
        </w:rPr>
        <w:t xml:space="preserve">2022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6 </w:t>
      </w:r>
      <w:r>
        <w:rPr>
          <w:rFonts w:ascii="微软雅黑" w:hAnsi="微软雅黑" w:eastAsia="微软雅黑" w:cs="微软雅黑"/>
          <w:color w:val="231F20"/>
          <w:spacing w:val="1"/>
          <w:sz w:val="22"/>
          <w:szCs w:val="22"/>
        </w:rPr>
        <w:t>月，《国内增值电信业务许可情况</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报告</w:t>
      </w:r>
      <w:r>
        <w:rPr>
          <w:rFonts w:ascii="微软雅黑" w:hAnsi="微软雅黑" w:eastAsia="微软雅黑" w:cs="微软雅黑"/>
          <w:color w:val="231F20"/>
          <w:sz w:val="22"/>
          <w:szCs w:val="22"/>
        </w:rPr>
        <w:t xml:space="preserve">》显示 ，工业和信息化部颁发增值电信业务经营许可中 ，外商投资企业已经达到  </w:t>
      </w:r>
      <w:r>
        <w:rPr>
          <w:rFonts w:ascii="Times New Roman" w:hAnsi="Times New Roman" w:eastAsia="Times New Roman" w:cs="Times New Roman"/>
          <w:color w:val="231F20"/>
          <w:spacing w:val="-12"/>
          <w:sz w:val="22"/>
          <w:szCs w:val="22"/>
        </w:rPr>
        <w:t>9</w:t>
      </w:r>
      <w:r>
        <w:rPr>
          <w:rFonts w:ascii="Times New Roman" w:hAnsi="Times New Roman" w:eastAsia="Times New Roman" w:cs="Times New Roman"/>
          <w:color w:val="231F20"/>
          <w:spacing w:val="-7"/>
          <w:sz w:val="22"/>
          <w:szCs w:val="22"/>
        </w:rPr>
        <w:t>6</w:t>
      </w:r>
      <w:r>
        <w:rPr>
          <w:rFonts w:ascii="Times New Roman" w:hAnsi="Times New Roman" w:eastAsia="Times New Roman" w:cs="Times New Roman"/>
          <w:color w:val="231F20"/>
          <w:spacing w:val="-6"/>
          <w:sz w:val="22"/>
          <w:szCs w:val="22"/>
        </w:rPr>
        <w:t xml:space="preserve">4 </w:t>
      </w:r>
      <w:r>
        <w:rPr>
          <w:rFonts w:ascii="微软雅黑" w:hAnsi="微软雅黑" w:eastAsia="微软雅黑" w:cs="微软雅黑"/>
          <w:color w:val="231F20"/>
          <w:spacing w:val="-6"/>
          <w:sz w:val="22"/>
          <w:szCs w:val="22"/>
        </w:rPr>
        <w:t xml:space="preserve">家，  占经营者总数的 </w:t>
      </w:r>
      <w:r>
        <w:rPr>
          <w:rFonts w:ascii="Times New Roman" w:hAnsi="Times New Roman" w:eastAsia="Times New Roman" w:cs="Times New Roman"/>
          <w:color w:val="231F20"/>
          <w:spacing w:val="-6"/>
          <w:sz w:val="22"/>
          <w:szCs w:val="22"/>
        </w:rPr>
        <w:t>3.3%</w:t>
      </w:r>
      <w:r>
        <w:rPr>
          <w:rFonts w:ascii="微软雅黑" w:hAnsi="微软雅黑" w:eastAsia="微软雅黑" w:cs="微软雅黑"/>
          <w:color w:val="231F20"/>
          <w:spacing w:val="-6"/>
          <w:sz w:val="22"/>
          <w:szCs w:val="22"/>
        </w:rPr>
        <w:t>。</w:t>
      </w:r>
    </w:p>
    <w:p>
      <w:pPr>
        <w:spacing w:before="242" w:line="423" w:lineRule="exact"/>
        <w:ind w:left="2714"/>
        <w:rPr>
          <w:rFonts w:ascii="宋体" w:hAnsi="宋体" w:eastAsia="宋体" w:cs="宋体"/>
          <w:sz w:val="17"/>
          <w:szCs w:val="17"/>
        </w:rPr>
      </w:pPr>
      <w:r>
        <w:rPr>
          <w:rFonts w:ascii="宋体" w:hAnsi="宋体" w:eastAsia="宋体" w:cs="宋体"/>
          <w:color w:val="030303"/>
          <w:spacing w:val="1"/>
          <w:position w:val="19"/>
          <w:sz w:val="17"/>
          <w:szCs w:val="17"/>
        </w:rPr>
        <w:t>家</w:t>
      </w:r>
    </w:p>
    <w:p>
      <w:pPr>
        <w:spacing w:before="1" w:line="185" w:lineRule="auto"/>
        <w:ind w:left="2670"/>
        <w:rPr>
          <w:rFonts w:ascii="Calibri" w:hAnsi="Calibri" w:eastAsia="Calibri" w:cs="Calibri"/>
          <w:sz w:val="17"/>
          <w:szCs w:val="17"/>
        </w:rPr>
      </w:pPr>
      <w:r>
        <w:rPr>
          <w:rFonts w:ascii="Calibri" w:hAnsi="Calibri" w:eastAsia="Calibri" w:cs="Calibri"/>
          <w:color w:val="030303"/>
          <w:spacing w:val="3"/>
          <w:sz w:val="17"/>
          <w:szCs w:val="17"/>
        </w:rPr>
        <w:t>8</w:t>
      </w:r>
      <w:r>
        <w:rPr>
          <w:rFonts w:ascii="Calibri" w:hAnsi="Calibri" w:eastAsia="Calibri" w:cs="Calibri"/>
          <w:color w:val="030303"/>
          <w:spacing w:val="2"/>
          <w:sz w:val="17"/>
          <w:szCs w:val="17"/>
        </w:rPr>
        <w:t>00</w:t>
      </w:r>
      <w:r>
        <w:rPr>
          <w:rFonts w:ascii="Calibri" w:hAnsi="Calibri" w:eastAsia="Calibri" w:cs="Calibri"/>
          <w:strike/>
          <w:color w:val="030303"/>
          <w:sz w:val="17"/>
          <w:szCs w:val="17"/>
        </w:rPr>
        <w:t xml:space="preserve"> </w:t>
      </w:r>
    </w:p>
    <w:p>
      <w:pPr>
        <w:spacing w:before="238" w:line="186" w:lineRule="auto"/>
        <w:ind w:left="2671"/>
        <w:rPr>
          <w:rFonts w:ascii="Calibri" w:hAnsi="Calibri" w:eastAsia="Calibri" w:cs="Calibri"/>
          <w:sz w:val="17"/>
          <w:szCs w:val="17"/>
        </w:rPr>
      </w:pPr>
      <w:r>
        <w:rPr>
          <w:rFonts w:ascii="Calibri" w:hAnsi="Calibri" w:eastAsia="Calibri" w:cs="Calibri"/>
          <w:color w:val="030303"/>
          <w:spacing w:val="2"/>
          <w:sz w:val="17"/>
          <w:szCs w:val="17"/>
        </w:rPr>
        <w:t>70</w:t>
      </w:r>
      <w:r>
        <w:rPr>
          <w:rFonts w:ascii="Calibri" w:hAnsi="Calibri" w:eastAsia="Calibri" w:cs="Calibri"/>
          <w:color w:val="030303"/>
          <w:spacing w:val="1"/>
          <w:sz w:val="17"/>
          <w:szCs w:val="17"/>
        </w:rPr>
        <w:t>0</w:t>
      </w:r>
      <w:r>
        <w:rPr>
          <w:rFonts w:ascii="Calibri" w:hAnsi="Calibri" w:eastAsia="Calibri" w:cs="Calibri"/>
          <w:strike/>
          <w:color w:val="030303"/>
          <w:sz w:val="17"/>
          <w:szCs w:val="17"/>
        </w:rPr>
        <w:t xml:space="preserve"> </w:t>
      </w:r>
    </w:p>
    <w:p>
      <w:pPr>
        <w:spacing w:before="237" w:line="186" w:lineRule="auto"/>
        <w:ind w:left="2672"/>
        <w:rPr>
          <w:rFonts w:ascii="Calibri" w:hAnsi="Calibri" w:eastAsia="Calibri" w:cs="Calibri"/>
          <w:sz w:val="17"/>
          <w:szCs w:val="17"/>
        </w:rPr>
      </w:pPr>
      <w:r>
        <w:rPr>
          <w:rFonts w:ascii="Calibri" w:hAnsi="Calibri" w:eastAsia="Calibri" w:cs="Calibri"/>
          <w:color w:val="030303"/>
          <w:spacing w:val="2"/>
          <w:sz w:val="17"/>
          <w:szCs w:val="17"/>
        </w:rPr>
        <w:t>60</w:t>
      </w:r>
      <w:r>
        <w:rPr>
          <w:rFonts w:ascii="Calibri" w:hAnsi="Calibri" w:eastAsia="Calibri" w:cs="Calibri"/>
          <w:color w:val="030303"/>
          <w:spacing w:val="1"/>
          <w:sz w:val="17"/>
          <w:szCs w:val="17"/>
        </w:rPr>
        <w:t>0</w:t>
      </w:r>
      <w:r>
        <w:rPr>
          <w:rFonts w:ascii="Calibri" w:hAnsi="Calibri" w:eastAsia="Calibri" w:cs="Calibri"/>
          <w:strike/>
          <w:color w:val="030303"/>
          <w:sz w:val="17"/>
          <w:szCs w:val="17"/>
        </w:rPr>
        <w:t xml:space="preserve"> </w:t>
      </w:r>
    </w:p>
    <w:p>
      <w:pPr>
        <w:spacing w:before="238" w:line="186" w:lineRule="auto"/>
        <w:ind w:left="2671"/>
        <w:rPr>
          <w:rFonts w:ascii="Calibri" w:hAnsi="Calibri" w:eastAsia="Calibri" w:cs="Calibri"/>
          <w:sz w:val="17"/>
          <w:szCs w:val="17"/>
        </w:rPr>
      </w:pPr>
      <w:r>
        <w:rPr>
          <w:rFonts w:ascii="Calibri" w:hAnsi="Calibri" w:eastAsia="Calibri" w:cs="Calibri"/>
          <w:color w:val="030303"/>
          <w:spacing w:val="2"/>
          <w:sz w:val="17"/>
          <w:szCs w:val="17"/>
        </w:rPr>
        <w:t>50</w:t>
      </w:r>
      <w:r>
        <w:rPr>
          <w:rFonts w:ascii="Calibri" w:hAnsi="Calibri" w:eastAsia="Calibri" w:cs="Calibri"/>
          <w:color w:val="030303"/>
          <w:spacing w:val="1"/>
          <w:sz w:val="17"/>
          <w:szCs w:val="17"/>
        </w:rPr>
        <w:t>0</w:t>
      </w:r>
      <w:r>
        <w:rPr>
          <w:rFonts w:ascii="Calibri" w:hAnsi="Calibri" w:eastAsia="Calibri" w:cs="Calibri"/>
          <w:strike/>
          <w:color w:val="030303"/>
          <w:sz w:val="17"/>
          <w:szCs w:val="17"/>
        </w:rPr>
        <w:t xml:space="preserve"> </w:t>
      </w:r>
    </w:p>
    <w:p>
      <w:pPr>
        <w:spacing w:before="239" w:line="186" w:lineRule="auto"/>
        <w:ind w:left="2667"/>
        <w:rPr>
          <w:rFonts w:ascii="Calibri" w:hAnsi="Calibri" w:eastAsia="Calibri" w:cs="Calibri"/>
          <w:sz w:val="17"/>
          <w:szCs w:val="17"/>
        </w:rPr>
      </w:pPr>
      <w:r>
        <w:pict>
          <v:shape id="_x0000_s1465" o:spid="_x0000_s1465" o:spt="202" type="#_x0000_t202" style="position:absolute;left:0pt;margin-left:151.65pt;margin-top:9.15pt;height:12.85pt;width:323.7pt;z-index:252126208;mso-width-relative:page;mso-height-relative:page;" filled="f" stroked="f" coordsize="21600,21600">
            <v:path/>
            <v:fill on="f" focussize="0,0"/>
            <v:stroke on="f"/>
            <v:imagedata o:title=""/>
            <o:lock v:ext="edit" aspectratio="f"/>
            <v:textbox inset="0mm,0mm,0mm,0mm">
              <w:txbxContent>
                <w:p>
                  <w:pPr>
                    <w:tabs>
                      <w:tab w:val="left" w:pos="5670"/>
                    </w:tabs>
                    <w:spacing w:before="20" w:line="178" w:lineRule="auto"/>
                    <w:ind w:left="20"/>
                    <w:rPr>
                      <w:rFonts w:ascii="微软雅黑" w:hAnsi="微软雅黑" w:eastAsia="微软雅黑" w:cs="微软雅黑"/>
                      <w:sz w:val="17"/>
                      <w:szCs w:val="17"/>
                    </w:rPr>
                  </w:pPr>
                  <w:r>
                    <w:rPr>
                      <w:rFonts w:ascii="微软雅黑" w:hAnsi="微软雅黑" w:eastAsia="微软雅黑" w:cs="微软雅黑"/>
                      <w:strike/>
                      <w:color w:val="030303"/>
                      <w:sz w:val="17"/>
                      <w:szCs w:val="17"/>
                    </w:rPr>
                    <w:tab/>
                  </w:r>
                  <w:r>
                    <w:rPr>
                      <w:rFonts w:ascii="微软雅黑" w:hAnsi="微软雅黑" w:eastAsia="微软雅黑" w:cs="微软雅黑"/>
                      <w:strike/>
                      <w:color w:val="030303"/>
                      <w:spacing w:val="3"/>
                      <w:sz w:val="17"/>
                      <w:szCs w:val="17"/>
                    </w:rPr>
                    <w:t>75</w:t>
                  </w:r>
                  <w:r>
                    <w:rPr>
                      <w:rFonts w:ascii="微软雅黑" w:hAnsi="微软雅黑" w:eastAsia="微软雅黑" w:cs="微软雅黑"/>
                      <w:strike/>
                      <w:color w:val="030303"/>
                      <w:spacing w:val="2"/>
                      <w:sz w:val="17"/>
                      <w:szCs w:val="17"/>
                    </w:rPr>
                    <w:t>3</w:t>
                  </w:r>
                  <w:r>
                    <w:rPr>
                      <w:rFonts w:ascii="微软雅黑" w:hAnsi="微软雅黑" w:eastAsia="微软雅黑" w:cs="微软雅黑"/>
                      <w:strike/>
                      <w:color w:val="030303"/>
                      <w:sz w:val="17"/>
                      <w:szCs w:val="17"/>
                    </w:rPr>
                    <w:t xml:space="preserve">         </w:t>
                  </w:r>
                </w:p>
              </w:txbxContent>
            </v:textbox>
          </v:shape>
        </w:pict>
      </w:r>
      <w:r>
        <w:rPr>
          <w:rFonts w:ascii="Calibri" w:hAnsi="Calibri" w:eastAsia="Calibri" w:cs="Calibri"/>
          <w:color w:val="030303"/>
          <w:spacing w:val="4"/>
          <w:sz w:val="17"/>
          <w:szCs w:val="17"/>
        </w:rPr>
        <w:t>4</w:t>
      </w:r>
      <w:r>
        <w:rPr>
          <w:rFonts w:ascii="Calibri" w:hAnsi="Calibri" w:eastAsia="Calibri" w:cs="Calibri"/>
          <w:color w:val="030303"/>
          <w:spacing w:val="3"/>
          <w:sz w:val="17"/>
          <w:szCs w:val="17"/>
        </w:rPr>
        <w:t>00</w:t>
      </w:r>
      <w:r>
        <w:rPr>
          <w:rFonts w:ascii="Calibri" w:hAnsi="Calibri" w:eastAsia="Calibri" w:cs="Calibri"/>
          <w:strike/>
          <w:color w:val="030303"/>
          <w:sz w:val="17"/>
          <w:szCs w:val="17"/>
        </w:rPr>
        <w:t xml:space="preserve"> </w:t>
      </w:r>
    </w:p>
    <w:p>
      <w:pPr>
        <w:spacing w:before="238" w:line="186" w:lineRule="auto"/>
        <w:ind w:left="2671"/>
        <w:rPr>
          <w:rFonts w:ascii="Calibri" w:hAnsi="Calibri" w:eastAsia="Calibri" w:cs="Calibri"/>
          <w:sz w:val="17"/>
          <w:szCs w:val="17"/>
        </w:rPr>
      </w:pPr>
      <w:r>
        <w:rPr>
          <w:rFonts w:ascii="Calibri" w:hAnsi="Calibri" w:eastAsia="Calibri" w:cs="Calibri"/>
          <w:color w:val="030303"/>
          <w:spacing w:val="2"/>
          <w:sz w:val="17"/>
          <w:szCs w:val="17"/>
        </w:rPr>
        <w:t>30</w:t>
      </w:r>
      <w:r>
        <w:rPr>
          <w:rFonts w:ascii="Calibri" w:hAnsi="Calibri" w:eastAsia="Calibri" w:cs="Calibri"/>
          <w:color w:val="030303"/>
          <w:spacing w:val="1"/>
          <w:sz w:val="17"/>
          <w:szCs w:val="17"/>
        </w:rPr>
        <w:t>0</w:t>
      </w:r>
      <w:r>
        <w:rPr>
          <w:rFonts w:ascii="Calibri" w:hAnsi="Calibri" w:eastAsia="Calibri" w:cs="Calibri"/>
          <w:strike/>
          <w:color w:val="030303"/>
          <w:sz w:val="17"/>
          <w:szCs w:val="17"/>
        </w:rPr>
        <w:t xml:space="preserve"> </w:t>
      </w:r>
    </w:p>
    <w:p>
      <w:pPr>
        <w:spacing w:before="237" w:line="116" w:lineRule="exact"/>
        <w:ind w:left="2672"/>
        <w:rPr>
          <w:rFonts w:ascii="Calibri" w:hAnsi="Calibri" w:eastAsia="Calibri" w:cs="Calibri"/>
          <w:sz w:val="17"/>
          <w:szCs w:val="17"/>
        </w:rPr>
      </w:pPr>
      <w:r>
        <w:rPr>
          <w:rFonts w:ascii="Calibri" w:hAnsi="Calibri" w:eastAsia="Calibri" w:cs="Calibri"/>
          <w:color w:val="030303"/>
          <w:spacing w:val="2"/>
          <w:position w:val="-2"/>
          <w:sz w:val="17"/>
          <w:szCs w:val="17"/>
        </w:rPr>
        <w:t>2</w:t>
      </w:r>
      <w:r>
        <w:rPr>
          <w:rFonts w:ascii="Calibri" w:hAnsi="Calibri" w:eastAsia="Calibri" w:cs="Calibri"/>
          <w:color w:val="030303"/>
          <w:spacing w:val="1"/>
          <w:position w:val="-2"/>
          <w:sz w:val="17"/>
          <w:szCs w:val="17"/>
        </w:rPr>
        <w:t>00</w:t>
      </w:r>
      <w:r>
        <w:rPr>
          <w:rFonts w:ascii="Calibri" w:hAnsi="Calibri" w:eastAsia="Calibri" w:cs="Calibri"/>
          <w:strike/>
          <w:color w:val="030303"/>
          <w:position w:val="-2"/>
          <w:sz w:val="17"/>
          <w:szCs w:val="17"/>
        </w:rPr>
        <w:t xml:space="preserve"> </w:t>
      </w:r>
    </w:p>
    <w:p>
      <w:pPr>
        <w:spacing w:before="1" w:line="176" w:lineRule="auto"/>
        <w:ind w:left="7419"/>
        <w:rPr>
          <w:rFonts w:ascii="微软雅黑" w:hAnsi="微软雅黑" w:eastAsia="微软雅黑" w:cs="微软雅黑"/>
          <w:sz w:val="17"/>
          <w:szCs w:val="17"/>
        </w:rPr>
      </w:pPr>
      <w:r>
        <w:rPr>
          <w:rFonts w:ascii="微软雅黑" w:hAnsi="微软雅黑" w:eastAsia="微软雅黑" w:cs="微软雅黑"/>
          <w:color w:val="030303"/>
          <w:spacing w:val="2"/>
          <w:sz w:val="17"/>
          <w:szCs w:val="17"/>
        </w:rPr>
        <w:t>33</w:t>
      </w:r>
      <w:r>
        <w:rPr>
          <w:rFonts w:ascii="微软雅黑" w:hAnsi="微软雅黑" w:eastAsia="微软雅黑" w:cs="微软雅黑"/>
          <w:color w:val="030303"/>
          <w:spacing w:val="1"/>
          <w:sz w:val="17"/>
          <w:szCs w:val="17"/>
        </w:rPr>
        <w:t>7</w:t>
      </w:r>
    </w:p>
    <w:p>
      <w:pPr>
        <w:spacing w:before="69" w:line="186" w:lineRule="auto"/>
        <w:ind w:left="2678"/>
        <w:rPr>
          <w:rFonts w:ascii="Calibri" w:hAnsi="Calibri" w:eastAsia="Calibri" w:cs="Calibri"/>
          <w:sz w:val="17"/>
          <w:szCs w:val="17"/>
        </w:rPr>
      </w:pPr>
      <w:r>
        <w:pict>
          <v:shape id="_x0000_s1466" o:spid="_x0000_s1466" o:spt="202" type="#_x0000_t202" style="position:absolute;left:0pt;margin-left:305.9pt;margin-top:6.55pt;height:12.9pt;width:16.95pt;z-index:25213542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17"/>
                      <w:szCs w:val="17"/>
                    </w:rPr>
                  </w:pPr>
                  <w:r>
                    <w:rPr>
                      <w:rFonts w:ascii="微软雅黑" w:hAnsi="微软雅黑" w:eastAsia="微软雅黑" w:cs="微软雅黑"/>
                      <w:color w:val="030303"/>
                      <w:spacing w:val="-1"/>
                      <w:sz w:val="17"/>
                      <w:szCs w:val="17"/>
                    </w:rPr>
                    <w:t>1</w:t>
                  </w:r>
                  <w:r>
                    <w:rPr>
                      <w:rFonts w:ascii="微软雅黑" w:hAnsi="微软雅黑" w:eastAsia="微软雅黑" w:cs="微软雅黑"/>
                      <w:color w:val="030303"/>
                      <w:sz w:val="17"/>
                      <w:szCs w:val="17"/>
                    </w:rPr>
                    <w:t>45</w:t>
                  </w:r>
                </w:p>
              </w:txbxContent>
            </v:textbox>
          </v:shape>
        </w:pict>
      </w:r>
      <w:r>
        <w:rPr>
          <w:rFonts w:ascii="Calibri" w:hAnsi="Calibri" w:eastAsia="Calibri" w:cs="Calibri"/>
          <w:color w:val="030303"/>
          <w:spacing w:val="-1"/>
          <w:sz w:val="17"/>
          <w:szCs w:val="17"/>
        </w:rPr>
        <w:t>1</w:t>
      </w:r>
      <w:r>
        <w:rPr>
          <w:rFonts w:ascii="Calibri" w:hAnsi="Calibri" w:eastAsia="Calibri" w:cs="Calibri"/>
          <w:color w:val="030303"/>
          <w:sz w:val="17"/>
          <w:szCs w:val="17"/>
        </w:rPr>
        <w:t>00</w:t>
      </w:r>
      <w:r>
        <w:rPr>
          <w:rFonts w:ascii="Calibri" w:hAnsi="Calibri" w:eastAsia="Calibri" w:cs="Calibri"/>
          <w:strike/>
          <w:color w:val="030303"/>
          <w:sz w:val="17"/>
          <w:szCs w:val="17"/>
        </w:rPr>
        <w:t xml:space="preserve"> </w:t>
      </w:r>
    </w:p>
    <w:p>
      <w:pPr>
        <w:spacing w:before="52" w:line="190" w:lineRule="exact"/>
        <w:ind w:left="3605"/>
        <w:rPr>
          <w:rFonts w:ascii="微软雅黑" w:hAnsi="微软雅黑" w:eastAsia="微软雅黑" w:cs="微软雅黑"/>
          <w:sz w:val="17"/>
          <w:szCs w:val="17"/>
        </w:rPr>
      </w:pPr>
      <w:r>
        <w:rPr>
          <w:rFonts w:ascii="微软雅黑" w:hAnsi="微软雅黑" w:eastAsia="微软雅黑" w:cs="微软雅黑"/>
          <w:color w:val="030303"/>
          <w:spacing w:val="2"/>
          <w:position w:val="-3"/>
          <w:sz w:val="17"/>
          <w:szCs w:val="17"/>
        </w:rPr>
        <w:t xml:space="preserve">57        </w:t>
      </w:r>
      <w:r>
        <w:rPr>
          <w:rFonts w:ascii="微软雅黑" w:hAnsi="微软雅黑" w:eastAsia="微软雅黑" w:cs="微软雅黑"/>
          <w:color w:val="030303"/>
          <w:spacing w:val="1"/>
          <w:position w:val="-3"/>
          <w:sz w:val="17"/>
          <w:szCs w:val="17"/>
        </w:rPr>
        <w:t xml:space="preserve">             </w:t>
      </w:r>
      <w:r>
        <w:rPr>
          <w:rFonts w:ascii="微软雅黑" w:hAnsi="微软雅黑" w:eastAsia="微软雅黑" w:cs="微软雅黑"/>
          <w:color w:val="030303"/>
          <w:spacing w:val="1"/>
          <w:position w:val="1"/>
          <w:sz w:val="17"/>
          <w:szCs w:val="17"/>
        </w:rPr>
        <w:t>86</w:t>
      </w:r>
    </w:p>
    <w:p>
      <w:pPr>
        <w:spacing w:line="181" w:lineRule="auto"/>
        <w:ind w:left="2850"/>
        <w:rPr>
          <w:rFonts w:ascii="Calibri" w:hAnsi="Calibri" w:eastAsia="Calibri" w:cs="Calibri"/>
          <w:sz w:val="17"/>
          <w:szCs w:val="17"/>
        </w:rPr>
      </w:pPr>
      <w:r>
        <w:rPr>
          <w:rFonts w:ascii="Calibri" w:hAnsi="Calibri" w:eastAsia="Calibri" w:cs="Calibri"/>
          <w:color w:val="030303"/>
          <w:sz w:val="17"/>
          <w:szCs w:val="17"/>
        </w:rPr>
        <w:t>0</w:t>
      </w:r>
    </w:p>
    <w:p>
      <w:pPr>
        <w:spacing w:before="66" w:line="186" w:lineRule="auto"/>
        <w:ind w:left="3524"/>
        <w:rPr>
          <w:rFonts w:ascii="Calibri" w:hAnsi="Calibri" w:eastAsia="Calibri" w:cs="Calibri"/>
          <w:sz w:val="17"/>
          <w:szCs w:val="17"/>
        </w:rPr>
      </w:pPr>
      <w:r>
        <w:rPr>
          <w:rFonts w:ascii="Calibri" w:hAnsi="Calibri" w:eastAsia="Calibri" w:cs="Calibri"/>
          <w:color w:val="030303"/>
          <w:spacing w:val="1"/>
          <w:sz w:val="17"/>
          <w:szCs w:val="17"/>
        </w:rPr>
        <w:t>2017                        2018                        2019                        2020</w:t>
      </w:r>
      <w:r>
        <w:rPr>
          <w:rFonts w:ascii="Calibri" w:hAnsi="Calibri" w:eastAsia="Calibri" w:cs="Calibri"/>
          <w:color w:val="030303"/>
          <w:sz w:val="17"/>
          <w:szCs w:val="17"/>
        </w:rPr>
        <w:t xml:space="preserve">                        2021</w:t>
      </w:r>
    </w:p>
    <w:p>
      <w:pPr>
        <w:spacing w:line="351" w:lineRule="auto"/>
        <w:rPr>
          <w:rFonts w:ascii="Arial"/>
          <w:sz w:val="21"/>
        </w:rPr>
      </w:pPr>
    </w:p>
    <w:p>
      <w:pPr>
        <w:spacing w:before="65" w:line="226" w:lineRule="auto"/>
        <w:ind w:left="2732"/>
        <w:rPr>
          <w:rFonts w:ascii="SimHei" w:hAnsi="SimHei" w:eastAsia="SimHei" w:cs="SimHei"/>
          <w:sz w:val="20"/>
          <w:szCs w:val="20"/>
        </w:rPr>
      </w:pPr>
      <w:r>
        <w:rPr>
          <w:rFonts w:ascii="SimHei" w:hAnsi="SimHei" w:eastAsia="SimHei" w:cs="SimHei"/>
          <w:color w:val="231F20"/>
          <w:spacing w:val="4"/>
          <w:sz w:val="20"/>
          <w:szCs w:val="20"/>
        </w:rPr>
        <w:t xml:space="preserve">图 </w:t>
      </w:r>
      <w:r>
        <w:rPr>
          <w:rFonts w:ascii="Times New Roman" w:hAnsi="Times New Roman" w:eastAsia="Times New Roman" w:cs="Times New Roman"/>
          <w:color w:val="231F20"/>
          <w:spacing w:val="4"/>
          <w:sz w:val="20"/>
          <w:szCs w:val="20"/>
        </w:rPr>
        <w:t>2- 19 2017-20</w:t>
      </w:r>
      <w:r>
        <w:rPr>
          <w:rFonts w:ascii="Times New Roman" w:hAnsi="Times New Roman" w:eastAsia="Times New Roman" w:cs="Times New Roman"/>
          <w:color w:val="231F20"/>
          <w:spacing w:val="3"/>
          <w:sz w:val="20"/>
          <w:szCs w:val="20"/>
        </w:rPr>
        <w:t>2</w:t>
      </w:r>
      <w:r>
        <w:rPr>
          <w:rFonts w:ascii="Times New Roman" w:hAnsi="Times New Roman" w:eastAsia="Times New Roman" w:cs="Times New Roman"/>
          <w:color w:val="231F20"/>
          <w:spacing w:val="2"/>
          <w:sz w:val="20"/>
          <w:szCs w:val="20"/>
        </w:rPr>
        <w:t xml:space="preserve">1 </w:t>
      </w:r>
      <w:r>
        <w:rPr>
          <w:rFonts w:ascii="SimHei" w:hAnsi="SimHei" w:eastAsia="SimHei" w:cs="SimHei"/>
          <w:color w:val="231F20"/>
          <w:spacing w:val="2"/>
          <w:sz w:val="20"/>
          <w:szCs w:val="20"/>
        </w:rPr>
        <w:t>年工业和信息化部颁发增值电信经营许可的外资企业数量</w:t>
      </w:r>
    </w:p>
    <w:p>
      <w:pPr>
        <w:spacing w:before="138" w:line="222" w:lineRule="auto"/>
        <w:ind w:left="1987"/>
        <w:rPr>
          <w:rFonts w:ascii="KaiTi" w:hAnsi="KaiTi" w:eastAsia="KaiTi" w:cs="KaiTi"/>
          <w:sz w:val="17"/>
          <w:szCs w:val="17"/>
        </w:rPr>
      </w:pPr>
      <w:r>
        <w:rPr>
          <w:rFonts w:ascii="KaiTi" w:hAnsi="KaiTi" w:eastAsia="KaiTi" w:cs="KaiTi"/>
          <w:color w:val="231F20"/>
          <w:spacing w:val="6"/>
          <w:sz w:val="17"/>
          <w:szCs w:val="17"/>
        </w:rPr>
        <w:t>数据来源： 中国信息</w:t>
      </w:r>
      <w:r>
        <w:rPr>
          <w:rFonts w:ascii="KaiTi" w:hAnsi="KaiTi" w:eastAsia="KaiTi" w:cs="KaiTi"/>
          <w:color w:val="231F20"/>
          <w:spacing w:val="4"/>
          <w:sz w:val="17"/>
          <w:szCs w:val="17"/>
        </w:rPr>
        <w:t>通</w:t>
      </w:r>
      <w:r>
        <w:rPr>
          <w:rFonts w:ascii="KaiTi" w:hAnsi="KaiTi" w:eastAsia="KaiTi" w:cs="KaiTi"/>
          <w:color w:val="231F20"/>
          <w:spacing w:val="3"/>
          <w:sz w:val="17"/>
          <w:szCs w:val="17"/>
        </w:rPr>
        <w:t>信研究院《外商投资电信企业发展态势 (</w:t>
      </w:r>
      <w:r>
        <w:rPr>
          <w:rFonts w:ascii="Times New Roman" w:hAnsi="Times New Roman" w:eastAsia="Times New Roman" w:cs="Times New Roman"/>
          <w:color w:val="231F20"/>
          <w:spacing w:val="3"/>
          <w:sz w:val="17"/>
          <w:szCs w:val="17"/>
        </w:rPr>
        <w:t xml:space="preserve">2020 </w:t>
      </w:r>
      <w:r>
        <w:rPr>
          <w:rFonts w:ascii="KaiTi" w:hAnsi="KaiTi" w:eastAsia="KaiTi" w:cs="KaiTi"/>
          <w:color w:val="231F20"/>
          <w:spacing w:val="3"/>
          <w:sz w:val="17"/>
          <w:szCs w:val="17"/>
        </w:rPr>
        <w:t xml:space="preserve">年 </w:t>
      </w:r>
      <w:r>
        <w:rPr>
          <w:rFonts w:ascii="Times New Roman" w:hAnsi="Times New Roman" w:eastAsia="Times New Roman" w:cs="Times New Roman"/>
          <w:color w:val="231F20"/>
          <w:spacing w:val="3"/>
          <w:sz w:val="17"/>
          <w:szCs w:val="17"/>
        </w:rPr>
        <w:t xml:space="preserve">6 </w:t>
      </w:r>
      <w:r>
        <w:rPr>
          <w:rFonts w:ascii="KaiTi" w:hAnsi="KaiTi" w:eastAsia="KaiTi" w:cs="KaiTi"/>
          <w:color w:val="231F20"/>
          <w:spacing w:val="3"/>
          <w:sz w:val="17"/>
          <w:szCs w:val="17"/>
        </w:rPr>
        <w:t>月 ) 》《信息通信业营商环境发</w:t>
      </w:r>
    </w:p>
    <w:p>
      <w:pPr>
        <w:spacing w:before="35" w:line="222" w:lineRule="auto"/>
        <w:ind w:left="1981"/>
        <w:rPr>
          <w:rFonts w:ascii="KaiTi" w:hAnsi="KaiTi" w:eastAsia="KaiTi" w:cs="KaiTi"/>
          <w:sz w:val="17"/>
          <w:szCs w:val="17"/>
        </w:rPr>
      </w:pPr>
      <w:r>
        <w:rPr>
          <w:rFonts w:ascii="KaiTi" w:hAnsi="KaiTi" w:eastAsia="KaiTi" w:cs="KaiTi"/>
          <w:color w:val="231F20"/>
          <w:spacing w:val="5"/>
          <w:sz w:val="17"/>
          <w:szCs w:val="17"/>
        </w:rPr>
        <w:t>展</w:t>
      </w:r>
      <w:r>
        <w:rPr>
          <w:rFonts w:ascii="KaiTi" w:hAnsi="KaiTi" w:eastAsia="KaiTi" w:cs="KaiTi"/>
          <w:color w:val="231F20"/>
          <w:spacing w:val="4"/>
          <w:sz w:val="17"/>
          <w:szCs w:val="17"/>
        </w:rPr>
        <w:t>报告 (</w:t>
      </w:r>
      <w:r>
        <w:rPr>
          <w:rFonts w:ascii="Times New Roman" w:hAnsi="Times New Roman" w:eastAsia="Times New Roman" w:cs="Times New Roman"/>
          <w:color w:val="231F20"/>
          <w:spacing w:val="4"/>
          <w:sz w:val="17"/>
          <w:szCs w:val="17"/>
        </w:rPr>
        <w:t>2022</w:t>
      </w:r>
      <w:r>
        <w:rPr>
          <w:rFonts w:ascii="KaiTi" w:hAnsi="KaiTi" w:eastAsia="KaiTi" w:cs="KaiTi"/>
          <w:color w:val="231F20"/>
          <w:spacing w:val="4"/>
          <w:sz w:val="17"/>
          <w:szCs w:val="17"/>
        </w:rPr>
        <w:t>) 》。</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3747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0"/>
        <w:rPr>
          <w:rFonts w:ascii="Arial" w:hAnsi="Arial" w:eastAsia="Arial" w:cs="Arial"/>
          <w:sz w:val="20"/>
          <w:szCs w:val="20"/>
        </w:rPr>
      </w:pPr>
      <w:bookmarkStart w:id="65" w:name="_bookmark47"/>
      <w:bookmarkEnd w:id="65"/>
      <w:r>
        <w:rPr>
          <w:rFonts w:ascii="SimHei" w:hAnsi="SimHei" w:eastAsia="SimHei" w:cs="SimHei"/>
          <w:color w:val="1A67B3"/>
          <w:spacing w:val="39"/>
          <w:position w:val="1"/>
          <w:sz w:val="21"/>
          <w:szCs w:val="21"/>
          <w14:textOutline w14:w="3175" w14:cap="flat" w14:cmpd="sng">
            <w14:solidFill>
              <w14:srgbClr w14:val="1A67B3"/>
            </w14:solidFill>
            <w14:prstDash w14:val="solid"/>
            <w14:miter w14:val="0"/>
          </w14:textOutline>
        </w:rPr>
        <w:t>产</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业篇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19" name="IM 319"/>
            <wp:cNvGraphicFramePr/>
            <a:graphic xmlns:a="http://schemas.openxmlformats.org/drawingml/2006/main">
              <a:graphicData uri="http://schemas.openxmlformats.org/drawingml/2006/picture">
                <pic:pic xmlns:pic="http://schemas.openxmlformats.org/drawingml/2006/picture">
                  <pic:nvPicPr>
                    <pic:cNvPr id="319" name="IM 319"/>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61</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94" w:line="260" w:lineRule="auto"/>
        <w:ind w:left="1994" w:right="1982" w:firstLine="450"/>
        <w:rPr>
          <w:rFonts w:ascii="微软雅黑" w:hAnsi="微软雅黑" w:eastAsia="微软雅黑" w:cs="微软雅黑"/>
          <w:sz w:val="22"/>
          <w:szCs w:val="22"/>
        </w:rPr>
      </w:pPr>
      <w:r>
        <w:rPr>
          <w:rFonts w:ascii="SimHei" w:hAnsi="SimHei" w:eastAsia="SimHei" w:cs="SimHei"/>
          <w:color w:val="231F20"/>
          <w:spacing w:val="10"/>
          <w:sz w:val="22"/>
          <w:szCs w:val="22"/>
        </w:rPr>
        <w:t>在研发设计领域，</w:t>
      </w:r>
      <w:r>
        <w:rPr>
          <w:rFonts w:ascii="微软雅黑" w:hAnsi="微软雅黑" w:eastAsia="微软雅黑" w:cs="微软雅黑"/>
          <w:color w:val="231F20"/>
          <w:spacing w:val="10"/>
          <w:sz w:val="22"/>
          <w:szCs w:val="22"/>
        </w:rPr>
        <w:t>外资研发中心在中国主要从事生物医药、信息技术、汽车</w:t>
      </w:r>
      <w:r>
        <w:rPr>
          <w:rFonts w:ascii="微软雅黑" w:hAnsi="微软雅黑" w:eastAsia="微软雅黑" w:cs="微软雅黑"/>
          <w:color w:val="231F20"/>
          <w:spacing w:val="9"/>
          <w:sz w:val="22"/>
          <w:szCs w:val="22"/>
        </w:rPr>
        <w:t>零</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部件和化工、  电子设备和机械制造等资本技术密集型行</w:t>
      </w:r>
      <w:r>
        <w:rPr>
          <w:rFonts w:ascii="微软雅黑" w:hAnsi="微软雅黑" w:eastAsia="微软雅黑" w:cs="微软雅黑"/>
          <w:color w:val="231F20"/>
          <w:spacing w:val="-1"/>
          <w:sz w:val="22"/>
          <w:szCs w:val="22"/>
        </w:rPr>
        <w:t>业的研发与服务 ，且呈现出从</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过去以服务</w:t>
      </w:r>
      <w:r>
        <w:rPr>
          <w:rFonts w:ascii="微软雅黑" w:hAnsi="微软雅黑" w:eastAsia="微软雅黑" w:cs="微软雅黑"/>
          <w:color w:val="231F20"/>
          <w:spacing w:val="3"/>
          <w:sz w:val="22"/>
          <w:szCs w:val="22"/>
        </w:rPr>
        <w:t>本地市场的应用技术研究向承担全球研发核心技术的基础性研究转变的趋</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势。</w:t>
      </w:r>
      <w:r>
        <w:rPr>
          <w:rFonts w:ascii="Times New Roman" w:hAnsi="Times New Roman" w:eastAsia="Times New Roman" w:cs="Times New Roman"/>
          <w:color w:val="231F20"/>
          <w:spacing w:val="1"/>
          <w:sz w:val="22"/>
          <w:szCs w:val="22"/>
        </w:rPr>
        <w:t>2021</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 xml:space="preserve">年 ，在国家和各地积极出台支持政策、中国市场不断壮大以及创新资源和创 </w:t>
      </w:r>
      <w:r>
        <w:rPr>
          <w:rFonts w:ascii="微软雅黑" w:hAnsi="微软雅黑" w:eastAsia="微软雅黑" w:cs="微软雅黑"/>
          <w:color w:val="231F20"/>
          <w:spacing w:val="2"/>
          <w:sz w:val="22"/>
          <w:szCs w:val="22"/>
        </w:rPr>
        <w:t>新应用场景丰富等因素的推动下 ，一批外资企业纷纷在华</w:t>
      </w:r>
      <w:r>
        <w:rPr>
          <w:rFonts w:ascii="微软雅黑" w:hAnsi="微软雅黑" w:eastAsia="微软雅黑" w:cs="微软雅黑"/>
          <w:color w:val="231F20"/>
          <w:spacing w:val="1"/>
          <w:sz w:val="22"/>
          <w:szCs w:val="22"/>
        </w:rPr>
        <w:t>设立研发中心或创新中心，</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致力于推动研发本地化发展，服</w:t>
      </w:r>
      <w:r>
        <w:rPr>
          <w:rFonts w:ascii="微软雅黑" w:hAnsi="微软雅黑" w:eastAsia="微软雅黑" w:cs="微软雅黑"/>
          <w:color w:val="231F20"/>
          <w:sz w:val="22"/>
          <w:szCs w:val="22"/>
        </w:rPr>
        <w:t>务企业全球供应链布局。</w:t>
      </w:r>
    </w:p>
    <w:p>
      <w:pPr>
        <w:sectPr>
          <w:pgSz w:w="12246" w:h="16498"/>
          <w:pgMar w:top="400" w:right="0" w:bottom="400" w:left="0" w:header="0" w:footer="0" w:gutter="0"/>
          <w:cols w:space="720" w:num="1"/>
        </w:sectPr>
      </w:pPr>
    </w:p>
    <w:p>
      <w:pPr>
        <w:spacing w:line="16494" w:lineRule="exact"/>
        <w:ind w:firstLine="10238"/>
        <w:textAlignment w:val="center"/>
      </w:pPr>
      <w:r>
        <w:drawing>
          <wp:inline distT="0" distB="0" distL="0" distR="0">
            <wp:extent cx="107950" cy="10473690"/>
            <wp:effectExtent l="0" t="0" r="0" b="0"/>
            <wp:docPr id="321" name="IM 321"/>
            <wp:cNvGraphicFramePr/>
            <a:graphic xmlns:a="http://schemas.openxmlformats.org/drawingml/2006/main">
              <a:graphicData uri="http://schemas.openxmlformats.org/drawingml/2006/picture">
                <pic:pic xmlns:pic="http://schemas.openxmlformats.org/drawingml/2006/picture">
                  <pic:nvPicPr>
                    <pic:cNvPr id="321" name="IM 321"/>
                    <pic:cNvPicPr/>
                  </pic:nvPicPr>
                  <pic:blipFill>
                    <a:blip r:embed="rId45"/>
                    <a:stretch>
                      <a:fillRect/>
                    </a:stretch>
                  </pic:blipFill>
                  <pic:spPr>
                    <a:xfrm>
                      <a:off x="0" y="0"/>
                      <a:ext cx="107994" cy="10474249"/>
                    </a:xfrm>
                    <a:prstGeom prst="rect">
                      <a:avLst/>
                    </a:prstGeom>
                  </pic:spPr>
                </pic:pic>
              </a:graphicData>
            </a:graphic>
          </wp:inline>
        </w:drawing>
      </w:r>
    </w:p>
    <w:p>
      <w:pPr>
        <w:sectPr>
          <w:pgSz w:w="12246" w:h="16498"/>
          <w:pgMar w:top="1" w:right="0" w:bottom="1" w:left="1836" w:header="0" w:footer="0"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273" w:line="1108" w:lineRule="exact"/>
        <w:ind w:left="4728"/>
        <w:rPr>
          <w:rFonts w:ascii="SimHei" w:hAnsi="SimHei" w:eastAsia="SimHei" w:cs="SimHei"/>
          <w:sz w:val="84"/>
          <w:szCs w:val="84"/>
        </w:rPr>
      </w:pPr>
      <w:bookmarkStart w:id="66" w:name="_bookmark52"/>
      <w:bookmarkEnd w:id="66"/>
      <w:bookmarkStart w:id="67" w:name="_bookmark51"/>
      <w:bookmarkEnd w:id="67"/>
      <w:bookmarkStart w:id="68" w:name="_bookmark53"/>
      <w:bookmarkEnd w:id="68"/>
      <w:r>
        <w:rPr>
          <w:rFonts w:ascii="SimHei" w:hAnsi="SimHei" w:eastAsia="SimHei" w:cs="SimHei"/>
          <w:color w:val="004876"/>
          <w:spacing w:val="-7"/>
          <w:position w:val="3"/>
          <w:sz w:val="84"/>
          <w:szCs w:val="84"/>
          <w14:textOutline w14:w="12700" w14:cap="flat" w14:cmpd="sng">
            <w14:solidFill>
              <w14:srgbClr w14:val="004876"/>
            </w14:solidFill>
            <w14:prstDash w14:val="solid"/>
            <w14:miter w14:val="0"/>
          </w14:textOutline>
        </w:rPr>
        <w:t>地方篇</w:t>
      </w:r>
    </w:p>
    <w:p>
      <w:pPr>
        <w:sectPr>
          <w:headerReference r:id="rId13" w:type="default"/>
          <w:pgSz w:w="12246" w:h="16498"/>
          <w:pgMar w:top="400" w:right="0" w:bottom="400" w:left="170" w:header="0" w:footer="0" w:gutter="0"/>
          <w:cols w:space="720" w:num="1"/>
        </w:sectPr>
      </w:pPr>
    </w:p>
    <w:p>
      <w:pPr>
        <w:spacing w:line="357" w:lineRule="auto"/>
        <w:rPr>
          <w:rFonts w:ascii="Arial"/>
          <w:sz w:val="21"/>
        </w:rPr>
      </w:pPr>
      <w:r>
        <w:drawing>
          <wp:anchor distT="0" distB="0" distL="0" distR="0" simplePos="0" relativeHeight="25213849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23" name="IM 323"/>
            <wp:cNvGraphicFramePr/>
            <a:graphic xmlns:a="http://schemas.openxmlformats.org/drawingml/2006/main">
              <a:graphicData uri="http://schemas.openxmlformats.org/drawingml/2006/picture">
                <pic:pic xmlns:pic="http://schemas.openxmlformats.org/drawingml/2006/picture">
                  <pic:nvPicPr>
                    <pic:cNvPr id="323" name="IM 323"/>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bookmarkStart w:id="69" w:name="_bookmark56"/>
      <w:bookmarkEnd w:id="69"/>
      <w:bookmarkStart w:id="70" w:name="_bookmark55"/>
      <w:bookmarkEnd w:id="70"/>
      <w:bookmarkStart w:id="71" w:name="_bookmark54"/>
      <w:bookmarkEnd w:id="71"/>
      <w:r>
        <w:rPr>
          <w:rFonts w:ascii="Arial" w:hAnsi="Arial" w:eastAsia="Arial" w:cs="Arial"/>
          <w:color w:val="231F20"/>
          <w:spacing w:val="41"/>
          <w:sz w:val="20"/>
          <w:szCs w:val="20"/>
        </w:rPr>
        <w:t>6</w:t>
      </w:r>
      <w:r>
        <w:rPr>
          <w:rFonts w:ascii="Arial" w:hAnsi="Arial" w:eastAsia="Arial" w:cs="Arial"/>
          <w:color w:val="231F20"/>
          <w:spacing w:val="21"/>
          <w:sz w:val="20"/>
          <w:szCs w:val="20"/>
        </w:rPr>
        <w:t xml:space="preserve">4  </w:t>
      </w:r>
      <w:r>
        <w:rPr>
          <w:position w:val="-5"/>
          <w:sz w:val="20"/>
          <w:szCs w:val="20"/>
        </w:rPr>
        <w:drawing>
          <wp:inline distT="0" distB="0" distL="0" distR="0">
            <wp:extent cx="3175" cy="147320"/>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325" name="IM 325"/>
            <wp:cNvGraphicFramePr/>
            <a:graphic xmlns:a="http://schemas.openxmlformats.org/drawingml/2006/main">
              <a:graphicData uri="http://schemas.openxmlformats.org/drawingml/2006/picture">
                <pic:pic xmlns:pic="http://schemas.openxmlformats.org/drawingml/2006/picture">
                  <pic:nvPicPr>
                    <pic:cNvPr id="325" name="IM 325"/>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3265" w:lineRule="exact"/>
        <w:ind w:firstLine="1984"/>
        <w:textAlignment w:val="center"/>
      </w:pPr>
      <w:r>
        <w:pict>
          <v:group id="_x0000_s1467" o:spid="_x0000_s1467" o:spt="203" style="height:163.25pt;width:413.9pt;" coordsize="8277,3265">
            <o:lock v:ext="edit"/>
            <v:rect id="_x0000_s1468" o:spid="_x0000_s1468" o:spt="1" style="position:absolute;left:0;top:124;height:3032;width:8277;" fillcolor="#E5F5FC" filled="t" stroked="f" coordsize="21600,21600">
              <v:path/>
              <v:fill on="t" focussize="0,0"/>
              <v:stroke on="f"/>
              <v:imagedata o:title=""/>
              <o:lock v:ext="edit"/>
            </v:rect>
            <v:shape id="_x0000_s1469" o:spid="_x0000_s1469" o:spt="202" type="#_x0000_t202" style="position:absolute;left:-20;top:-20;height:3305;width:8317;" filled="f" stroked="f" coordsize="21600,21600">
              <v:path/>
              <v:fill on="f" focussize="0,0"/>
              <v:stroke on="f"/>
              <v:imagedata o:title=""/>
              <o:lock v:ext="edit" aspectratio="f"/>
              <v:textbox inset="0mm,0mm,0mm,0mm">
                <w:txbxContent>
                  <w:p>
                    <w:pPr>
                      <w:spacing w:before="20" w:line="39" w:lineRule="exact"/>
                      <w:ind w:firstLine="20"/>
                      <w:textAlignment w:val="center"/>
                    </w:pPr>
                    <w:r>
                      <w:drawing>
                        <wp:inline distT="0" distB="0" distL="0" distR="0">
                          <wp:extent cx="5255895" cy="2476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75"/>
                                  <a:stretch>
                                    <a:fillRect/>
                                  </a:stretch>
                                </pic:blipFill>
                                <pic:spPr>
                                  <a:xfrm>
                                    <a:off x="0" y="0"/>
                                    <a:ext cx="5255996" cy="25399"/>
                                  </a:xfrm>
                                  <a:prstGeom prst="rect">
                                    <a:avLst/>
                                  </a:prstGeom>
                                </pic:spPr>
                              </pic:pic>
                            </a:graphicData>
                          </a:graphic>
                        </wp:inline>
                      </w:drawing>
                    </w:r>
                  </w:p>
                  <w:p>
                    <w:pPr>
                      <w:spacing w:line="320" w:lineRule="auto"/>
                      <w:rPr>
                        <w:rFonts w:ascii="Arial"/>
                        <w:sz w:val="21"/>
                      </w:rPr>
                    </w:pPr>
                  </w:p>
                  <w:p>
                    <w:pPr>
                      <w:spacing w:line="321" w:lineRule="auto"/>
                      <w:rPr>
                        <w:rFonts w:ascii="Arial"/>
                        <w:sz w:val="21"/>
                      </w:rPr>
                    </w:pPr>
                  </w:p>
                  <w:p>
                    <w:pPr>
                      <w:spacing w:before="91" w:line="335" w:lineRule="auto"/>
                      <w:ind w:left="283" w:right="298" w:firstLine="623"/>
                      <w:rPr>
                        <w:rFonts w:ascii="SimHei" w:hAnsi="SimHei" w:eastAsia="SimHei" w:cs="SimHei"/>
                        <w:sz w:val="28"/>
                        <w:szCs w:val="28"/>
                      </w:rPr>
                    </w:pPr>
                    <w:r>
                      <w:rPr>
                        <w:rFonts w:ascii="SimHei" w:hAnsi="SimHei" w:eastAsia="SimHei" w:cs="SimHei"/>
                        <w:color w:val="015DAC"/>
                        <w:spacing w:val="-2"/>
                        <w:sz w:val="28"/>
                        <w:szCs w:val="28"/>
                      </w:rPr>
                      <w:t>2</w:t>
                    </w:r>
                    <w:r>
                      <w:rPr>
                        <w:rFonts w:ascii="SimHei" w:hAnsi="SimHei" w:eastAsia="SimHei" w:cs="SimHei"/>
                        <w:color w:val="015DAC"/>
                        <w:spacing w:val="-1"/>
                        <w:sz w:val="28"/>
                        <w:szCs w:val="28"/>
                      </w:rPr>
                      <w:t>021 年，外商投资重点省市和中西部地区部分省市，围绕</w:t>
                    </w:r>
                    <w:r>
                      <w:rPr>
                        <w:rFonts w:ascii="SimHei" w:hAnsi="SimHei" w:eastAsia="SimHei" w:cs="SimHei"/>
                        <w:color w:val="015DAC"/>
                        <w:sz w:val="28"/>
                        <w:szCs w:val="28"/>
                      </w:rPr>
                      <w:t xml:space="preserve"> </w:t>
                    </w:r>
                    <w:r>
                      <w:rPr>
                        <w:rFonts w:ascii="SimHei" w:hAnsi="SimHei" w:eastAsia="SimHei" w:cs="SimHei"/>
                        <w:color w:val="015DAC"/>
                        <w:spacing w:val="11"/>
                        <w:sz w:val="28"/>
                        <w:szCs w:val="28"/>
                      </w:rPr>
                      <w:t>推</w:t>
                    </w:r>
                    <w:r>
                      <w:rPr>
                        <w:rFonts w:ascii="SimHei" w:hAnsi="SimHei" w:eastAsia="SimHei" w:cs="SimHei"/>
                        <w:color w:val="015DAC"/>
                        <w:spacing w:val="6"/>
                        <w:sz w:val="28"/>
                        <w:szCs w:val="28"/>
                      </w:rPr>
                      <w:t>动开放型经济高质量发展，积极出台相关外资政策，举办系</w:t>
                    </w:r>
                    <w:r>
                      <w:rPr>
                        <w:rFonts w:ascii="SimHei" w:hAnsi="SimHei" w:eastAsia="SimHei" w:cs="SimHei"/>
                        <w:color w:val="015DAC"/>
                        <w:sz w:val="28"/>
                        <w:szCs w:val="28"/>
                      </w:rPr>
                      <w:t xml:space="preserve"> </w:t>
                    </w:r>
                    <w:r>
                      <w:rPr>
                        <w:rFonts w:ascii="SimHei" w:hAnsi="SimHei" w:eastAsia="SimHei" w:cs="SimHei"/>
                        <w:color w:val="015DAC"/>
                        <w:spacing w:val="12"/>
                        <w:sz w:val="28"/>
                        <w:szCs w:val="28"/>
                      </w:rPr>
                      <w:t>列</w:t>
                    </w:r>
                    <w:r>
                      <w:rPr>
                        <w:rFonts w:ascii="SimHei" w:hAnsi="SimHei" w:eastAsia="SimHei" w:cs="SimHei"/>
                        <w:color w:val="015DAC"/>
                        <w:spacing w:val="8"/>
                        <w:sz w:val="28"/>
                        <w:szCs w:val="28"/>
                      </w:rPr>
                      <w:t>外</w:t>
                    </w:r>
                    <w:r>
                      <w:rPr>
                        <w:rFonts w:ascii="SimHei" w:hAnsi="SimHei" w:eastAsia="SimHei" w:cs="SimHei"/>
                        <w:color w:val="015DAC"/>
                        <w:spacing w:val="6"/>
                        <w:sz w:val="28"/>
                        <w:szCs w:val="28"/>
                      </w:rPr>
                      <w:t>商投资促进活动，全力做好“稳外资”工作，实现利用外</w:t>
                    </w:r>
                    <w:r>
                      <w:rPr>
                        <w:rFonts w:ascii="SimHei" w:hAnsi="SimHei" w:eastAsia="SimHei" w:cs="SimHei"/>
                        <w:color w:val="015DAC"/>
                        <w:sz w:val="28"/>
                        <w:szCs w:val="28"/>
                      </w:rPr>
                      <w:t xml:space="preserve"> </w:t>
                    </w:r>
                    <w:r>
                      <w:rPr>
                        <w:rFonts w:ascii="SimHei" w:hAnsi="SimHei" w:eastAsia="SimHei" w:cs="SimHei"/>
                        <w:color w:val="015DAC"/>
                        <w:spacing w:val="-7"/>
                        <w:sz w:val="28"/>
                        <w:szCs w:val="28"/>
                      </w:rPr>
                      <w:t>资</w:t>
                    </w:r>
                    <w:r>
                      <w:rPr>
                        <w:rFonts w:ascii="SimHei" w:hAnsi="SimHei" w:eastAsia="SimHei" w:cs="SimHei"/>
                        <w:color w:val="015DAC"/>
                        <w:spacing w:val="-5"/>
                        <w:sz w:val="28"/>
                        <w:szCs w:val="28"/>
                      </w:rPr>
                      <w:t>稳步发展。</w:t>
                    </w:r>
                  </w:p>
                  <w:p>
                    <w:pPr>
                      <w:spacing w:line="412" w:lineRule="auto"/>
                      <w:rPr>
                        <w:rFonts w:ascii="Arial"/>
                        <w:sz w:val="21"/>
                      </w:rPr>
                    </w:pPr>
                  </w:p>
                  <w:p>
                    <w:pPr>
                      <w:spacing w:line="40" w:lineRule="exact"/>
                      <w:ind w:firstLine="20"/>
                      <w:textAlignment w:val="center"/>
                    </w:pPr>
                    <w:r>
                      <w:drawing>
                        <wp:inline distT="0" distB="0" distL="0" distR="0">
                          <wp:extent cx="5255895" cy="24765"/>
                          <wp:effectExtent l="0" t="0" r="0" b="0"/>
                          <wp:docPr id="327" name="IM 327"/>
                          <wp:cNvGraphicFramePr/>
                          <a:graphic xmlns:a="http://schemas.openxmlformats.org/drawingml/2006/main">
                            <a:graphicData uri="http://schemas.openxmlformats.org/drawingml/2006/picture">
                              <pic:pic xmlns:pic="http://schemas.openxmlformats.org/drawingml/2006/picture">
                                <pic:nvPicPr>
                                  <pic:cNvPr id="327" name="IM 327"/>
                                  <pic:cNvPicPr/>
                                </pic:nvPicPr>
                                <pic:blipFill>
                                  <a:blip r:embed="rId146"/>
                                  <a:stretch>
                                    <a:fillRect/>
                                  </a:stretch>
                                </pic:blipFill>
                                <pic:spPr>
                                  <a:xfrm>
                                    <a:off x="0" y="0"/>
                                    <a:ext cx="5255996" cy="25399"/>
                                  </a:xfrm>
                                  <a:prstGeom prst="rect">
                                    <a:avLst/>
                                  </a:prstGeom>
                                </pic:spPr>
                              </pic:pic>
                            </a:graphicData>
                          </a:graphic>
                        </wp:inline>
                      </w:drawing>
                    </w:r>
                  </w:p>
                </w:txbxContent>
              </v:textbox>
            </v:shape>
            <w10:wrap type="none"/>
            <w10:anchorlock/>
          </v:group>
        </w:pict>
      </w: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91" w:line="455" w:lineRule="exact"/>
        <w:ind w:left="2566"/>
        <w:rPr>
          <w:rFonts w:ascii="SimHei" w:hAnsi="SimHei" w:eastAsia="SimHei" w:cs="SimHei"/>
          <w:sz w:val="28"/>
          <w:szCs w:val="28"/>
        </w:rPr>
      </w:pPr>
      <w:r>
        <w:rPr>
          <w:rFonts w:ascii="SimHei" w:hAnsi="SimHei" w:eastAsia="SimHei" w:cs="SimHei"/>
          <w:color w:val="015DAC"/>
          <w:spacing w:val="-2"/>
          <w:position w:val="3"/>
          <w:sz w:val="28"/>
          <w:szCs w:val="28"/>
        </w:rPr>
        <w:t>一、北京市</w:t>
      </w:r>
    </w:p>
    <w:p>
      <w:pPr>
        <w:spacing w:before="334" w:line="203" w:lineRule="auto"/>
        <w:ind w:left="2442"/>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22021 </w:t>
      </w:r>
      <w:r>
        <w:rPr>
          <w:rFonts w:ascii="微软雅黑" w:hAnsi="微软雅黑" w:eastAsia="微软雅黑" w:cs="微软雅黑"/>
          <w:color w:val="231F20"/>
          <w:spacing w:val="2"/>
          <w:sz w:val="22"/>
          <w:szCs w:val="22"/>
        </w:rPr>
        <w:t>年，北京市围绕建设“国家服务业扩大开放</w:t>
      </w:r>
      <w:r>
        <w:rPr>
          <w:rFonts w:ascii="微软雅黑" w:hAnsi="微软雅黑" w:eastAsia="微软雅黑" w:cs="微软雅黑"/>
          <w:color w:val="231F20"/>
          <w:spacing w:val="1"/>
          <w:sz w:val="22"/>
          <w:szCs w:val="22"/>
        </w:rPr>
        <w:t>综合示范区和自由贸易试验区”</w:t>
      </w:r>
    </w:p>
    <w:p>
      <w:pPr>
        <w:tabs>
          <w:tab w:val="left" w:pos="2088"/>
        </w:tabs>
        <w:spacing w:before="80" w:line="272" w:lineRule="auto"/>
        <w:ind w:left="2007" w:right="1984" w:hanging="29"/>
        <w:rPr>
          <w:rFonts w:ascii="微软雅黑" w:hAnsi="微软雅黑" w:eastAsia="微软雅黑" w:cs="微软雅黑"/>
          <w:sz w:val="22"/>
          <w:szCs w:val="22"/>
        </w:rPr>
      </w:pPr>
      <w:r>
        <w:rPr>
          <w:rFonts w:ascii="微软雅黑" w:hAnsi="微软雅黑" w:eastAsia="微软雅黑" w:cs="微软雅黑"/>
          <w:color w:val="231F20"/>
          <w:sz w:val="22"/>
          <w:szCs w:val="22"/>
        </w:rPr>
        <w:tab/>
      </w:r>
      <w:r>
        <w:rPr>
          <w:rFonts w:ascii="微软雅黑" w:hAnsi="微软雅黑" w:eastAsia="微软雅黑" w:cs="微软雅黑"/>
          <w:color w:val="231F20"/>
          <w:sz w:val="22"/>
          <w:szCs w:val="22"/>
        </w:rPr>
        <w:tab/>
      </w:r>
      <w:r>
        <w:rPr>
          <w:rFonts w:ascii="微软雅黑" w:hAnsi="微软雅黑" w:eastAsia="微软雅黑" w:cs="微软雅黑"/>
          <w:color w:val="231F20"/>
          <w:spacing w:val="-3"/>
          <w:sz w:val="22"/>
          <w:szCs w:val="22"/>
        </w:rPr>
        <w:t>( 以下称“两区” )  ，不断扩大外资准入 ，完善促进政策 ，优化营商环境 ，利用外</w:t>
      </w:r>
      <w:r>
        <w:rPr>
          <w:rFonts w:ascii="微软雅黑" w:hAnsi="微软雅黑" w:eastAsia="微软雅黑" w:cs="微软雅黑"/>
          <w:color w:val="231F20"/>
          <w:spacing w:val="-1"/>
          <w:sz w:val="22"/>
          <w:szCs w:val="22"/>
        </w:rPr>
        <w:t>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的良好态</w:t>
      </w:r>
      <w:r>
        <w:rPr>
          <w:rFonts w:ascii="微软雅黑" w:hAnsi="微软雅黑" w:eastAsia="微软雅黑" w:cs="微软雅黑"/>
          <w:color w:val="231F20"/>
          <w:spacing w:val="-1"/>
          <w:sz w:val="22"/>
          <w:szCs w:val="22"/>
        </w:rPr>
        <w:t>势进一步凸显。</w:t>
      </w:r>
    </w:p>
    <w:p>
      <w:pPr>
        <w:spacing w:before="178" w:line="222" w:lineRule="auto"/>
        <w:ind w:left="2462"/>
        <w:rPr>
          <w:rFonts w:ascii="SimHei" w:hAnsi="SimHei" w:eastAsia="SimHei" w:cs="SimHei"/>
          <w:sz w:val="24"/>
          <w:szCs w:val="24"/>
        </w:rPr>
      </w:pPr>
      <w:r>
        <w:rPr>
          <w:rFonts w:ascii="SimHei" w:hAnsi="SimHei" w:eastAsia="SimHei" w:cs="SimHei"/>
          <w:color w:val="015DAC"/>
          <w:spacing w:val="5"/>
          <w:sz w:val="24"/>
          <w:szCs w:val="24"/>
        </w:rPr>
        <w:t>(一) 出台全链条稳外资政策，促进外资企业稳定发</w:t>
      </w:r>
      <w:r>
        <w:rPr>
          <w:rFonts w:ascii="SimHei" w:hAnsi="SimHei" w:eastAsia="SimHei" w:cs="SimHei"/>
          <w:color w:val="015DAC"/>
          <w:spacing w:val="2"/>
          <w:sz w:val="24"/>
          <w:szCs w:val="24"/>
        </w:rPr>
        <w:t>展</w:t>
      </w:r>
    </w:p>
    <w:p>
      <w:pPr>
        <w:tabs>
          <w:tab w:val="left" w:pos="2086"/>
        </w:tabs>
        <w:spacing w:before="332" w:line="259" w:lineRule="auto"/>
        <w:ind w:left="1977" w:right="1898" w:firstLine="464"/>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12 </w:t>
      </w:r>
      <w:r>
        <w:rPr>
          <w:rFonts w:ascii="微软雅黑" w:hAnsi="微软雅黑" w:eastAsia="微软雅黑" w:cs="微软雅黑"/>
          <w:color w:val="231F20"/>
          <w:spacing w:val="-1"/>
          <w:sz w:val="22"/>
          <w:szCs w:val="22"/>
        </w:rPr>
        <w:t xml:space="preserve">月 </w:t>
      </w:r>
      <w:r>
        <w:rPr>
          <w:rFonts w:ascii="Times New Roman" w:hAnsi="Times New Roman" w:eastAsia="Times New Roman" w:cs="Times New Roman"/>
          <w:color w:val="231F20"/>
          <w:spacing w:val="-1"/>
          <w:sz w:val="22"/>
          <w:szCs w:val="22"/>
        </w:rPr>
        <w:t xml:space="preserve">9 </w:t>
      </w:r>
      <w:r>
        <w:rPr>
          <w:rFonts w:ascii="微软雅黑" w:hAnsi="微软雅黑" w:eastAsia="微软雅黑" w:cs="微软雅黑"/>
          <w:color w:val="231F20"/>
          <w:spacing w:val="-1"/>
          <w:sz w:val="22"/>
          <w:szCs w:val="22"/>
        </w:rPr>
        <w:t>日，北京市商务局印发《关于进一步加强稳外资工作的若干措施》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z w:val="22"/>
          <w:szCs w:val="22"/>
        </w:rPr>
        <w:tab/>
      </w:r>
      <w:r>
        <w:rPr>
          <w:rFonts w:ascii="微软雅黑" w:hAnsi="微软雅黑" w:eastAsia="微软雅黑" w:cs="微软雅黑"/>
          <w:color w:val="231F20"/>
          <w:spacing w:val="-4"/>
          <w:sz w:val="22"/>
          <w:szCs w:val="22"/>
        </w:rPr>
        <w:t>( 京商资发</w:t>
      </w:r>
      <w:r>
        <w:rPr>
          <w:rFonts w:ascii="微软雅黑" w:hAnsi="微软雅黑" w:eastAsia="微软雅黑" w:cs="微软雅黑"/>
          <w:color w:val="231F20"/>
          <w:spacing w:val="-3"/>
          <w:sz w:val="22"/>
          <w:szCs w:val="22"/>
        </w:rPr>
        <w:t>字</w:t>
      </w:r>
      <w:r>
        <w:rPr>
          <w:rFonts w:ascii="微软雅黑" w:hAnsi="微软雅黑" w:eastAsia="微软雅黑" w:cs="微软雅黑"/>
          <w:color w:val="231F20"/>
          <w:spacing w:val="-2"/>
          <w:sz w:val="22"/>
          <w:szCs w:val="22"/>
        </w:rPr>
        <w:t xml:space="preserve">〔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w:t>
      </w:r>
      <w:r>
        <w:rPr>
          <w:rFonts w:ascii="Times New Roman" w:hAnsi="Times New Roman" w:eastAsia="Times New Roman" w:cs="Times New Roman"/>
          <w:color w:val="231F20"/>
          <w:spacing w:val="-2"/>
          <w:sz w:val="22"/>
          <w:szCs w:val="22"/>
        </w:rPr>
        <w:t xml:space="preserve">14 </w:t>
      </w:r>
      <w:r>
        <w:rPr>
          <w:rFonts w:ascii="微软雅黑" w:hAnsi="微软雅黑" w:eastAsia="微软雅黑" w:cs="微软雅黑"/>
          <w:color w:val="231F20"/>
          <w:spacing w:val="-2"/>
          <w:sz w:val="22"/>
          <w:szCs w:val="22"/>
        </w:rPr>
        <w:t>号 )  ，从进一步扩大对外开放、聚集全球高端优质资源、优</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化外商投资企业发展环境、优化外商生活服务、推动引资与引智引才相结合、优</w:t>
      </w:r>
      <w:r>
        <w:rPr>
          <w:rFonts w:ascii="微软雅黑" w:hAnsi="微软雅黑" w:eastAsia="微软雅黑" w:cs="微软雅黑"/>
          <w:color w:val="231F20"/>
          <w:spacing w:val="1"/>
          <w:sz w:val="22"/>
          <w:szCs w:val="22"/>
        </w:rPr>
        <w:t>化</w:t>
      </w:r>
      <w:r>
        <w:rPr>
          <w:rFonts w:ascii="微软雅黑" w:hAnsi="微软雅黑" w:eastAsia="微软雅黑" w:cs="微软雅黑"/>
          <w:color w:val="231F20"/>
          <w:sz w:val="22"/>
          <w:szCs w:val="22"/>
        </w:rPr>
        <w:t xml:space="preserve">外 </w:t>
      </w:r>
      <w:r>
        <w:rPr>
          <w:rFonts w:ascii="微软雅黑" w:hAnsi="微软雅黑" w:eastAsia="微软雅黑" w:cs="微软雅黑"/>
          <w:color w:val="231F20"/>
          <w:spacing w:val="4"/>
          <w:sz w:val="22"/>
          <w:szCs w:val="22"/>
        </w:rPr>
        <w:t>商投资促进服务、强化外商投资</w:t>
      </w:r>
      <w:r>
        <w:rPr>
          <w:rFonts w:ascii="微软雅黑" w:hAnsi="微软雅黑" w:eastAsia="微软雅黑" w:cs="微软雅黑"/>
          <w:color w:val="231F20"/>
          <w:spacing w:val="3"/>
          <w:sz w:val="22"/>
          <w:szCs w:val="22"/>
        </w:rPr>
        <w:t>企</w:t>
      </w:r>
      <w:r>
        <w:rPr>
          <w:rFonts w:ascii="微软雅黑" w:hAnsi="微软雅黑" w:eastAsia="微软雅黑" w:cs="微软雅黑"/>
          <w:color w:val="231F20"/>
          <w:spacing w:val="2"/>
          <w:sz w:val="22"/>
          <w:szCs w:val="22"/>
        </w:rPr>
        <w:t>业权益保护等七方面提出了</w:t>
      </w:r>
      <w:r>
        <w:rPr>
          <w:rFonts w:ascii="Times New Roman" w:hAnsi="Times New Roman" w:eastAsia="Times New Roman" w:cs="Times New Roman"/>
          <w:color w:val="231F20"/>
          <w:spacing w:val="2"/>
          <w:sz w:val="22"/>
          <w:szCs w:val="22"/>
        </w:rPr>
        <w:t xml:space="preserve">25 </w:t>
      </w:r>
      <w:r>
        <w:rPr>
          <w:rFonts w:ascii="微软雅黑" w:hAnsi="微软雅黑" w:eastAsia="微软雅黑" w:cs="微软雅黑"/>
          <w:color w:val="231F20"/>
          <w:spacing w:val="2"/>
          <w:sz w:val="22"/>
          <w:szCs w:val="22"/>
        </w:rPr>
        <w:t>项全链条政策措施。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其</w:t>
      </w:r>
      <w:r>
        <w:rPr>
          <w:rFonts w:ascii="微软雅黑" w:hAnsi="微软雅黑" w:eastAsia="微软雅黑" w:cs="微软雅黑"/>
          <w:color w:val="231F20"/>
          <w:spacing w:val="2"/>
          <w:sz w:val="22"/>
          <w:szCs w:val="22"/>
        </w:rPr>
        <w:t>中 ，</w:t>
      </w:r>
      <w:r>
        <w:rPr>
          <w:rFonts w:ascii="SimHei" w:hAnsi="SimHei" w:eastAsia="SimHei" w:cs="SimHei"/>
          <w:color w:val="231F20"/>
          <w:spacing w:val="2"/>
          <w:sz w:val="22"/>
          <w:szCs w:val="22"/>
        </w:rPr>
        <w:t>在聚集全球高端优质资源方面，</w:t>
      </w:r>
      <w:r>
        <w:rPr>
          <w:rFonts w:ascii="微软雅黑" w:hAnsi="微软雅黑" w:eastAsia="微软雅黑" w:cs="微软雅黑"/>
          <w:color w:val="231F20"/>
          <w:spacing w:val="2"/>
          <w:sz w:val="22"/>
          <w:szCs w:val="22"/>
        </w:rPr>
        <w:t>鼓励外国投资者在本市设立跨国公司地区总部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和各类功能性机构，</w:t>
      </w:r>
      <w:r>
        <w:rPr>
          <w:rFonts w:ascii="微软雅黑" w:hAnsi="微软雅黑" w:eastAsia="微软雅黑" w:cs="微软雅黑"/>
          <w:color w:val="231F20"/>
          <w:sz w:val="22"/>
          <w:szCs w:val="22"/>
        </w:rPr>
        <w:t xml:space="preserve">对符合条件的跨国公司地区总部给予资金奖励及重点人员出入境、 </w:t>
      </w:r>
      <w:r>
        <w:rPr>
          <w:rFonts w:ascii="微软雅黑" w:hAnsi="微软雅黑" w:eastAsia="微软雅黑" w:cs="微软雅黑"/>
          <w:color w:val="231F20"/>
          <w:spacing w:val="4"/>
          <w:sz w:val="22"/>
          <w:szCs w:val="22"/>
        </w:rPr>
        <w:t>货物通关等便</w:t>
      </w:r>
      <w:r>
        <w:rPr>
          <w:rFonts w:ascii="微软雅黑" w:hAnsi="微软雅黑" w:eastAsia="微软雅黑" w:cs="微软雅黑"/>
          <w:color w:val="231F20"/>
          <w:spacing w:val="2"/>
          <w:sz w:val="22"/>
          <w:szCs w:val="22"/>
        </w:rPr>
        <w:t>利化措施。</w:t>
      </w:r>
      <w:r>
        <w:rPr>
          <w:rFonts w:ascii="SimHei" w:hAnsi="SimHei" w:eastAsia="SimHei" w:cs="SimHei"/>
          <w:color w:val="231F20"/>
          <w:spacing w:val="2"/>
          <w:sz w:val="22"/>
          <w:szCs w:val="22"/>
        </w:rPr>
        <w:t>在引资与引智引才相结合方面，</w:t>
      </w:r>
      <w:r>
        <w:rPr>
          <w:rFonts w:ascii="微软雅黑" w:hAnsi="微软雅黑" w:eastAsia="微软雅黑" w:cs="微软雅黑"/>
          <w:color w:val="231F20"/>
          <w:spacing w:val="2"/>
          <w:sz w:val="22"/>
          <w:szCs w:val="22"/>
        </w:rPr>
        <w:t>综合外资企业在京投资 、纳</w:t>
      </w:r>
    </w:p>
    <w:p>
      <w:pPr>
        <w:sectPr>
          <w:headerReference r:id="rId14" w:type="default"/>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3952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bookmarkStart w:id="72" w:name="_bookmark57"/>
      <w:bookmarkEnd w:id="72"/>
      <w:r>
        <w:rPr>
          <w:rFonts w:ascii="SimHei" w:hAnsi="SimHei" w:eastAsia="SimHei" w:cs="SimHei"/>
          <w:color w:val="1A67B3"/>
          <w:spacing w:val="35"/>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29" name="IM 329"/>
            <wp:cNvGraphicFramePr/>
            <a:graphic xmlns:a="http://schemas.openxmlformats.org/drawingml/2006/main">
              <a:graphicData uri="http://schemas.openxmlformats.org/drawingml/2006/picture">
                <pic:pic xmlns:pic="http://schemas.openxmlformats.org/drawingml/2006/picture">
                  <pic:nvPicPr>
                    <pic:cNvPr id="329" name="IM 329"/>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65</w:t>
      </w: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95" w:line="260" w:lineRule="auto"/>
        <w:ind w:left="1989" w:right="1915" w:hanging="2"/>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 xml:space="preserve">税 </w:t>
      </w:r>
      <w:r>
        <w:rPr>
          <w:rFonts w:ascii="微软雅黑" w:hAnsi="微软雅黑" w:eastAsia="微软雅黑" w:cs="微软雅黑"/>
          <w:color w:val="231F20"/>
          <w:spacing w:val="-5"/>
          <w:sz w:val="22"/>
          <w:szCs w:val="22"/>
        </w:rPr>
        <w:t>、</w:t>
      </w:r>
      <w:r>
        <w:rPr>
          <w:rFonts w:ascii="微软雅黑" w:hAnsi="微软雅黑" w:eastAsia="微软雅黑" w:cs="微软雅黑"/>
          <w:color w:val="231F20"/>
          <w:spacing w:val="-3"/>
          <w:sz w:val="22"/>
          <w:szCs w:val="22"/>
        </w:rPr>
        <w:t>科技创新等情况 ，根据贡献额度 、转化效果等 ，精准提供人才引进支持。加大对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符合北京发展定位和引进政策的特定行业高管人才 、专业技术</w:t>
      </w:r>
      <w:r>
        <w:rPr>
          <w:rFonts w:ascii="微软雅黑" w:hAnsi="微软雅黑" w:eastAsia="微软雅黑" w:cs="微软雅黑"/>
          <w:color w:val="231F20"/>
          <w:spacing w:val="1"/>
          <w:sz w:val="22"/>
          <w:szCs w:val="22"/>
        </w:rPr>
        <w:t>人才办理人才引进落户</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和</w:t>
      </w:r>
      <w:r>
        <w:rPr>
          <w:rFonts w:ascii="微软雅黑" w:hAnsi="微软雅黑" w:eastAsia="微软雅黑" w:cs="微软雅黑"/>
          <w:color w:val="231F20"/>
          <w:sz w:val="22"/>
          <w:szCs w:val="22"/>
        </w:rPr>
        <w:t xml:space="preserve">办理工作居住证的工作力度。对全市急需特殊技能专业人才落户 ，业绩 、贡献突出 </w:t>
      </w:r>
      <w:r>
        <w:rPr>
          <w:rFonts w:ascii="微软雅黑" w:hAnsi="微软雅黑" w:eastAsia="微软雅黑" w:cs="微软雅黑"/>
          <w:color w:val="231F20"/>
          <w:spacing w:val="-6"/>
          <w:sz w:val="22"/>
          <w:szCs w:val="22"/>
        </w:rPr>
        <w:t>的，可适</w:t>
      </w:r>
      <w:r>
        <w:rPr>
          <w:rFonts w:ascii="微软雅黑" w:hAnsi="微软雅黑" w:eastAsia="微软雅黑" w:cs="微软雅黑"/>
          <w:color w:val="231F20"/>
          <w:spacing w:val="-5"/>
          <w:sz w:val="22"/>
          <w:szCs w:val="22"/>
        </w:rPr>
        <w:t>当</w:t>
      </w:r>
      <w:r>
        <w:rPr>
          <w:rFonts w:ascii="微软雅黑" w:hAnsi="微软雅黑" w:eastAsia="微软雅黑" w:cs="微软雅黑"/>
          <w:color w:val="231F20"/>
          <w:spacing w:val="-3"/>
          <w:sz w:val="22"/>
          <w:szCs w:val="22"/>
        </w:rPr>
        <w:t>放宽年龄限制。</w:t>
      </w:r>
      <w:r>
        <w:rPr>
          <w:rFonts w:ascii="SimHei" w:hAnsi="SimHei" w:eastAsia="SimHei" w:cs="SimHei"/>
          <w:color w:val="231F20"/>
          <w:spacing w:val="-3"/>
          <w:sz w:val="22"/>
          <w:szCs w:val="22"/>
        </w:rPr>
        <w:t xml:space="preserve">在优化外商生活服务方面， </w:t>
      </w:r>
      <w:r>
        <w:rPr>
          <w:rFonts w:ascii="微软雅黑" w:hAnsi="微软雅黑" w:eastAsia="微软雅黑" w:cs="微软雅黑"/>
          <w:color w:val="231F20"/>
          <w:spacing w:val="-3"/>
          <w:sz w:val="22"/>
          <w:szCs w:val="22"/>
        </w:rPr>
        <w:t>加大国际学校和国际医院布局，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实施在华外籍人才个人外汇业务便利化试点 ，满足在华外籍人才真实合规的</w:t>
      </w:r>
      <w:r>
        <w:rPr>
          <w:rFonts w:ascii="微软雅黑" w:hAnsi="微软雅黑" w:eastAsia="微软雅黑" w:cs="微软雅黑"/>
          <w:color w:val="231F20"/>
          <w:spacing w:val="1"/>
          <w:sz w:val="22"/>
          <w:szCs w:val="22"/>
        </w:rPr>
        <w:t>个</w:t>
      </w:r>
      <w:r>
        <w:rPr>
          <w:rFonts w:ascii="微软雅黑" w:hAnsi="微软雅黑" w:eastAsia="微软雅黑" w:cs="微软雅黑"/>
          <w:color w:val="231F20"/>
          <w:sz w:val="22"/>
          <w:szCs w:val="22"/>
        </w:rPr>
        <w:t xml:space="preserve">人经常 </w:t>
      </w:r>
      <w:r>
        <w:rPr>
          <w:rFonts w:ascii="微软雅黑" w:hAnsi="微软雅黑" w:eastAsia="微软雅黑" w:cs="微软雅黑"/>
          <w:color w:val="231F20"/>
          <w:spacing w:val="1"/>
          <w:sz w:val="22"/>
          <w:szCs w:val="22"/>
        </w:rPr>
        <w:t>项目</w:t>
      </w:r>
      <w:r>
        <w:rPr>
          <w:rFonts w:ascii="微软雅黑" w:hAnsi="微软雅黑" w:eastAsia="微软雅黑" w:cs="微软雅黑"/>
          <w:color w:val="231F20"/>
          <w:sz w:val="22"/>
          <w:szCs w:val="22"/>
        </w:rPr>
        <w:t>用汇需求。</w:t>
      </w:r>
    </w:p>
    <w:p>
      <w:pPr>
        <w:spacing w:before="179" w:line="221" w:lineRule="auto"/>
        <w:ind w:left="2462"/>
        <w:rPr>
          <w:rFonts w:ascii="SimHei" w:hAnsi="SimHei" w:eastAsia="SimHei" w:cs="SimHei"/>
          <w:sz w:val="24"/>
          <w:szCs w:val="24"/>
        </w:rPr>
      </w:pPr>
      <w:r>
        <w:rPr>
          <w:rFonts w:ascii="SimHei" w:hAnsi="SimHei" w:eastAsia="SimHei" w:cs="SimHei"/>
          <w:color w:val="015DAC"/>
          <w:spacing w:val="8"/>
          <w:sz w:val="24"/>
          <w:szCs w:val="24"/>
        </w:rPr>
        <w:t xml:space="preserve">(二) </w:t>
      </w:r>
      <w:r>
        <w:rPr>
          <w:rFonts w:ascii="SimHei" w:hAnsi="SimHei" w:eastAsia="SimHei" w:cs="SimHei"/>
          <w:color w:val="015DAC"/>
          <w:spacing w:val="4"/>
          <w:sz w:val="24"/>
          <w:szCs w:val="24"/>
        </w:rPr>
        <w:t>发挥“两区”叠加政策优势，促进外资企业投资北京</w:t>
      </w:r>
    </w:p>
    <w:p>
      <w:pPr>
        <w:spacing w:before="329" w:line="259" w:lineRule="auto"/>
        <w:ind w:left="1992" w:right="1984" w:firstLine="452"/>
        <w:rPr>
          <w:rFonts w:ascii="微软雅黑" w:hAnsi="微软雅黑" w:eastAsia="微软雅黑" w:cs="微软雅黑"/>
          <w:sz w:val="22"/>
          <w:szCs w:val="22"/>
        </w:rPr>
      </w:pPr>
      <w:r>
        <w:rPr>
          <w:rFonts w:ascii="SimHei" w:hAnsi="SimHei" w:eastAsia="SimHei" w:cs="SimHei"/>
          <w:color w:val="231F20"/>
          <w:spacing w:val="14"/>
          <w:sz w:val="22"/>
          <w:szCs w:val="22"/>
        </w:rPr>
        <w:t>在外资</w:t>
      </w:r>
      <w:r>
        <w:rPr>
          <w:rFonts w:ascii="SimHei" w:hAnsi="SimHei" w:eastAsia="SimHei" w:cs="SimHei"/>
          <w:color w:val="231F20"/>
          <w:spacing w:val="12"/>
          <w:sz w:val="22"/>
          <w:szCs w:val="22"/>
        </w:rPr>
        <w:t>准</w:t>
      </w:r>
      <w:r>
        <w:rPr>
          <w:rFonts w:ascii="SimHei" w:hAnsi="SimHei" w:eastAsia="SimHei" w:cs="SimHei"/>
          <w:color w:val="231F20"/>
          <w:spacing w:val="7"/>
          <w:sz w:val="22"/>
          <w:szCs w:val="22"/>
        </w:rPr>
        <w:t>入方面，</w:t>
      </w:r>
      <w:r>
        <w:rPr>
          <w:rFonts w:ascii="微软雅黑" w:hAnsi="微软雅黑" w:eastAsia="微软雅黑" w:cs="微软雅黑"/>
          <w:color w:val="231F20"/>
          <w:spacing w:val="7"/>
          <w:sz w:val="22"/>
          <w:szCs w:val="22"/>
        </w:rPr>
        <w:t>除外资准入负面清单外 ，北京还在前期服务业扩大开放综合</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试点历次方案的基础上 ，打造服务业扩大开放综合示范区 ，在多个领域先行先试 </w:t>
      </w:r>
      <w:r>
        <w:rPr>
          <w:rFonts w:ascii="微软雅黑" w:hAnsi="微软雅黑" w:eastAsia="微软雅黑" w:cs="微软雅黑"/>
          <w:color w:val="231F20"/>
          <w:spacing w:val="1"/>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4"/>
          <w:sz w:val="22"/>
          <w:szCs w:val="22"/>
        </w:rPr>
        <w:t>开放创</w:t>
      </w:r>
      <w:r>
        <w:rPr>
          <w:rFonts w:ascii="微软雅黑" w:hAnsi="微软雅黑" w:eastAsia="微软雅黑" w:cs="微软雅黑"/>
          <w:color w:val="231F20"/>
          <w:spacing w:val="9"/>
          <w:sz w:val="22"/>
          <w:szCs w:val="22"/>
        </w:rPr>
        <w:t>新</w:t>
      </w:r>
      <w:r>
        <w:rPr>
          <w:rFonts w:ascii="微软雅黑" w:hAnsi="微软雅黑" w:eastAsia="微软雅黑" w:cs="微软雅黑"/>
          <w:color w:val="231F20"/>
          <w:spacing w:val="7"/>
          <w:sz w:val="22"/>
          <w:szCs w:val="22"/>
        </w:rPr>
        <w:t xml:space="preserve"> ，形成了“两区”叠加的开放优势。如在全国率先放开外商投资航空维修</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需要中方控</w:t>
      </w:r>
      <w:r>
        <w:rPr>
          <w:rFonts w:ascii="微软雅黑" w:hAnsi="微软雅黑" w:eastAsia="微软雅黑" w:cs="微软雅黑"/>
          <w:color w:val="231F20"/>
          <w:spacing w:val="7"/>
          <w:sz w:val="22"/>
          <w:szCs w:val="22"/>
        </w:rPr>
        <w:t>股</w:t>
      </w:r>
      <w:r>
        <w:rPr>
          <w:rFonts w:ascii="微软雅黑" w:hAnsi="微软雅黑" w:eastAsia="微软雅黑" w:cs="微软雅黑"/>
          <w:color w:val="231F20"/>
          <w:spacing w:val="5"/>
          <w:sz w:val="22"/>
          <w:szCs w:val="22"/>
        </w:rPr>
        <w:t>的限制 ，允许外商投资音像制品制作业务 ，取消外商投资性公司对投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资总额一半</w:t>
      </w:r>
      <w:r>
        <w:rPr>
          <w:rFonts w:ascii="微软雅黑" w:hAnsi="微软雅黑" w:eastAsia="微软雅黑" w:cs="微软雅黑"/>
          <w:color w:val="231F20"/>
          <w:spacing w:val="7"/>
          <w:sz w:val="22"/>
          <w:szCs w:val="22"/>
        </w:rPr>
        <w:t>的</w:t>
      </w:r>
      <w:r>
        <w:rPr>
          <w:rFonts w:ascii="微软雅黑" w:hAnsi="微软雅黑" w:eastAsia="微软雅黑" w:cs="微软雅黑"/>
          <w:color w:val="231F20"/>
          <w:spacing w:val="5"/>
          <w:sz w:val="22"/>
          <w:szCs w:val="22"/>
        </w:rPr>
        <w:t>限制以及在中国投资企业数量的限制等。同时，  专门为通州文化旅游</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区申请允许</w:t>
      </w:r>
      <w:r>
        <w:rPr>
          <w:rFonts w:ascii="微软雅黑" w:hAnsi="微软雅黑" w:eastAsia="微软雅黑" w:cs="微软雅黑"/>
          <w:color w:val="231F20"/>
          <w:spacing w:val="8"/>
          <w:sz w:val="22"/>
          <w:szCs w:val="22"/>
        </w:rPr>
        <w:t>外</w:t>
      </w:r>
      <w:r>
        <w:rPr>
          <w:rFonts w:ascii="微软雅黑" w:hAnsi="微软雅黑" w:eastAsia="微软雅黑" w:cs="微软雅黑"/>
          <w:color w:val="231F20"/>
          <w:spacing w:val="5"/>
          <w:sz w:val="22"/>
          <w:szCs w:val="22"/>
        </w:rPr>
        <w:t>商投资文艺表演团体的政策，  为中关村海淀园申请了允许外商投资信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息服务业务 (  目前仅限于应用商店 ) 对外资股比限制的突破 ，促进了服务业领域</w:t>
      </w:r>
      <w:r>
        <w:rPr>
          <w:rFonts w:ascii="微软雅黑" w:hAnsi="微软雅黑" w:eastAsia="微软雅黑" w:cs="微软雅黑"/>
          <w:color w:val="231F20"/>
          <w:spacing w:val="2"/>
          <w:sz w:val="22"/>
          <w:szCs w:val="22"/>
        </w:rPr>
        <w:t>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资增长</w:t>
      </w:r>
      <w:r>
        <w:rPr>
          <w:rFonts w:ascii="微软雅黑" w:hAnsi="微软雅黑" w:eastAsia="微软雅黑" w:cs="微软雅黑"/>
          <w:color w:val="231F20"/>
          <w:sz w:val="22"/>
          <w:szCs w:val="22"/>
        </w:rPr>
        <w:t>。</w:t>
      </w:r>
    </w:p>
    <w:p>
      <w:pPr>
        <w:spacing w:before="174" w:line="258" w:lineRule="auto"/>
        <w:ind w:left="1987" w:right="1767" w:firstLine="454"/>
        <w:rPr>
          <w:rFonts w:ascii="微软雅黑" w:hAnsi="微软雅黑" w:eastAsia="微软雅黑" w:cs="微软雅黑"/>
          <w:sz w:val="22"/>
          <w:szCs w:val="22"/>
        </w:rPr>
      </w:pPr>
      <w:r>
        <w:rPr>
          <w:rFonts w:ascii="SimHei" w:hAnsi="SimHei" w:eastAsia="SimHei" w:cs="SimHei"/>
          <w:color w:val="231F20"/>
          <w:spacing w:val="-2"/>
          <w:sz w:val="22"/>
          <w:szCs w:val="22"/>
        </w:rPr>
        <w:t xml:space="preserve">在“两区”投资促进方面， </w:t>
      </w:r>
      <w:r>
        <w:rPr>
          <w:rFonts w:ascii="微软雅黑" w:hAnsi="微软雅黑" w:eastAsia="微软雅黑" w:cs="微软雅黑"/>
          <w:color w:val="231F20"/>
          <w:spacing w:val="-2"/>
          <w:sz w:val="22"/>
          <w:szCs w:val="22"/>
        </w:rPr>
        <w:t>北京市建成了“一</w:t>
      </w:r>
      <w:r>
        <w:rPr>
          <w:rFonts w:ascii="微软雅黑" w:hAnsi="微软雅黑" w:eastAsia="微软雅黑" w:cs="微软雅黑"/>
          <w:color w:val="231F20"/>
          <w:spacing w:val="-1"/>
          <w:sz w:val="22"/>
          <w:szCs w:val="22"/>
        </w:rPr>
        <w:t>库三清单四机制” ，其中，“一库”</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即</w:t>
      </w:r>
      <w:r>
        <w:rPr>
          <w:rFonts w:ascii="微软雅黑" w:hAnsi="微软雅黑" w:eastAsia="微软雅黑" w:cs="微软雅黑"/>
          <w:color w:val="231F20"/>
          <w:sz w:val="22"/>
          <w:szCs w:val="22"/>
        </w:rPr>
        <w:t xml:space="preserve">“两区”招商引资项目库，“三清单”即“两区”空间资源清单、  目标企业清单和   </w:t>
      </w:r>
      <w:r>
        <w:rPr>
          <w:rFonts w:ascii="微软雅黑" w:hAnsi="微软雅黑" w:eastAsia="微软雅黑" w:cs="微软雅黑"/>
          <w:color w:val="231F20"/>
          <w:spacing w:val="6"/>
          <w:sz w:val="22"/>
          <w:szCs w:val="22"/>
        </w:rPr>
        <w:t>配套政策清单</w:t>
      </w:r>
      <w:r>
        <w:rPr>
          <w:rFonts w:ascii="微软雅黑" w:hAnsi="微软雅黑" w:eastAsia="微软雅黑" w:cs="微软雅黑"/>
          <w:color w:val="231F20"/>
          <w:spacing w:val="4"/>
          <w:sz w:val="22"/>
          <w:szCs w:val="22"/>
        </w:rPr>
        <w:t>，</w:t>
      </w:r>
      <w:r>
        <w:rPr>
          <w:rFonts w:ascii="微软雅黑" w:hAnsi="微软雅黑" w:eastAsia="微软雅黑" w:cs="微软雅黑"/>
          <w:color w:val="231F20"/>
          <w:spacing w:val="3"/>
          <w:sz w:val="22"/>
          <w:szCs w:val="22"/>
        </w:rPr>
        <w:t>“四机制”即重大项目协调调度工作机制、服务管家工作机制、政企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对</w:t>
      </w:r>
      <w:r>
        <w:rPr>
          <w:rFonts w:ascii="微软雅黑" w:hAnsi="微软雅黑" w:eastAsia="微软雅黑" w:cs="微软雅黑"/>
          <w:color w:val="231F20"/>
          <w:sz w:val="22"/>
          <w:szCs w:val="22"/>
        </w:rPr>
        <w:t xml:space="preserve">接工作机制、督查评价工作机制 ，构建以结果为导向的项目保障体系。同时 ，北京   </w:t>
      </w:r>
      <w:r>
        <w:rPr>
          <w:rFonts w:ascii="微软雅黑" w:hAnsi="微软雅黑" w:eastAsia="微软雅黑" w:cs="微软雅黑"/>
          <w:color w:val="231F20"/>
          <w:spacing w:val="4"/>
          <w:sz w:val="22"/>
          <w:szCs w:val="22"/>
        </w:rPr>
        <w:t>市投资促进服务中心</w:t>
      </w:r>
      <w:r>
        <w:rPr>
          <w:rFonts w:ascii="微软雅黑" w:hAnsi="微软雅黑" w:eastAsia="微软雅黑" w:cs="微软雅黑"/>
          <w:color w:val="231F20"/>
          <w:spacing w:val="3"/>
          <w:sz w:val="22"/>
          <w:szCs w:val="22"/>
        </w:rPr>
        <w:t>统</w:t>
      </w:r>
      <w:r>
        <w:rPr>
          <w:rFonts w:ascii="微软雅黑" w:hAnsi="微软雅黑" w:eastAsia="微软雅黑" w:cs="微软雅黑"/>
          <w:color w:val="231F20"/>
          <w:spacing w:val="2"/>
          <w:sz w:val="22"/>
          <w:szCs w:val="22"/>
        </w:rPr>
        <w:t xml:space="preserve">筹制定了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年北京市涉外重大招商引资活动计划，  与香港</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地区、  日本、新加坡、英国、美国、德国、新西</w:t>
      </w:r>
      <w:r>
        <w:rPr>
          <w:rFonts w:ascii="微软雅黑" w:hAnsi="微软雅黑" w:eastAsia="微软雅黑" w:cs="微软雅黑"/>
          <w:color w:val="231F20"/>
          <w:spacing w:val="-1"/>
          <w:sz w:val="22"/>
          <w:szCs w:val="22"/>
        </w:rPr>
        <w:t>兰举办多场“海外云推介”活动 ，线</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上线下积极开展推介活动 ，打造云端会客厅品牌，  同</w:t>
      </w:r>
      <w:r>
        <w:rPr>
          <w:rFonts w:ascii="微软雅黑" w:hAnsi="微软雅黑" w:eastAsia="微软雅黑" w:cs="微软雅黑"/>
          <w:color w:val="231F20"/>
          <w:spacing w:val="-1"/>
          <w:sz w:val="22"/>
          <w:szCs w:val="22"/>
        </w:rPr>
        <w:t>时利用门户网站、微信公众号广</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泛宣传</w:t>
      </w:r>
      <w:r>
        <w:rPr>
          <w:rFonts w:ascii="微软雅黑" w:hAnsi="微软雅黑" w:eastAsia="微软雅黑" w:cs="微软雅黑"/>
          <w:color w:val="231F20"/>
          <w:sz w:val="22"/>
          <w:szCs w:val="22"/>
        </w:rPr>
        <w:t xml:space="preserve">开放政策 ，广泛调动了境外企业参与“两区”建设积极性 ，扩大了“两区”建   </w:t>
      </w:r>
      <w:r>
        <w:rPr>
          <w:rFonts w:ascii="微软雅黑" w:hAnsi="微软雅黑" w:eastAsia="微软雅黑" w:cs="微软雅黑"/>
          <w:color w:val="231F20"/>
          <w:spacing w:val="-1"/>
          <w:sz w:val="22"/>
          <w:szCs w:val="22"/>
        </w:rPr>
        <w:t>设国际影</w:t>
      </w:r>
      <w:r>
        <w:rPr>
          <w:rFonts w:ascii="微软雅黑" w:hAnsi="微软雅黑" w:eastAsia="微软雅黑" w:cs="微软雅黑"/>
          <w:color w:val="231F20"/>
          <w:sz w:val="22"/>
          <w:szCs w:val="22"/>
        </w:rPr>
        <w:t>响力。</w:t>
      </w:r>
    </w:p>
    <w:p>
      <w:pPr>
        <w:spacing w:before="174" w:line="261" w:lineRule="auto"/>
        <w:ind w:left="1992" w:right="1983" w:firstLine="443"/>
        <w:rPr>
          <w:rFonts w:ascii="微软雅黑" w:hAnsi="微软雅黑" w:eastAsia="微软雅黑" w:cs="微软雅黑"/>
          <w:sz w:val="22"/>
          <w:szCs w:val="22"/>
        </w:rPr>
      </w:pP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9 </w:t>
      </w:r>
      <w:r>
        <w:rPr>
          <w:rFonts w:ascii="微软雅黑" w:hAnsi="微软雅黑" w:eastAsia="微软雅黑" w:cs="微软雅黑"/>
          <w:color w:val="231F20"/>
          <w:spacing w:val="1"/>
          <w:sz w:val="22"/>
          <w:szCs w:val="22"/>
        </w:rPr>
        <w:t xml:space="preserve">月，“两区”建设一周年之际，  </w:t>
      </w:r>
      <w:r>
        <w:rPr>
          <w:rFonts w:ascii="微软雅黑" w:hAnsi="微软雅黑" w:eastAsia="微软雅黑" w:cs="微软雅黑"/>
          <w:color w:val="231F20"/>
          <w:sz w:val="22"/>
          <w:szCs w:val="22"/>
        </w:rPr>
        <w:t xml:space="preserve">已形成 </w:t>
      </w:r>
      <w:r>
        <w:rPr>
          <w:rFonts w:ascii="Times New Roman" w:hAnsi="Times New Roman" w:eastAsia="Times New Roman" w:cs="Times New Roman"/>
          <w:color w:val="231F20"/>
          <w:sz w:val="22"/>
          <w:szCs w:val="22"/>
        </w:rPr>
        <w:t xml:space="preserve">10 </w:t>
      </w:r>
      <w:r>
        <w:rPr>
          <w:rFonts w:ascii="微软雅黑" w:hAnsi="微软雅黑" w:eastAsia="微软雅黑" w:cs="微软雅黑"/>
          <w:color w:val="231F20"/>
          <w:sz w:val="22"/>
          <w:szCs w:val="22"/>
        </w:rPr>
        <w:t xml:space="preserve">个向全国复制推广的首批国 </w:t>
      </w:r>
      <w:r>
        <w:rPr>
          <w:rFonts w:ascii="微软雅黑" w:hAnsi="微软雅黑" w:eastAsia="微软雅黑" w:cs="微软雅黑"/>
          <w:color w:val="231F20"/>
          <w:spacing w:val="1"/>
          <w:sz w:val="22"/>
          <w:szCs w:val="22"/>
        </w:rPr>
        <w:t xml:space="preserve">家服务业扩大开放综合示范区案例和 </w:t>
      </w:r>
      <w:r>
        <w:rPr>
          <w:rFonts w:ascii="Times New Roman" w:hAnsi="Times New Roman" w:eastAsia="Times New Roman" w:cs="Times New Roman"/>
          <w:color w:val="231F20"/>
          <w:spacing w:val="1"/>
          <w:sz w:val="22"/>
          <w:szCs w:val="22"/>
        </w:rPr>
        <w:t xml:space="preserve">24 </w:t>
      </w:r>
      <w:r>
        <w:rPr>
          <w:rFonts w:ascii="微软雅黑" w:hAnsi="微软雅黑" w:eastAsia="微软雅黑" w:cs="微软雅黑"/>
          <w:color w:val="231F20"/>
          <w:spacing w:val="1"/>
          <w:sz w:val="22"/>
          <w:szCs w:val="22"/>
        </w:rPr>
        <w:t xml:space="preserve">个在全市复制推广的案例， </w:t>
      </w:r>
      <w:r>
        <w:rPr>
          <w:rFonts w:ascii="微软雅黑" w:hAnsi="微软雅黑" w:eastAsia="微软雅黑" w:cs="微软雅黑"/>
          <w:color w:val="231F20"/>
          <w:sz w:val="22"/>
          <w:szCs w:val="22"/>
        </w:rPr>
        <w:t xml:space="preserve">  自试点以来已累 </w:t>
      </w:r>
      <w:r>
        <w:rPr>
          <w:rFonts w:ascii="微软雅黑" w:hAnsi="微软雅黑" w:eastAsia="微软雅黑" w:cs="微软雅黑"/>
          <w:color w:val="231F20"/>
          <w:spacing w:val="1"/>
          <w:sz w:val="22"/>
          <w:szCs w:val="22"/>
        </w:rPr>
        <w:t xml:space="preserve">计向全国推行 </w:t>
      </w:r>
      <w:r>
        <w:rPr>
          <w:rFonts w:ascii="Times New Roman" w:hAnsi="Times New Roman" w:eastAsia="Times New Roman" w:cs="Times New Roman"/>
          <w:color w:val="231F20"/>
          <w:spacing w:val="1"/>
          <w:sz w:val="22"/>
          <w:szCs w:val="22"/>
        </w:rPr>
        <w:t xml:space="preserve">7 </w:t>
      </w:r>
      <w:r>
        <w:rPr>
          <w:rFonts w:ascii="微软雅黑" w:hAnsi="微软雅黑" w:eastAsia="微软雅黑" w:cs="微软雅黑"/>
          <w:color w:val="231F20"/>
          <w:spacing w:val="1"/>
          <w:sz w:val="22"/>
          <w:szCs w:val="22"/>
        </w:rPr>
        <w:t xml:space="preserve">批 </w:t>
      </w:r>
      <w:r>
        <w:rPr>
          <w:rFonts w:ascii="Times New Roman" w:hAnsi="Times New Roman" w:eastAsia="Times New Roman" w:cs="Times New Roman"/>
          <w:color w:val="231F20"/>
          <w:spacing w:val="1"/>
          <w:sz w:val="22"/>
          <w:szCs w:val="22"/>
        </w:rPr>
        <w:t xml:space="preserve">35 </w:t>
      </w:r>
      <w:r>
        <w:rPr>
          <w:rFonts w:ascii="微软雅黑" w:hAnsi="微软雅黑" w:eastAsia="微软雅黑" w:cs="微软雅黑"/>
          <w:color w:val="231F20"/>
          <w:spacing w:val="1"/>
          <w:sz w:val="22"/>
          <w:szCs w:val="22"/>
        </w:rPr>
        <w:t>项经验案例。</w:t>
      </w:r>
      <w:r>
        <w:rPr>
          <w:rFonts w:ascii="Times New Roman" w:hAnsi="Times New Roman" w:eastAsia="Times New Roman" w:cs="Times New Roman"/>
          <w:color w:val="231F20"/>
          <w:spacing w:val="1"/>
          <w:sz w:val="22"/>
          <w:szCs w:val="22"/>
        </w:rPr>
        <w:t xml:space="preserve">45 </w:t>
      </w:r>
      <w:r>
        <w:rPr>
          <w:rFonts w:ascii="微软雅黑" w:hAnsi="微软雅黑" w:eastAsia="微软雅黑" w:cs="微软雅黑"/>
          <w:color w:val="231F20"/>
          <w:spacing w:val="1"/>
          <w:sz w:val="22"/>
          <w:szCs w:val="22"/>
        </w:rPr>
        <w:t>项标志性项目落地见效 ，</w:t>
      </w:r>
      <w:r>
        <w:rPr>
          <w:rFonts w:ascii="Times New Roman" w:hAnsi="Times New Roman" w:eastAsia="Times New Roman" w:cs="Times New Roman"/>
          <w:color w:val="231F20"/>
          <w:spacing w:val="1"/>
          <w:sz w:val="22"/>
          <w:szCs w:val="22"/>
        </w:rPr>
        <w:t xml:space="preserve">35 </w:t>
      </w:r>
      <w:r>
        <w:rPr>
          <w:rFonts w:ascii="微软雅黑" w:hAnsi="微软雅黑" w:eastAsia="微软雅黑" w:cs="微软雅黑"/>
          <w:color w:val="231F20"/>
          <w:spacing w:val="1"/>
          <w:sz w:val="22"/>
          <w:szCs w:val="22"/>
        </w:rPr>
        <w:t>个功能性</w:t>
      </w:r>
      <w:r>
        <w:rPr>
          <w:rFonts w:ascii="微软雅黑" w:hAnsi="微软雅黑" w:eastAsia="微软雅黑" w:cs="微软雅黑"/>
          <w:color w:val="231F20"/>
          <w:sz w:val="22"/>
          <w:szCs w:val="22"/>
        </w:rPr>
        <w:t xml:space="preserve">、服务型 </w:t>
      </w:r>
      <w:r>
        <w:rPr>
          <w:rFonts w:ascii="微软雅黑" w:hAnsi="微软雅黑" w:eastAsia="微软雅黑" w:cs="微软雅黑"/>
          <w:color w:val="231F20"/>
          <w:spacing w:val="7"/>
          <w:sz w:val="22"/>
          <w:szCs w:val="22"/>
        </w:rPr>
        <w:t>平</w:t>
      </w:r>
      <w:r>
        <w:rPr>
          <w:rFonts w:ascii="微软雅黑" w:hAnsi="微软雅黑" w:eastAsia="微软雅黑" w:cs="微软雅黑"/>
          <w:color w:val="231F20"/>
          <w:spacing w:val="4"/>
          <w:sz w:val="22"/>
          <w:szCs w:val="22"/>
        </w:rPr>
        <w:t xml:space="preserve">台高效运转。北京还落地了 </w:t>
      </w:r>
      <w:r>
        <w:rPr>
          <w:rFonts w:ascii="Times New Roman" w:hAnsi="Times New Roman" w:eastAsia="Times New Roman" w:cs="Times New Roman"/>
          <w:color w:val="231F20"/>
          <w:spacing w:val="4"/>
          <w:sz w:val="22"/>
          <w:szCs w:val="22"/>
        </w:rPr>
        <w:t xml:space="preserve">68 </w:t>
      </w:r>
      <w:r>
        <w:rPr>
          <w:rFonts w:ascii="微软雅黑" w:hAnsi="微软雅黑" w:eastAsia="微软雅黑" w:cs="微软雅黑"/>
          <w:color w:val="231F20"/>
          <w:spacing w:val="4"/>
          <w:sz w:val="22"/>
          <w:szCs w:val="22"/>
        </w:rPr>
        <w:t>家中外金融机构 ，全国首家外资货币经纪公司、首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家拥有证券承销牌照的日资券</w:t>
      </w:r>
      <w:r>
        <w:rPr>
          <w:rFonts w:ascii="微软雅黑" w:hAnsi="微软雅黑" w:eastAsia="微软雅黑" w:cs="微软雅黑"/>
          <w:color w:val="231F20"/>
          <w:sz w:val="22"/>
          <w:szCs w:val="22"/>
        </w:rPr>
        <w:t>商等先后在京注册。</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4054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31" name="IM 331"/>
            <wp:cNvGraphicFramePr/>
            <a:graphic xmlns:a="http://schemas.openxmlformats.org/drawingml/2006/main">
              <a:graphicData uri="http://schemas.openxmlformats.org/drawingml/2006/picture">
                <pic:pic xmlns:pic="http://schemas.openxmlformats.org/drawingml/2006/picture">
                  <pic:nvPicPr>
                    <pic:cNvPr id="331" name="IM 331"/>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bookmarkStart w:id="73" w:name="_bookmark58"/>
      <w:bookmarkEnd w:id="73"/>
      <w:r>
        <w:rPr>
          <w:rFonts w:ascii="Arial" w:hAnsi="Arial" w:eastAsia="Arial" w:cs="Arial"/>
          <w:color w:val="231F20"/>
          <w:spacing w:val="41"/>
          <w:sz w:val="20"/>
          <w:szCs w:val="20"/>
        </w:rPr>
        <w:t>6</w:t>
      </w:r>
      <w:r>
        <w:rPr>
          <w:rFonts w:ascii="Arial" w:hAnsi="Arial" w:eastAsia="Arial" w:cs="Arial"/>
          <w:color w:val="231F20"/>
          <w:spacing w:val="21"/>
          <w:sz w:val="20"/>
          <w:szCs w:val="20"/>
        </w:rPr>
        <w:t xml:space="preserve">6  </w:t>
      </w:r>
      <w:r>
        <w:rPr>
          <w:position w:val="-5"/>
          <w:sz w:val="20"/>
          <w:szCs w:val="20"/>
        </w:rPr>
        <w:drawing>
          <wp:inline distT="0" distB="0" distL="0" distR="0">
            <wp:extent cx="3175" cy="14732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333" name="IM 333"/>
            <wp:cNvGraphicFramePr/>
            <a:graphic xmlns:a="http://schemas.openxmlformats.org/drawingml/2006/main">
              <a:graphicData uri="http://schemas.openxmlformats.org/drawingml/2006/picture">
                <pic:pic xmlns:pic="http://schemas.openxmlformats.org/drawingml/2006/picture">
                  <pic:nvPicPr>
                    <pic:cNvPr id="333" name="IM 333"/>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8" w:line="222" w:lineRule="auto"/>
        <w:ind w:left="2462"/>
        <w:rPr>
          <w:rFonts w:ascii="SimHei" w:hAnsi="SimHei" w:eastAsia="SimHei" w:cs="SimHei"/>
          <w:sz w:val="24"/>
          <w:szCs w:val="24"/>
        </w:rPr>
      </w:pPr>
      <w:r>
        <w:rPr>
          <w:rFonts w:ascii="SimHei" w:hAnsi="SimHei" w:eastAsia="SimHei" w:cs="SimHei"/>
          <w:color w:val="015DAC"/>
          <w:spacing w:val="5"/>
          <w:sz w:val="24"/>
          <w:szCs w:val="24"/>
        </w:rPr>
        <w:t>(三) 促进高精尖产业投资，推进制造业高端智能发</w:t>
      </w:r>
      <w:r>
        <w:rPr>
          <w:rFonts w:ascii="SimHei" w:hAnsi="SimHei" w:eastAsia="SimHei" w:cs="SimHei"/>
          <w:color w:val="015DAC"/>
          <w:spacing w:val="2"/>
          <w:sz w:val="24"/>
          <w:szCs w:val="24"/>
        </w:rPr>
        <w:t>展</w:t>
      </w:r>
    </w:p>
    <w:p>
      <w:pPr>
        <w:spacing w:before="332" w:line="257" w:lineRule="auto"/>
        <w:ind w:left="1992" w:right="1897" w:firstLine="450"/>
        <w:rPr>
          <w:rFonts w:ascii="微软雅黑" w:hAnsi="微软雅黑" w:eastAsia="微软雅黑" w:cs="微软雅黑"/>
          <w:sz w:val="22"/>
          <w:szCs w:val="22"/>
        </w:rPr>
      </w:pPr>
      <w:r>
        <w:rPr>
          <w:rFonts w:ascii="Times New Roman" w:hAnsi="Times New Roman" w:eastAsia="Times New Roman" w:cs="Times New Roman"/>
          <w:color w:val="231F20"/>
          <w:spacing w:val="16"/>
          <w:sz w:val="22"/>
          <w:szCs w:val="22"/>
        </w:rPr>
        <w:t>20</w:t>
      </w:r>
      <w:r>
        <w:rPr>
          <w:rFonts w:ascii="Times New Roman" w:hAnsi="Times New Roman" w:eastAsia="Times New Roman" w:cs="Times New Roman"/>
          <w:color w:val="231F20"/>
          <w:spacing w:val="10"/>
          <w:sz w:val="22"/>
          <w:szCs w:val="22"/>
        </w:rPr>
        <w:t>2</w:t>
      </w:r>
      <w:r>
        <w:rPr>
          <w:rFonts w:ascii="Times New Roman" w:hAnsi="Times New Roman" w:eastAsia="Times New Roman" w:cs="Times New Roman"/>
          <w:color w:val="231F20"/>
          <w:spacing w:val="8"/>
          <w:sz w:val="22"/>
          <w:szCs w:val="22"/>
        </w:rPr>
        <w:t xml:space="preserve">1 </w:t>
      </w:r>
      <w:r>
        <w:rPr>
          <w:rFonts w:ascii="微软雅黑" w:hAnsi="微软雅黑" w:eastAsia="微软雅黑" w:cs="微软雅黑"/>
          <w:color w:val="231F20"/>
          <w:spacing w:val="8"/>
          <w:sz w:val="22"/>
          <w:szCs w:val="22"/>
        </w:rPr>
        <w:t xml:space="preserve">年 </w:t>
      </w:r>
      <w:r>
        <w:rPr>
          <w:rFonts w:ascii="Times New Roman" w:hAnsi="Times New Roman" w:eastAsia="Times New Roman" w:cs="Times New Roman"/>
          <w:color w:val="231F20"/>
          <w:spacing w:val="8"/>
          <w:sz w:val="22"/>
          <w:szCs w:val="22"/>
        </w:rPr>
        <w:t xml:space="preserve">9 </w:t>
      </w:r>
      <w:r>
        <w:rPr>
          <w:rFonts w:ascii="微软雅黑" w:hAnsi="微软雅黑" w:eastAsia="微软雅黑" w:cs="微软雅黑"/>
          <w:color w:val="231F20"/>
          <w:spacing w:val="8"/>
          <w:sz w:val="22"/>
          <w:szCs w:val="22"/>
        </w:rPr>
        <w:t xml:space="preserve">月 </w:t>
      </w:r>
      <w:r>
        <w:rPr>
          <w:rFonts w:ascii="Times New Roman" w:hAnsi="Times New Roman" w:eastAsia="Times New Roman" w:cs="Times New Roman"/>
          <w:color w:val="231F20"/>
          <w:spacing w:val="8"/>
          <w:sz w:val="22"/>
          <w:szCs w:val="22"/>
        </w:rPr>
        <w:t xml:space="preserve">6 </w:t>
      </w:r>
      <w:r>
        <w:rPr>
          <w:rFonts w:ascii="微软雅黑" w:hAnsi="微软雅黑" w:eastAsia="微软雅黑" w:cs="微软雅黑"/>
          <w:color w:val="231F20"/>
          <w:spacing w:val="8"/>
          <w:sz w:val="22"/>
          <w:szCs w:val="22"/>
        </w:rPr>
        <w:t>日，  北京市人民政府印发《北京市关于促进高精尖产业投资推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进制造业高端智能</w:t>
      </w:r>
      <w:r>
        <w:rPr>
          <w:rFonts w:ascii="微软雅黑" w:hAnsi="微软雅黑" w:eastAsia="微软雅黑" w:cs="微软雅黑"/>
          <w:color w:val="231F20"/>
          <w:spacing w:val="-1"/>
          <w:sz w:val="22"/>
          <w:szCs w:val="22"/>
        </w:rPr>
        <w:t xml:space="preserve">绿色发展的若干措施》  ( 京政发〔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w:t>
      </w:r>
      <w:r>
        <w:rPr>
          <w:rFonts w:ascii="Times New Roman" w:hAnsi="Times New Roman" w:eastAsia="Times New Roman" w:cs="Times New Roman"/>
          <w:color w:val="231F20"/>
          <w:spacing w:val="-1"/>
          <w:sz w:val="22"/>
          <w:szCs w:val="22"/>
        </w:rPr>
        <w:t xml:space="preserve">25 </w:t>
      </w:r>
      <w:r>
        <w:rPr>
          <w:rFonts w:ascii="微软雅黑" w:hAnsi="微软雅黑" w:eastAsia="微软雅黑" w:cs="微软雅黑"/>
          <w:color w:val="231F20"/>
          <w:spacing w:val="-1"/>
          <w:sz w:val="22"/>
          <w:szCs w:val="22"/>
        </w:rPr>
        <w:t>号 )  ，提出鼓励民营、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4"/>
          <w:sz w:val="22"/>
          <w:szCs w:val="22"/>
        </w:rPr>
        <w:t>外资企业</w:t>
      </w:r>
      <w:r>
        <w:rPr>
          <w:rFonts w:ascii="微软雅黑" w:hAnsi="微软雅黑" w:eastAsia="微软雅黑" w:cs="微软雅黑"/>
          <w:color w:val="231F20"/>
          <w:spacing w:val="8"/>
          <w:sz w:val="22"/>
          <w:szCs w:val="22"/>
        </w:rPr>
        <w:t>及</w:t>
      </w:r>
      <w:r>
        <w:rPr>
          <w:rFonts w:ascii="微软雅黑" w:hAnsi="微软雅黑" w:eastAsia="微软雅黑" w:cs="微软雅黑"/>
          <w:color w:val="231F20"/>
          <w:spacing w:val="7"/>
          <w:sz w:val="22"/>
          <w:szCs w:val="22"/>
        </w:rPr>
        <w:t>国有企业等主体积极投资符合首都城市战略定位的高精尖产业 ，促进产</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业基础再造提升</w:t>
      </w:r>
      <w:r>
        <w:rPr>
          <w:rFonts w:ascii="微软雅黑" w:hAnsi="微软雅黑" w:eastAsia="微软雅黑" w:cs="微软雅黑"/>
          <w:color w:val="231F20"/>
          <w:spacing w:val="4"/>
          <w:sz w:val="22"/>
          <w:szCs w:val="22"/>
        </w:rPr>
        <w:t xml:space="preserve">和产业链优化升级，  推进制造业高端 、智能 、绿色发展等 </w:t>
      </w:r>
      <w:r>
        <w:rPr>
          <w:rFonts w:ascii="Times New Roman" w:hAnsi="Times New Roman" w:eastAsia="Times New Roman" w:cs="Times New Roman"/>
          <w:color w:val="231F20"/>
          <w:spacing w:val="4"/>
          <w:sz w:val="22"/>
          <w:szCs w:val="22"/>
        </w:rPr>
        <w:t xml:space="preserve">16 </w:t>
      </w:r>
      <w:r>
        <w:rPr>
          <w:rFonts w:ascii="微软雅黑" w:hAnsi="微软雅黑" w:eastAsia="微软雅黑" w:cs="微软雅黑"/>
          <w:color w:val="231F20"/>
          <w:spacing w:val="4"/>
          <w:sz w:val="22"/>
          <w:szCs w:val="22"/>
        </w:rPr>
        <w:t>条具</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体</w:t>
      </w:r>
      <w:r>
        <w:rPr>
          <w:rFonts w:ascii="微软雅黑" w:hAnsi="微软雅黑" w:eastAsia="微软雅黑" w:cs="微软雅黑"/>
          <w:color w:val="231F20"/>
          <w:spacing w:val="8"/>
          <w:sz w:val="22"/>
          <w:szCs w:val="22"/>
        </w:rPr>
        <w:t>措</w:t>
      </w:r>
      <w:r>
        <w:rPr>
          <w:rFonts w:ascii="微软雅黑" w:hAnsi="微软雅黑" w:eastAsia="微软雅黑" w:cs="微软雅黑"/>
          <w:color w:val="231F20"/>
          <w:spacing w:val="5"/>
          <w:sz w:val="22"/>
          <w:szCs w:val="22"/>
        </w:rPr>
        <w:t>施 。其中 ，</w:t>
      </w:r>
      <w:r>
        <w:rPr>
          <w:rFonts w:ascii="SimHei" w:hAnsi="SimHei" w:eastAsia="SimHei" w:cs="SimHei"/>
          <w:color w:val="231F20"/>
          <w:spacing w:val="5"/>
          <w:sz w:val="22"/>
          <w:szCs w:val="22"/>
        </w:rPr>
        <w:t>在“鼓励投资高精尖产业”方面，</w:t>
      </w:r>
      <w:r>
        <w:rPr>
          <w:rFonts w:ascii="微软雅黑" w:hAnsi="微软雅黑" w:eastAsia="微软雅黑" w:cs="微软雅黑"/>
          <w:color w:val="231F20"/>
          <w:spacing w:val="5"/>
          <w:sz w:val="22"/>
          <w:szCs w:val="22"/>
        </w:rPr>
        <w:t>提出支持“高精尖”产业发展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利用北京市高精尖产业政策，对总部企业产业升级和发展新模式、新业态予以支持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鼓励创建市级产业</w:t>
      </w:r>
      <w:r>
        <w:rPr>
          <w:rFonts w:ascii="微软雅黑" w:hAnsi="微软雅黑" w:eastAsia="微软雅黑" w:cs="微软雅黑"/>
          <w:color w:val="231F20"/>
          <w:spacing w:val="5"/>
          <w:sz w:val="22"/>
          <w:szCs w:val="22"/>
        </w:rPr>
        <w:t>创</w:t>
      </w:r>
      <w:r>
        <w:rPr>
          <w:rFonts w:ascii="微软雅黑" w:hAnsi="微软雅黑" w:eastAsia="微软雅黑" w:cs="微软雅黑"/>
          <w:color w:val="231F20"/>
          <w:spacing w:val="3"/>
          <w:sz w:val="22"/>
          <w:szCs w:val="22"/>
        </w:rPr>
        <w:t>新中心、产业设计中心和企业技术中心。</w:t>
      </w:r>
      <w:r>
        <w:rPr>
          <w:rFonts w:ascii="SimHei" w:hAnsi="SimHei" w:eastAsia="SimHei" w:cs="SimHei"/>
          <w:color w:val="231F20"/>
          <w:spacing w:val="3"/>
          <w:sz w:val="22"/>
          <w:szCs w:val="22"/>
        </w:rPr>
        <w:t>在“实施项目落地‘首</w:t>
      </w:r>
      <w:r>
        <w:rPr>
          <w:rFonts w:ascii="SimHei" w:hAnsi="SimHei" w:eastAsia="SimHei" w:cs="SimHei"/>
          <w:color w:val="231F20"/>
          <w:sz w:val="22"/>
          <w:szCs w:val="22"/>
        </w:rPr>
        <w:t xml:space="preserve"> </w:t>
      </w:r>
      <w:r>
        <w:rPr>
          <w:rFonts w:ascii="SimHei" w:hAnsi="SimHei" w:eastAsia="SimHei" w:cs="SimHei"/>
          <w:color w:val="231F20"/>
          <w:spacing w:val="-8"/>
          <w:sz w:val="22"/>
          <w:szCs w:val="22"/>
        </w:rPr>
        <w:t>谈制’”</w:t>
      </w:r>
      <w:r>
        <w:rPr>
          <w:rFonts w:ascii="SimHei" w:hAnsi="SimHei" w:eastAsia="SimHei" w:cs="SimHei"/>
          <w:color w:val="231F20"/>
          <w:spacing w:val="-7"/>
          <w:sz w:val="22"/>
          <w:szCs w:val="22"/>
        </w:rPr>
        <w:t>方</w:t>
      </w:r>
      <w:r>
        <w:rPr>
          <w:rFonts w:ascii="SimHei" w:hAnsi="SimHei" w:eastAsia="SimHei" w:cs="SimHei"/>
          <w:color w:val="231F20"/>
          <w:spacing w:val="-4"/>
          <w:sz w:val="22"/>
          <w:szCs w:val="22"/>
        </w:rPr>
        <w:t>面，</w:t>
      </w:r>
      <w:r>
        <w:rPr>
          <w:rFonts w:ascii="微软雅黑" w:hAnsi="微软雅黑" w:eastAsia="微软雅黑" w:cs="微软雅黑"/>
          <w:color w:val="231F20"/>
          <w:spacing w:val="-4"/>
          <w:sz w:val="22"/>
          <w:szCs w:val="22"/>
        </w:rPr>
        <w:t xml:space="preserve">对总投资 </w:t>
      </w:r>
      <w:r>
        <w:rPr>
          <w:rFonts w:ascii="Times New Roman" w:hAnsi="Times New Roman" w:eastAsia="Times New Roman" w:cs="Times New Roman"/>
          <w:color w:val="231F20"/>
          <w:spacing w:val="-4"/>
          <w:sz w:val="22"/>
          <w:szCs w:val="22"/>
        </w:rPr>
        <w:t xml:space="preserve">1 </w:t>
      </w:r>
      <w:r>
        <w:rPr>
          <w:rFonts w:ascii="微软雅黑" w:hAnsi="微软雅黑" w:eastAsia="微软雅黑" w:cs="微软雅黑"/>
          <w:color w:val="231F20"/>
          <w:spacing w:val="-4"/>
          <w:sz w:val="22"/>
          <w:szCs w:val="22"/>
        </w:rPr>
        <w:t>亿元以上</w:t>
      </w:r>
      <w:r>
        <w:rPr>
          <w:rFonts w:ascii="Times New Roman" w:hAnsi="Times New Roman" w:eastAsia="Times New Roman" w:cs="Times New Roman"/>
          <w:color w:val="231F20"/>
          <w:spacing w:val="-4"/>
          <w:sz w:val="22"/>
          <w:szCs w:val="22"/>
        </w:rPr>
        <w:t xml:space="preserve">( </w:t>
      </w:r>
      <w:r>
        <w:rPr>
          <w:rFonts w:ascii="微软雅黑" w:hAnsi="微软雅黑" w:eastAsia="微软雅黑" w:cs="微软雅黑"/>
          <w:color w:val="231F20"/>
          <w:spacing w:val="-4"/>
          <w:sz w:val="22"/>
          <w:szCs w:val="22"/>
        </w:rPr>
        <w:t xml:space="preserve">含 </w:t>
      </w:r>
      <w:r>
        <w:rPr>
          <w:rFonts w:ascii="Times New Roman" w:hAnsi="Times New Roman" w:eastAsia="Times New Roman" w:cs="Times New Roman"/>
          <w:color w:val="231F20"/>
          <w:spacing w:val="-4"/>
          <w:sz w:val="22"/>
          <w:szCs w:val="22"/>
        </w:rPr>
        <w:t xml:space="preserve">) </w:t>
      </w:r>
      <w:r>
        <w:rPr>
          <w:rFonts w:ascii="微软雅黑" w:hAnsi="微软雅黑" w:eastAsia="微软雅黑" w:cs="微软雅黑"/>
          <w:color w:val="231F20"/>
          <w:spacing w:val="-4"/>
          <w:sz w:val="22"/>
          <w:szCs w:val="22"/>
        </w:rPr>
        <w:t>或具有全局性、战略性的项目，探索实施“首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谈制”。经过首谈认定且成功引进的符合首都城市战略定位的先进制造业重大项目</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0"/>
          <w:sz w:val="22"/>
          <w:szCs w:val="22"/>
        </w:rPr>
        <w:t>项</w:t>
      </w:r>
      <w:r>
        <w:rPr>
          <w:rFonts w:ascii="微软雅黑" w:hAnsi="微软雅黑" w:eastAsia="微软雅黑" w:cs="微软雅黑"/>
          <w:color w:val="231F20"/>
          <w:spacing w:val="13"/>
          <w:sz w:val="22"/>
          <w:szCs w:val="22"/>
        </w:rPr>
        <w:t>目</w:t>
      </w:r>
      <w:r>
        <w:rPr>
          <w:rFonts w:ascii="微软雅黑" w:hAnsi="微软雅黑" w:eastAsia="微软雅黑" w:cs="微软雅黑"/>
          <w:color w:val="231F20"/>
          <w:spacing w:val="10"/>
          <w:sz w:val="22"/>
          <w:szCs w:val="22"/>
        </w:rPr>
        <w:t xml:space="preserve">建设主体在京新增实缴资本不低于 </w:t>
      </w:r>
      <w:r>
        <w:rPr>
          <w:rFonts w:ascii="Times New Roman" w:hAnsi="Times New Roman" w:eastAsia="Times New Roman" w:cs="Times New Roman"/>
          <w:color w:val="231F20"/>
          <w:spacing w:val="10"/>
          <w:sz w:val="22"/>
          <w:szCs w:val="22"/>
        </w:rPr>
        <w:t xml:space="preserve">50 </w:t>
      </w:r>
      <w:r>
        <w:rPr>
          <w:rFonts w:ascii="微软雅黑" w:hAnsi="微软雅黑" w:eastAsia="微软雅黑" w:cs="微软雅黑"/>
          <w:color w:val="231F20"/>
          <w:spacing w:val="10"/>
          <w:sz w:val="22"/>
          <w:szCs w:val="22"/>
        </w:rPr>
        <w:t xml:space="preserve">亿元或实际利用外资达到 </w:t>
      </w:r>
      <w:r>
        <w:rPr>
          <w:rFonts w:ascii="Times New Roman" w:hAnsi="Times New Roman" w:eastAsia="Times New Roman" w:cs="Times New Roman"/>
          <w:color w:val="231F20"/>
          <w:spacing w:val="10"/>
          <w:sz w:val="22"/>
          <w:szCs w:val="22"/>
        </w:rPr>
        <w:t xml:space="preserve">5 </w:t>
      </w:r>
      <w:r>
        <w:rPr>
          <w:rFonts w:ascii="微软雅黑" w:hAnsi="微软雅黑" w:eastAsia="微软雅黑" w:cs="微软雅黑"/>
          <w:color w:val="231F20"/>
          <w:spacing w:val="10"/>
          <w:sz w:val="22"/>
          <w:szCs w:val="22"/>
        </w:rPr>
        <w:t>亿美元的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2"/>
          <w:sz w:val="22"/>
          <w:szCs w:val="22"/>
        </w:rPr>
        <w:t>由</w:t>
      </w:r>
      <w:r>
        <w:rPr>
          <w:rFonts w:ascii="微软雅黑" w:hAnsi="微软雅黑" w:eastAsia="微软雅黑" w:cs="微软雅黑"/>
          <w:color w:val="231F20"/>
          <w:spacing w:val="20"/>
          <w:sz w:val="22"/>
          <w:szCs w:val="22"/>
        </w:rPr>
        <w:t>所</w:t>
      </w:r>
      <w:r>
        <w:rPr>
          <w:rFonts w:ascii="微软雅黑" w:hAnsi="微软雅黑" w:eastAsia="微软雅黑" w:cs="微软雅黑"/>
          <w:color w:val="231F20"/>
          <w:spacing w:val="11"/>
          <w:sz w:val="22"/>
          <w:szCs w:val="22"/>
        </w:rPr>
        <w:t xml:space="preserve">在区对提供项目引进全程服务的第三方机构给予单个项目不低于 </w:t>
      </w:r>
      <w:r>
        <w:rPr>
          <w:rFonts w:ascii="Times New Roman" w:hAnsi="Times New Roman" w:eastAsia="Times New Roman" w:cs="Times New Roman"/>
          <w:color w:val="231F20"/>
          <w:spacing w:val="11"/>
          <w:sz w:val="22"/>
          <w:szCs w:val="22"/>
        </w:rPr>
        <w:t xml:space="preserve">1000 </w:t>
      </w:r>
      <w:r>
        <w:rPr>
          <w:rFonts w:ascii="微软雅黑" w:hAnsi="微软雅黑" w:eastAsia="微软雅黑" w:cs="微软雅黑"/>
          <w:color w:val="231F20"/>
          <w:spacing w:val="11"/>
          <w:sz w:val="22"/>
          <w:szCs w:val="22"/>
        </w:rPr>
        <w:t>万元的</w:t>
      </w:r>
      <w:r>
        <w:rPr>
          <w:rFonts w:ascii="微软雅黑" w:hAnsi="微软雅黑" w:eastAsia="微软雅黑" w:cs="微软雅黑"/>
          <w:color w:val="231F20"/>
          <w:sz w:val="22"/>
          <w:szCs w:val="22"/>
        </w:rPr>
        <w:t xml:space="preserve"> 奖励。</w:t>
      </w:r>
    </w:p>
    <w:p>
      <w:pPr>
        <w:spacing w:before="181" w:line="221" w:lineRule="auto"/>
        <w:ind w:left="2462"/>
        <w:rPr>
          <w:rFonts w:ascii="SimHei" w:hAnsi="SimHei" w:eastAsia="SimHei" w:cs="SimHei"/>
          <w:sz w:val="24"/>
          <w:szCs w:val="24"/>
        </w:rPr>
      </w:pPr>
      <w:r>
        <w:rPr>
          <w:rFonts w:ascii="SimHei" w:hAnsi="SimHei" w:eastAsia="SimHei" w:cs="SimHei"/>
          <w:color w:val="015DAC"/>
          <w:spacing w:val="5"/>
          <w:sz w:val="24"/>
          <w:szCs w:val="24"/>
        </w:rPr>
        <w:t>(四) 高质量建设各类园区，加快培育千亿级产业集</w:t>
      </w:r>
      <w:r>
        <w:rPr>
          <w:rFonts w:ascii="SimHei" w:hAnsi="SimHei" w:eastAsia="SimHei" w:cs="SimHei"/>
          <w:color w:val="015DAC"/>
          <w:spacing w:val="2"/>
          <w:sz w:val="24"/>
          <w:szCs w:val="24"/>
        </w:rPr>
        <w:t>群</w:t>
      </w:r>
    </w:p>
    <w:p>
      <w:pPr>
        <w:spacing w:before="334" w:line="263" w:lineRule="auto"/>
        <w:ind w:left="1990" w:right="1985" w:firstLine="451"/>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 ，北京市充分发挥北京经济技术开发区开放平台的</w:t>
      </w:r>
      <w:r>
        <w:rPr>
          <w:rFonts w:ascii="微软雅黑" w:hAnsi="微软雅黑" w:eastAsia="微软雅黑" w:cs="微软雅黑"/>
          <w:color w:val="231F20"/>
          <w:spacing w:val="-1"/>
          <w:sz w:val="22"/>
          <w:szCs w:val="22"/>
        </w:rPr>
        <w:t>作用 ，不断强化对外资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企业的</w:t>
      </w:r>
      <w:r>
        <w:rPr>
          <w:rFonts w:ascii="微软雅黑" w:hAnsi="微软雅黑" w:eastAsia="微软雅黑" w:cs="微软雅黑"/>
          <w:color w:val="231F20"/>
          <w:spacing w:val="-7"/>
          <w:sz w:val="22"/>
          <w:szCs w:val="22"/>
        </w:rPr>
        <w:t>服</w:t>
      </w:r>
      <w:r>
        <w:rPr>
          <w:rFonts w:ascii="微软雅黑" w:hAnsi="微软雅黑" w:eastAsia="微软雅黑" w:cs="微软雅黑"/>
          <w:color w:val="231F20"/>
          <w:spacing w:val="-4"/>
          <w:sz w:val="22"/>
          <w:szCs w:val="22"/>
        </w:rPr>
        <w:t xml:space="preserve">务，优化营商环境等系列措施 ，吸引了一批重点海外项目落地，   </w:t>
      </w:r>
      <w:r>
        <w:rPr>
          <w:rFonts w:ascii="Times New Roman" w:hAnsi="Times New Roman" w:eastAsia="Times New Roman" w:cs="Times New Roman"/>
          <w:color w:val="231F20"/>
          <w:spacing w:val="-4"/>
          <w:sz w:val="22"/>
          <w:szCs w:val="22"/>
        </w:rPr>
        <w:t xml:space="preserve">11 </w:t>
      </w:r>
      <w:r>
        <w:rPr>
          <w:rFonts w:ascii="微软雅黑" w:hAnsi="微软雅黑" w:eastAsia="微软雅黑" w:cs="微软雅黑"/>
          <w:color w:val="231F20"/>
          <w:spacing w:val="-4"/>
          <w:sz w:val="22"/>
          <w:szCs w:val="22"/>
        </w:rPr>
        <w:t>个离岸创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新中心挂牌 ，促进了高端汽车、产业互联网、生物医药、</w:t>
      </w:r>
      <w:r>
        <w:rPr>
          <w:rFonts w:ascii="微软雅黑" w:hAnsi="微软雅黑" w:eastAsia="微软雅黑" w:cs="微软雅黑"/>
          <w:color w:val="231F20"/>
          <w:spacing w:val="1"/>
          <w:sz w:val="22"/>
          <w:szCs w:val="22"/>
        </w:rPr>
        <w:t>新一代信息技术四个千亿元</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级</w:t>
      </w:r>
      <w:r>
        <w:rPr>
          <w:rFonts w:ascii="微软雅黑" w:hAnsi="微软雅黑" w:eastAsia="微软雅黑" w:cs="微软雅黑"/>
          <w:color w:val="231F20"/>
          <w:sz w:val="22"/>
          <w:szCs w:val="22"/>
        </w:rPr>
        <w:t>产业集群快速发展。</w:t>
      </w:r>
    </w:p>
    <w:p>
      <w:pPr>
        <w:spacing w:before="169" w:line="258" w:lineRule="auto"/>
        <w:ind w:left="1989" w:right="1983" w:firstLine="473"/>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 xml:space="preserve">同时 ，北京市积极推进国际合作园区建设。北京中德国际合作产业园 、  中 </w:t>
      </w:r>
      <w:r>
        <w:rPr>
          <w:rFonts w:ascii="微软雅黑" w:hAnsi="微软雅黑" w:eastAsia="微软雅黑" w:cs="微软雅黑"/>
          <w:color w:val="231F20"/>
          <w:sz w:val="22"/>
          <w:szCs w:val="22"/>
        </w:rPr>
        <w:t xml:space="preserve">日 国 </w:t>
      </w:r>
      <w:r>
        <w:rPr>
          <w:rFonts w:ascii="微软雅黑" w:hAnsi="微软雅黑" w:eastAsia="微软雅黑" w:cs="微软雅黑"/>
          <w:color w:val="231F20"/>
          <w:spacing w:val="6"/>
          <w:sz w:val="22"/>
          <w:szCs w:val="22"/>
        </w:rPr>
        <w:t>际合作产业园是由国家支持 、北京市牵头 、顺义区和大兴区具体实施开展建设</w:t>
      </w:r>
      <w:r>
        <w:rPr>
          <w:rFonts w:ascii="微软雅黑" w:hAnsi="微软雅黑" w:eastAsia="微软雅黑" w:cs="微软雅黑"/>
          <w:color w:val="231F20"/>
          <w:spacing w:val="4"/>
          <w:sz w:val="22"/>
          <w:szCs w:val="22"/>
        </w:rPr>
        <w:t>具</w:t>
      </w:r>
      <w:r>
        <w:rPr>
          <w:rFonts w:ascii="微软雅黑" w:hAnsi="微软雅黑" w:eastAsia="微软雅黑" w:cs="微软雅黑"/>
          <w:color w:val="231F20"/>
          <w:sz w:val="22"/>
          <w:szCs w:val="22"/>
        </w:rPr>
        <w:t xml:space="preserve">有 </w:t>
      </w:r>
      <w:r>
        <w:rPr>
          <w:rFonts w:ascii="微软雅黑" w:hAnsi="微软雅黑" w:eastAsia="微软雅黑" w:cs="微软雅黑"/>
          <w:color w:val="231F20"/>
          <w:spacing w:val="6"/>
          <w:sz w:val="22"/>
          <w:szCs w:val="22"/>
        </w:rPr>
        <w:t>全球示范意义的产业园。其中 ，北京中德国际合作产业园聚焦新能源智能汽车 、</w:t>
      </w:r>
      <w:r>
        <w:rPr>
          <w:rFonts w:ascii="微软雅黑" w:hAnsi="微软雅黑" w:eastAsia="微软雅黑" w:cs="微软雅黑"/>
          <w:color w:val="231F20"/>
          <w:sz w:val="22"/>
          <w:szCs w:val="22"/>
        </w:rPr>
        <w:t xml:space="preserve">智 </w:t>
      </w:r>
      <w:r>
        <w:rPr>
          <w:rFonts w:ascii="微软雅黑" w:hAnsi="微软雅黑" w:eastAsia="微软雅黑" w:cs="微软雅黑"/>
          <w:color w:val="231F20"/>
          <w:spacing w:val="1"/>
          <w:sz w:val="22"/>
          <w:szCs w:val="22"/>
        </w:rPr>
        <w:t>能装备 、工业互联网三大主导产业，  以及“科技</w:t>
      </w:r>
      <w:r>
        <w:rPr>
          <w:rFonts w:ascii="微软雅黑" w:hAnsi="微软雅黑" w:eastAsia="微软雅黑" w:cs="微软雅黑"/>
          <w:color w:val="231F20"/>
          <w:sz w:val="22"/>
          <w:szCs w:val="22"/>
        </w:rPr>
        <w:t xml:space="preserve">服务 、商务会展 、数字贸易”三大 </w:t>
      </w:r>
      <w:r>
        <w:rPr>
          <w:rFonts w:ascii="微软雅黑" w:hAnsi="微软雅黑" w:eastAsia="微软雅黑" w:cs="微软雅黑"/>
          <w:color w:val="231F20"/>
          <w:spacing w:val="1"/>
          <w:sz w:val="22"/>
          <w:szCs w:val="22"/>
        </w:rPr>
        <w:t>生产性服务业 ，打造“德国先进制造业的聚集地 、  中</w:t>
      </w:r>
      <w:r>
        <w:rPr>
          <w:rFonts w:ascii="微软雅黑" w:hAnsi="微软雅黑" w:eastAsia="微软雅黑" w:cs="微软雅黑"/>
          <w:color w:val="231F20"/>
          <w:sz w:val="22"/>
          <w:szCs w:val="22"/>
        </w:rPr>
        <w:t xml:space="preserve">德隐形冠军发展的战略高地 、 </w:t>
      </w:r>
      <w:r>
        <w:rPr>
          <w:rFonts w:ascii="微软雅黑" w:hAnsi="微软雅黑" w:eastAsia="微软雅黑" w:cs="微软雅黑"/>
          <w:color w:val="231F20"/>
          <w:spacing w:val="-1"/>
          <w:sz w:val="22"/>
          <w:szCs w:val="22"/>
        </w:rPr>
        <w:t xml:space="preserve">中德交往与开放创新的重要窗口 ”。截至目前，  园区已集聚 </w:t>
      </w:r>
      <w:r>
        <w:rPr>
          <w:rFonts w:ascii="Times New Roman" w:hAnsi="Times New Roman" w:eastAsia="Times New Roman" w:cs="Times New Roman"/>
          <w:color w:val="231F20"/>
          <w:spacing w:val="-1"/>
          <w:sz w:val="22"/>
          <w:szCs w:val="22"/>
        </w:rPr>
        <w:t>73</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 xml:space="preserve">家德资企业 ，年产值 </w:t>
      </w:r>
      <w:r>
        <w:rPr>
          <w:rFonts w:ascii="微软雅黑" w:hAnsi="微软雅黑" w:eastAsia="微软雅黑" w:cs="微软雅黑"/>
          <w:color w:val="231F20"/>
          <w:spacing w:val="4"/>
          <w:sz w:val="22"/>
          <w:szCs w:val="22"/>
        </w:rPr>
        <w:t>超</w:t>
      </w:r>
      <w:r>
        <w:rPr>
          <w:rFonts w:ascii="微软雅黑" w:hAnsi="微软雅黑" w:eastAsia="微软雅黑" w:cs="微软雅黑"/>
          <w:color w:val="231F20"/>
          <w:spacing w:val="3"/>
          <w:sz w:val="22"/>
          <w:szCs w:val="22"/>
        </w:rPr>
        <w:t>过</w:t>
      </w:r>
      <w:r>
        <w:rPr>
          <w:rFonts w:ascii="微软雅黑" w:hAnsi="微软雅黑" w:eastAsia="微软雅黑" w:cs="微软雅黑"/>
          <w:color w:val="231F20"/>
          <w:spacing w:val="2"/>
          <w:sz w:val="22"/>
          <w:szCs w:val="22"/>
        </w:rPr>
        <w:t xml:space="preserve"> </w:t>
      </w:r>
      <w:r>
        <w:rPr>
          <w:rFonts w:ascii="Times New Roman" w:hAnsi="Times New Roman" w:eastAsia="Times New Roman" w:cs="Times New Roman"/>
          <w:color w:val="231F20"/>
          <w:spacing w:val="2"/>
          <w:sz w:val="22"/>
          <w:szCs w:val="22"/>
        </w:rPr>
        <w:t xml:space="preserve">300 </w:t>
      </w:r>
      <w:r>
        <w:rPr>
          <w:rFonts w:ascii="微软雅黑" w:hAnsi="微软雅黑" w:eastAsia="微软雅黑" w:cs="微软雅黑"/>
          <w:color w:val="231F20"/>
          <w:spacing w:val="2"/>
          <w:sz w:val="22"/>
          <w:szCs w:val="22"/>
        </w:rPr>
        <w:t xml:space="preserve">亿元 ，其中德国隐形冠军企业 </w:t>
      </w:r>
      <w:r>
        <w:rPr>
          <w:rFonts w:ascii="Times New Roman" w:hAnsi="Times New Roman" w:eastAsia="Times New Roman" w:cs="Times New Roman"/>
          <w:color w:val="231F20"/>
          <w:spacing w:val="2"/>
          <w:sz w:val="22"/>
          <w:szCs w:val="22"/>
        </w:rPr>
        <w:t xml:space="preserve">25 </w:t>
      </w:r>
      <w:r>
        <w:rPr>
          <w:rFonts w:ascii="微软雅黑" w:hAnsi="微软雅黑" w:eastAsia="微软雅黑" w:cs="微软雅黑"/>
          <w:color w:val="231F20"/>
          <w:spacing w:val="2"/>
          <w:sz w:val="22"/>
          <w:szCs w:val="22"/>
        </w:rPr>
        <w:t>家。中 日国际合作产业园定位为国际科技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协同创新与产业合作发展示范区，  发挥中国庞大市场 、完整工业体系和营商环境的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优势，  结</w:t>
      </w:r>
      <w:r>
        <w:rPr>
          <w:rFonts w:ascii="微软雅黑" w:hAnsi="微软雅黑" w:eastAsia="微软雅黑" w:cs="微软雅黑"/>
          <w:color w:val="231F20"/>
          <w:spacing w:val="2"/>
          <w:sz w:val="22"/>
          <w:szCs w:val="22"/>
        </w:rPr>
        <w:t>合日本高端产业和制造优势 ，推动中日双方产业和创新优势互补 ，打造特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色</w:t>
      </w:r>
      <w:r>
        <w:rPr>
          <w:rFonts w:ascii="微软雅黑" w:hAnsi="微软雅黑" w:eastAsia="微软雅黑" w:cs="微软雅黑"/>
          <w:color w:val="231F20"/>
          <w:spacing w:val="3"/>
          <w:sz w:val="22"/>
          <w:szCs w:val="22"/>
        </w:rPr>
        <w:t>的产业创新协作园区。</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4156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bookmarkStart w:id="74" w:name="_bookmark59"/>
      <w:bookmarkEnd w:id="74"/>
      <w:bookmarkStart w:id="75" w:name="_bookmark61"/>
      <w:bookmarkEnd w:id="75"/>
      <w:bookmarkStart w:id="76" w:name="_bookmark60"/>
      <w:bookmarkEnd w:id="76"/>
      <w:r>
        <w:rPr>
          <w:rFonts w:ascii="SimHei" w:hAnsi="SimHei" w:eastAsia="SimHei" w:cs="SimHei"/>
          <w:color w:val="1A67B3"/>
          <w:spacing w:val="35"/>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35" name="IM 335"/>
            <wp:cNvGraphicFramePr/>
            <a:graphic xmlns:a="http://schemas.openxmlformats.org/drawingml/2006/main">
              <a:graphicData uri="http://schemas.openxmlformats.org/drawingml/2006/picture">
                <pic:pic xmlns:pic="http://schemas.openxmlformats.org/drawingml/2006/picture">
                  <pic:nvPicPr>
                    <pic:cNvPr id="335" name="IM 335"/>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67</w:t>
      </w: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9071" w:lineRule="exact"/>
        <w:ind w:firstLine="1989"/>
        <w:textAlignment w:val="center"/>
      </w:pPr>
      <w:r>
        <w:pict>
          <v:group id="_x0000_s1470" o:spid="_x0000_s1470" o:spt="203" style="height:453.55pt;width:413.6pt;" coordsize="8272,9070">
            <o:lock v:ext="edit"/>
            <v:rect id="_x0000_s1471" o:spid="_x0000_s1471" o:spt="1" style="position:absolute;left:0;top:0;height:9070;width:8272;" fillcolor="#004876" filled="t" stroked="f" coordsize="21600,21600">
              <v:path/>
              <v:fill on="t" opacity="6425f" focussize="0,0"/>
              <v:stroke on="f"/>
              <v:imagedata o:title=""/>
              <o:lock v:ext="edit"/>
            </v:rect>
            <v:shape id="_x0000_s1472" o:spid="_x0000_s1472" o:spt="202" type="#_x0000_t202" style="position:absolute;left:322;top:405;height:8265;width:7517;" filled="f" stroked="f" coordsize="21600,21600">
              <v:path/>
              <v:fill on="f" focussize="0,0"/>
              <v:stroke on="f"/>
              <v:imagedata o:title=""/>
              <o:lock v:ext="edit" aspectratio="f"/>
              <v:textbox inset="0mm,0mm,0mm,0mm">
                <w:txbxContent>
                  <w:p>
                    <w:pPr>
                      <w:spacing w:before="20" w:line="40" w:lineRule="exact"/>
                      <w:ind w:firstLine="20"/>
                      <w:textAlignment w:val="center"/>
                    </w:pPr>
                    <w:r>
                      <w:drawing>
                        <wp:inline distT="0" distB="0" distL="0" distR="0">
                          <wp:extent cx="4739005" cy="25400"/>
                          <wp:effectExtent l="0" t="0" r="0" b="0"/>
                          <wp:docPr id="337" name="IM 337"/>
                          <wp:cNvGraphicFramePr/>
                          <a:graphic xmlns:a="http://schemas.openxmlformats.org/drawingml/2006/main">
                            <a:graphicData uri="http://schemas.openxmlformats.org/drawingml/2006/picture">
                              <pic:pic xmlns:pic="http://schemas.openxmlformats.org/drawingml/2006/picture">
                                <pic:nvPicPr>
                                  <pic:cNvPr id="337" name="IM 337"/>
                                  <pic:cNvPicPr/>
                                </pic:nvPicPr>
                                <pic:blipFill>
                                  <a:blip r:embed="rId147"/>
                                  <a:stretch>
                                    <a:fillRect/>
                                  </a:stretch>
                                </pic:blipFill>
                                <pic:spPr>
                                  <a:xfrm>
                                    <a:off x="0" y="0"/>
                                    <a:ext cx="4739398" cy="25400"/>
                                  </a:xfrm>
                                  <a:prstGeom prst="rect">
                                    <a:avLst/>
                                  </a:prstGeom>
                                </pic:spPr>
                              </pic:pic>
                            </a:graphicData>
                          </a:graphic>
                        </wp:inline>
                      </w:drawing>
                    </w:r>
                  </w:p>
                  <w:p>
                    <w:pPr>
                      <w:spacing w:before="133" w:line="192" w:lineRule="auto"/>
                      <w:ind w:left="149"/>
                      <w:rPr>
                        <w:rFonts w:ascii="Times New Roman" w:hAnsi="Times New Roman" w:eastAsia="Times New Roman" w:cs="Times New Roman"/>
                        <w:sz w:val="21"/>
                        <w:szCs w:val="21"/>
                      </w:rPr>
                    </w:pPr>
                    <w:r>
                      <w:rPr>
                        <w:rFonts w:ascii="SimHei" w:hAnsi="SimHei" w:eastAsia="SimHei" w:cs="SimHei"/>
                        <w:color w:val="015DAC"/>
                        <w:spacing w:val="-8"/>
                        <w:sz w:val="21"/>
                        <w:szCs w:val="21"/>
                      </w:rPr>
                      <w:t xml:space="preserve">专栏 </w:t>
                    </w:r>
                    <w:r>
                      <w:rPr>
                        <w:rFonts w:ascii="Times New Roman" w:hAnsi="Times New Roman" w:eastAsia="Times New Roman" w:cs="Times New Roman"/>
                        <w:color w:val="015DAC"/>
                        <w:spacing w:val="-8"/>
                        <w:sz w:val="21"/>
                        <w:szCs w:val="21"/>
                      </w:rPr>
                      <w:t>3- 1</w:t>
                    </w:r>
                  </w:p>
                  <w:p>
                    <w:pPr>
                      <w:spacing w:line="363" w:lineRule="exact"/>
                      <w:ind w:left="1995"/>
                      <w:rPr>
                        <w:rFonts w:ascii="SimHei" w:hAnsi="SimHei" w:eastAsia="SimHei" w:cs="SimHei"/>
                        <w:sz w:val="27"/>
                        <w:szCs w:val="27"/>
                      </w:rPr>
                    </w:pPr>
                    <w:r>
                      <w:rPr>
                        <w:rFonts w:ascii="SimHei" w:hAnsi="SimHei" w:eastAsia="SimHei" w:cs="SimHei"/>
                        <w:color w:val="015DAC"/>
                        <w:spacing w:val="13"/>
                        <w:position w:val="1"/>
                        <w:sz w:val="27"/>
                        <w:szCs w:val="27"/>
                        <w14:textOutline w14:w="3175" w14:cap="flat" w14:cmpd="sng">
                          <w14:solidFill>
                            <w14:srgbClr w14:val="015DAC"/>
                          </w14:solidFill>
                          <w14:prstDash w14:val="solid"/>
                          <w14:miter w14:val="0"/>
                        </w14:textOutline>
                      </w:rPr>
                      <w:t>北</w:t>
                    </w:r>
                    <w:r>
                      <w:rPr>
                        <w:rFonts w:ascii="SimHei" w:hAnsi="SimHei" w:eastAsia="SimHei" w:cs="SimHei"/>
                        <w:color w:val="015DAC"/>
                        <w:spacing w:val="10"/>
                        <w:position w:val="1"/>
                        <w:sz w:val="27"/>
                        <w:szCs w:val="27"/>
                        <w14:textOutline w14:w="3175" w14:cap="flat" w14:cmpd="sng">
                          <w14:solidFill>
                            <w14:srgbClr w14:val="015DAC"/>
                          </w14:solidFill>
                          <w14:prstDash w14:val="solid"/>
                          <w14:miter w14:val="0"/>
                        </w14:textOutline>
                      </w:rPr>
                      <w:t>京国际合作产业园建设情况</w:t>
                    </w:r>
                  </w:p>
                  <w:p>
                    <w:pPr>
                      <w:spacing w:line="260" w:lineRule="auto"/>
                      <w:rPr>
                        <w:rFonts w:ascii="Arial"/>
                        <w:sz w:val="21"/>
                      </w:rPr>
                    </w:pPr>
                  </w:p>
                  <w:p>
                    <w:pPr>
                      <w:spacing w:line="40" w:lineRule="exact"/>
                      <w:ind w:firstLine="20"/>
                      <w:textAlignment w:val="center"/>
                    </w:pPr>
                    <w:r>
                      <w:drawing>
                        <wp:inline distT="0" distB="0" distL="0" distR="0">
                          <wp:extent cx="4739005" cy="25400"/>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48"/>
                                  <a:stretch>
                                    <a:fillRect/>
                                  </a:stretch>
                                </pic:blipFill>
                                <pic:spPr>
                                  <a:xfrm>
                                    <a:off x="0" y="0"/>
                                    <a:ext cx="4739398" cy="25400"/>
                                  </a:xfrm>
                                  <a:prstGeom prst="rect">
                                    <a:avLst/>
                                  </a:prstGeom>
                                </pic:spPr>
                              </pic:pic>
                            </a:graphicData>
                          </a:graphic>
                        </wp:inline>
                      </w:drawing>
                    </w: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86" w:line="282" w:lineRule="auto"/>
                      <w:ind w:left="156" w:right="21" w:firstLine="414"/>
                      <w:rPr>
                        <w:rFonts w:ascii="微软雅黑" w:hAnsi="微软雅黑" w:eastAsia="微软雅黑" w:cs="微软雅黑"/>
                        <w:sz w:val="20"/>
                        <w:szCs w:val="20"/>
                      </w:rPr>
                    </w:pPr>
                    <w:r>
                      <w:rPr>
                        <w:rFonts w:ascii="SimHei" w:hAnsi="SimHei" w:eastAsia="SimHei" w:cs="SimHei"/>
                        <w:color w:val="231F20"/>
                        <w:spacing w:val="-4"/>
                        <w:sz w:val="20"/>
                        <w:szCs w:val="20"/>
                      </w:rPr>
                      <w:t>北</w:t>
                    </w:r>
                    <w:r>
                      <w:rPr>
                        <w:rFonts w:ascii="SimHei" w:hAnsi="SimHei" w:eastAsia="SimHei" w:cs="SimHei"/>
                        <w:color w:val="231F20"/>
                        <w:spacing w:val="-3"/>
                        <w:sz w:val="20"/>
                        <w:szCs w:val="20"/>
                      </w:rPr>
                      <w:t>京</w:t>
                    </w:r>
                    <w:r>
                      <w:rPr>
                        <w:rFonts w:ascii="SimHei" w:hAnsi="SimHei" w:eastAsia="SimHei" w:cs="SimHei"/>
                        <w:color w:val="231F20"/>
                        <w:spacing w:val="-2"/>
                        <w:sz w:val="20"/>
                        <w:szCs w:val="20"/>
                      </w:rPr>
                      <w:t xml:space="preserve">中德国际合作产业园。 </w:t>
                    </w:r>
                    <w:r>
                      <w:rPr>
                        <w:rFonts w:ascii="Times New Roman" w:hAnsi="Times New Roman" w:eastAsia="Times New Roman" w:cs="Times New Roman"/>
                        <w:color w:val="231F20"/>
                        <w:spacing w:val="-2"/>
                        <w:sz w:val="20"/>
                        <w:szCs w:val="20"/>
                      </w:rPr>
                      <w:t xml:space="preserve">2021 </w:t>
                    </w:r>
                    <w:r>
                      <w:rPr>
                        <w:rFonts w:ascii="微软雅黑" w:hAnsi="微软雅黑" w:eastAsia="微软雅黑" w:cs="微软雅黑"/>
                        <w:color w:val="231F20"/>
                        <w:spacing w:val="-2"/>
                        <w:sz w:val="20"/>
                        <w:szCs w:val="20"/>
                      </w:rPr>
                      <w:t xml:space="preserve">年 </w:t>
                    </w:r>
                    <w:r>
                      <w:rPr>
                        <w:rFonts w:ascii="Times New Roman" w:hAnsi="Times New Roman" w:eastAsia="Times New Roman" w:cs="Times New Roman"/>
                        <w:color w:val="231F20"/>
                        <w:spacing w:val="-2"/>
                        <w:sz w:val="20"/>
                        <w:szCs w:val="20"/>
                      </w:rPr>
                      <w:t xml:space="preserve">12 </w:t>
                    </w:r>
                    <w:r>
                      <w:rPr>
                        <w:rFonts w:ascii="微软雅黑" w:hAnsi="微软雅黑" w:eastAsia="微软雅黑" w:cs="微软雅黑"/>
                        <w:color w:val="231F20"/>
                        <w:spacing w:val="-2"/>
                        <w:sz w:val="20"/>
                        <w:szCs w:val="20"/>
                      </w:rPr>
                      <w:t xml:space="preserve">月 </w:t>
                    </w:r>
                    <w:r>
                      <w:rPr>
                        <w:rFonts w:ascii="Times New Roman" w:hAnsi="Times New Roman" w:eastAsia="Times New Roman" w:cs="Times New Roman"/>
                        <w:color w:val="231F20"/>
                        <w:spacing w:val="-2"/>
                        <w:sz w:val="20"/>
                        <w:szCs w:val="20"/>
                      </w:rPr>
                      <w:t xml:space="preserve">23 </w:t>
                    </w:r>
                    <w:r>
                      <w:rPr>
                        <w:rFonts w:ascii="微软雅黑" w:hAnsi="微软雅黑" w:eastAsia="微软雅黑" w:cs="微软雅黑"/>
                        <w:color w:val="231F20"/>
                        <w:spacing w:val="-2"/>
                        <w:sz w:val="20"/>
                        <w:szCs w:val="20"/>
                      </w:rPr>
                      <w:t>日，</w:t>
                    </w:r>
                    <w:r>
                      <w:rPr>
                        <w:rFonts w:ascii="Times New Roman" w:hAnsi="Times New Roman" w:eastAsia="Times New Roman" w:cs="Times New Roman"/>
                        <w:color w:val="231F20"/>
                        <w:spacing w:val="-2"/>
                        <w:sz w:val="20"/>
                        <w:szCs w:val="20"/>
                      </w:rPr>
                      <w:t xml:space="preserve">2021 </w:t>
                    </w:r>
                    <w:r>
                      <w:rPr>
                        <w:rFonts w:ascii="微软雅黑" w:hAnsi="微软雅黑" w:eastAsia="微软雅黑" w:cs="微软雅黑"/>
                        <w:color w:val="231F20"/>
                        <w:spacing w:val="-2"/>
                        <w:sz w:val="20"/>
                        <w:szCs w:val="20"/>
                      </w:rPr>
                      <w:t>北京中德产业合作发展论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坛在</w:t>
                    </w:r>
                    <w:r>
                      <w:rPr>
                        <w:rFonts w:ascii="微软雅黑" w:hAnsi="微软雅黑" w:eastAsia="微软雅黑" w:cs="微软雅黑"/>
                        <w:color w:val="231F20"/>
                        <w:spacing w:val="2"/>
                        <w:sz w:val="20"/>
                        <w:szCs w:val="20"/>
                      </w:rPr>
                      <w:t>顺义区成功举办 ，北京中德国际合作产业园正式开园。北京市和国家发展改革</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 xml:space="preserve">委等相关部委、中国国际投资促进中心 ( </w:t>
                    </w:r>
                    <w:r>
                      <w:rPr>
                        <w:rFonts w:ascii="Times New Roman" w:hAnsi="Times New Roman" w:eastAsia="Times New Roman" w:cs="Times New Roman"/>
                        <w:color w:val="231F20"/>
                        <w:sz w:val="20"/>
                        <w:szCs w:val="20"/>
                      </w:rPr>
                      <w:t>CIPA</w:t>
                    </w:r>
                    <w:r>
                      <w:rPr>
                        <w:rFonts w:ascii="Times New Roman" w:hAnsi="Times New Roman" w:eastAsia="Times New Roman" w:cs="Times New Roman"/>
                        <w:color w:val="231F20"/>
                        <w:spacing w:val="6"/>
                        <w:sz w:val="20"/>
                        <w:szCs w:val="20"/>
                      </w:rPr>
                      <w:t xml:space="preserve"> </w:t>
                    </w:r>
                    <w:r>
                      <w:rPr>
                        <w:rFonts w:ascii="微软雅黑" w:hAnsi="微软雅黑" w:eastAsia="微软雅黑" w:cs="微软雅黑"/>
                        <w:color w:val="231F20"/>
                        <w:spacing w:val="6"/>
                        <w:sz w:val="20"/>
                        <w:szCs w:val="20"/>
                      </w:rPr>
                      <w:t xml:space="preserve">) 、中欧国际交易所 ( </w:t>
                    </w:r>
                    <w:r>
                      <w:rPr>
                        <w:rFonts w:ascii="Times New Roman" w:hAnsi="Times New Roman" w:eastAsia="Times New Roman" w:cs="Times New Roman"/>
                        <w:color w:val="231F20"/>
                        <w:sz w:val="20"/>
                        <w:szCs w:val="20"/>
                      </w:rPr>
                      <w:t>CEINEX</w:t>
                    </w:r>
                    <w:r>
                      <w:rPr>
                        <w:rFonts w:ascii="Times New Roman" w:hAnsi="Times New Roman" w:eastAsia="Times New Roman" w:cs="Times New Roman"/>
                        <w:color w:val="231F20"/>
                        <w:spacing w:val="6"/>
                        <w:sz w:val="20"/>
                        <w:szCs w:val="20"/>
                      </w:rPr>
                      <w:t xml:space="preserve"> </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5"/>
                        <w:sz w:val="20"/>
                        <w:szCs w:val="20"/>
                      </w:rPr>
                      <w:t>、</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8"/>
                        <w:sz w:val="20"/>
                        <w:szCs w:val="20"/>
                      </w:rPr>
                      <w:t>弗劳</w:t>
                    </w:r>
                    <w:r>
                      <w:rPr>
                        <w:rFonts w:ascii="微软雅黑" w:hAnsi="微软雅黑" w:eastAsia="微软雅黑" w:cs="微软雅黑"/>
                        <w:color w:val="231F20"/>
                        <w:spacing w:val="14"/>
                        <w:sz w:val="20"/>
                        <w:szCs w:val="20"/>
                      </w:rPr>
                      <w:t>恩</w:t>
                    </w:r>
                    <w:r>
                      <w:rPr>
                        <w:rFonts w:ascii="微软雅黑" w:hAnsi="微软雅黑" w:eastAsia="微软雅黑" w:cs="微软雅黑"/>
                        <w:color w:val="231F20"/>
                        <w:spacing w:val="9"/>
                        <w:sz w:val="20"/>
                        <w:szCs w:val="20"/>
                      </w:rPr>
                      <w:t xml:space="preserve">霍夫协会 ( </w:t>
                    </w:r>
                    <w:r>
                      <w:rPr>
                        <w:rFonts w:ascii="Times New Roman" w:hAnsi="Times New Roman" w:eastAsia="Times New Roman" w:cs="Times New Roman"/>
                        <w:color w:val="231F20"/>
                        <w:sz w:val="20"/>
                        <w:szCs w:val="20"/>
                      </w:rPr>
                      <w:t>FHG</w:t>
                    </w:r>
                    <w:r>
                      <w:rPr>
                        <w:rFonts w:ascii="Times New Roman" w:hAnsi="Times New Roman" w:eastAsia="Times New Roman" w:cs="Times New Roman"/>
                        <w:color w:val="231F20"/>
                        <w:spacing w:val="9"/>
                        <w:sz w:val="20"/>
                        <w:szCs w:val="20"/>
                      </w:rPr>
                      <w:t xml:space="preserve"> </w:t>
                    </w:r>
                    <w:r>
                      <w:rPr>
                        <w:rFonts w:ascii="微软雅黑" w:hAnsi="微软雅黑" w:eastAsia="微软雅黑" w:cs="微软雅黑"/>
                        <w:color w:val="231F20"/>
                        <w:spacing w:val="9"/>
                        <w:sz w:val="20"/>
                        <w:szCs w:val="20"/>
                      </w:rPr>
                      <w:t xml:space="preserve">) 、史太白技术转移中心 </w:t>
                    </w:r>
                    <w:r>
                      <w:rPr>
                        <w:rFonts w:ascii="Times New Roman" w:hAnsi="Times New Roman" w:eastAsia="Times New Roman" w:cs="Times New Roman"/>
                        <w:color w:val="231F20"/>
                        <w:spacing w:val="9"/>
                        <w:sz w:val="20"/>
                        <w:szCs w:val="20"/>
                      </w:rPr>
                      <w:t>(</w:t>
                    </w:r>
                    <w:r>
                      <w:rPr>
                        <w:rFonts w:ascii="Times New Roman" w:hAnsi="Times New Roman" w:eastAsia="Times New Roman" w:cs="Times New Roman"/>
                        <w:color w:val="231F20"/>
                        <w:sz w:val="20"/>
                        <w:szCs w:val="20"/>
                      </w:rPr>
                      <w:t>STC</w:t>
                    </w:r>
                    <w:r>
                      <w:rPr>
                        <w:rFonts w:ascii="Times New Roman" w:hAnsi="Times New Roman" w:eastAsia="Times New Roman" w:cs="Times New Roman"/>
                        <w:color w:val="231F20"/>
                        <w:spacing w:val="9"/>
                        <w:sz w:val="20"/>
                        <w:szCs w:val="20"/>
                      </w:rPr>
                      <w:t xml:space="preserve">) </w:t>
                    </w:r>
                    <w:r>
                      <w:rPr>
                        <w:rFonts w:ascii="微软雅黑" w:hAnsi="微软雅黑" w:eastAsia="微软雅黑" w:cs="微软雅黑"/>
                        <w:color w:val="231F20"/>
                        <w:spacing w:val="9"/>
                        <w:sz w:val="20"/>
                        <w:szCs w:val="20"/>
                      </w:rPr>
                      <w:t>、德国中国研发创新联盟</w:t>
                    </w:r>
                    <w:r>
                      <w:rPr>
                        <w:rFonts w:ascii="微软雅黑" w:hAnsi="微软雅黑" w:eastAsia="微软雅黑" w:cs="微软雅黑"/>
                        <w:color w:val="231F20"/>
                        <w:sz w:val="20"/>
                        <w:szCs w:val="20"/>
                      </w:rPr>
                      <w:t xml:space="preserve"> </w:t>
                    </w:r>
                    <w:r>
                      <w:rPr>
                        <w:rFonts w:ascii="Times New Roman" w:hAnsi="Times New Roman" w:eastAsia="Times New Roman" w:cs="Times New Roman"/>
                        <w:color w:val="231F20"/>
                        <w:spacing w:val="8"/>
                        <w:sz w:val="20"/>
                        <w:szCs w:val="20"/>
                      </w:rPr>
                      <w:t>(</w:t>
                    </w:r>
                    <w:r>
                      <w:rPr>
                        <w:rFonts w:ascii="Times New Roman" w:hAnsi="Times New Roman" w:eastAsia="Times New Roman" w:cs="Times New Roman"/>
                        <w:color w:val="231F20"/>
                        <w:sz w:val="20"/>
                        <w:szCs w:val="20"/>
                      </w:rPr>
                      <w:t>CFEID</w:t>
                    </w:r>
                    <w:r>
                      <w:rPr>
                        <w:rFonts w:ascii="Times New Roman" w:hAnsi="Times New Roman" w:eastAsia="Times New Roman" w:cs="Times New Roman"/>
                        <w:color w:val="231F20"/>
                        <w:spacing w:val="8"/>
                        <w:sz w:val="20"/>
                        <w:szCs w:val="20"/>
                      </w:rPr>
                      <w:t xml:space="preserve">) </w:t>
                    </w:r>
                    <w:r>
                      <w:rPr>
                        <w:rFonts w:ascii="微软雅黑" w:hAnsi="微软雅黑" w:eastAsia="微软雅黑" w:cs="微软雅黑"/>
                        <w:color w:val="231F20"/>
                        <w:spacing w:val="6"/>
                        <w:sz w:val="20"/>
                        <w:szCs w:val="20"/>
                      </w:rPr>
                      <w:t>，</w:t>
                    </w:r>
                    <w:r>
                      <w:rPr>
                        <w:rFonts w:ascii="微软雅黑" w:hAnsi="微软雅黑" w:eastAsia="微软雅黑" w:cs="微软雅黑"/>
                        <w:color w:val="231F20"/>
                        <w:spacing w:val="4"/>
                        <w:sz w:val="20"/>
                        <w:szCs w:val="20"/>
                      </w:rPr>
                      <w:t xml:space="preserve">德国联邦外贸与投资署、德国各州驻华联络处等 </w:t>
                    </w:r>
                    <w:r>
                      <w:rPr>
                        <w:rFonts w:ascii="Times New Roman" w:hAnsi="Times New Roman" w:eastAsia="Times New Roman" w:cs="Times New Roman"/>
                        <w:color w:val="231F20"/>
                        <w:spacing w:val="4"/>
                        <w:sz w:val="20"/>
                        <w:szCs w:val="20"/>
                      </w:rPr>
                      <w:t xml:space="preserve">300 </w:t>
                    </w:r>
                    <w:r>
                      <w:rPr>
                        <w:rFonts w:ascii="微软雅黑" w:hAnsi="微软雅黑" w:eastAsia="微软雅黑" w:cs="微软雅黑"/>
                        <w:color w:val="231F20"/>
                        <w:spacing w:val="4"/>
                        <w:sz w:val="20"/>
                        <w:szCs w:val="20"/>
                      </w:rPr>
                      <w:t>余家知名德企及协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会</w:t>
                    </w:r>
                    <w:r>
                      <w:rPr>
                        <w:rFonts w:ascii="微软雅黑" w:hAnsi="微软雅黑" w:eastAsia="微软雅黑" w:cs="微软雅黑"/>
                        <w:color w:val="231F20"/>
                        <w:spacing w:val="3"/>
                        <w:sz w:val="20"/>
                        <w:szCs w:val="20"/>
                      </w:rPr>
                      <w:t>机构代表以“线上</w:t>
                    </w:r>
                    <w:r>
                      <w:rPr>
                        <w:rFonts w:ascii="Times New Roman" w:hAnsi="Times New Roman" w:eastAsia="Times New Roman" w:cs="Times New Roman"/>
                        <w:color w:val="231F20"/>
                        <w:spacing w:val="3"/>
                        <w:sz w:val="20"/>
                        <w:szCs w:val="20"/>
                      </w:rPr>
                      <w:t xml:space="preserve">+ </w:t>
                    </w:r>
                    <w:r>
                      <w:rPr>
                        <w:rFonts w:ascii="微软雅黑" w:hAnsi="微软雅黑" w:eastAsia="微软雅黑" w:cs="微软雅黑"/>
                        <w:color w:val="231F20"/>
                        <w:spacing w:val="3"/>
                        <w:sz w:val="20"/>
                        <w:szCs w:val="20"/>
                      </w:rPr>
                      <w:t>线下”方式参会。论坛上 ，北京中德产业园管委会与国家发</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展改革委国际</w:t>
                    </w:r>
                    <w:r>
                      <w:rPr>
                        <w:rFonts w:ascii="微软雅黑" w:hAnsi="微软雅黑" w:eastAsia="微软雅黑" w:cs="微软雅黑"/>
                        <w:color w:val="231F20"/>
                        <w:spacing w:val="2"/>
                        <w:sz w:val="20"/>
                        <w:szCs w:val="20"/>
                      </w:rPr>
                      <w:t>合作中心、中国德国商会签署全面战略合作协议，</w:t>
                    </w:r>
                    <w:r>
                      <w:rPr>
                        <w:rFonts w:ascii="Times New Roman" w:hAnsi="Times New Roman" w:eastAsia="Times New Roman" w:cs="Times New Roman"/>
                        <w:color w:val="231F20"/>
                        <w:spacing w:val="2"/>
                        <w:sz w:val="20"/>
                        <w:szCs w:val="20"/>
                      </w:rPr>
                      <w:t xml:space="preserve">22 </w:t>
                    </w:r>
                    <w:r>
                      <w:rPr>
                        <w:rFonts w:ascii="微软雅黑" w:hAnsi="微软雅黑" w:eastAsia="微软雅黑" w:cs="微软雅黑"/>
                        <w:color w:val="231F20"/>
                        <w:spacing w:val="2"/>
                        <w:sz w:val="20"/>
                        <w:szCs w:val="20"/>
                      </w:rPr>
                      <w:t>个外资重点项目</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成</w:t>
                    </w:r>
                    <w:r>
                      <w:rPr>
                        <w:rFonts w:ascii="微软雅黑" w:hAnsi="微软雅黑" w:eastAsia="微软雅黑" w:cs="微软雅黑"/>
                        <w:color w:val="231F20"/>
                        <w:sz w:val="20"/>
                        <w:szCs w:val="20"/>
                      </w:rPr>
                      <w:t>功签约。</w:t>
                    </w:r>
                  </w:p>
                  <w:p>
                    <w:pPr>
                      <w:spacing w:before="194" w:line="280" w:lineRule="auto"/>
                      <w:ind w:left="158" w:right="20" w:firstLine="412"/>
                      <w:rPr>
                        <w:rFonts w:ascii="微软雅黑" w:hAnsi="微软雅黑" w:eastAsia="微软雅黑" w:cs="微软雅黑"/>
                        <w:sz w:val="20"/>
                        <w:szCs w:val="20"/>
                      </w:rPr>
                    </w:pPr>
                    <w:r>
                      <w:rPr>
                        <w:rFonts w:ascii="SimHei" w:hAnsi="SimHei" w:eastAsia="SimHei" w:cs="SimHei"/>
                        <w:color w:val="231F20"/>
                        <w:spacing w:val="1"/>
                        <w:sz w:val="20"/>
                        <w:szCs w:val="20"/>
                      </w:rPr>
                      <w:t>北京中日国</w:t>
                    </w:r>
                    <w:r>
                      <w:rPr>
                        <w:rFonts w:ascii="SimHei" w:hAnsi="SimHei" w:eastAsia="SimHei" w:cs="SimHei"/>
                        <w:color w:val="231F20"/>
                        <w:sz w:val="20"/>
                        <w:szCs w:val="20"/>
                      </w:rPr>
                      <w:t>际合作产业园。</w:t>
                    </w:r>
                    <w:r>
                      <w:rPr>
                        <w:rFonts w:ascii="Times New Roman" w:hAnsi="Times New Roman" w:eastAsia="Times New Roman" w:cs="Times New Roman"/>
                        <w:color w:val="231F20"/>
                        <w:sz w:val="20"/>
                        <w:szCs w:val="20"/>
                      </w:rPr>
                      <w:t xml:space="preserve">2021 </w:t>
                    </w:r>
                    <w:r>
                      <w:rPr>
                        <w:rFonts w:ascii="微软雅黑" w:hAnsi="微软雅黑" w:eastAsia="微软雅黑" w:cs="微软雅黑"/>
                        <w:color w:val="231F20"/>
                        <w:sz w:val="20"/>
                        <w:szCs w:val="20"/>
                      </w:rPr>
                      <w:t xml:space="preserve">年 </w:t>
                    </w:r>
                    <w:r>
                      <w:rPr>
                        <w:rFonts w:ascii="Times New Roman" w:hAnsi="Times New Roman" w:eastAsia="Times New Roman" w:cs="Times New Roman"/>
                        <w:color w:val="231F20"/>
                        <w:sz w:val="20"/>
                        <w:szCs w:val="20"/>
                      </w:rPr>
                      <w:t xml:space="preserve">8 </w:t>
                    </w:r>
                    <w:r>
                      <w:rPr>
                        <w:rFonts w:ascii="微软雅黑" w:hAnsi="微软雅黑" w:eastAsia="微软雅黑" w:cs="微软雅黑"/>
                        <w:color w:val="231F20"/>
                        <w:sz w:val="20"/>
                        <w:szCs w:val="20"/>
                      </w:rPr>
                      <w:t xml:space="preserve">月 ，北京中日国际合作产业园暨大兴国际 </w:t>
                    </w:r>
                    <w:r>
                      <w:rPr>
                        <w:rFonts w:ascii="微软雅黑" w:hAnsi="微软雅黑" w:eastAsia="微软雅黑" w:cs="微软雅黑"/>
                        <w:color w:val="231F20"/>
                        <w:spacing w:val="-2"/>
                        <w:sz w:val="20"/>
                        <w:szCs w:val="20"/>
                      </w:rPr>
                      <w:t>氢能示范</w:t>
                    </w:r>
                    <w:r>
                      <w:rPr>
                        <w:rFonts w:ascii="微软雅黑" w:hAnsi="微软雅黑" w:eastAsia="微软雅黑" w:cs="微软雅黑"/>
                        <w:color w:val="231F20"/>
                        <w:spacing w:val="-1"/>
                        <w:sz w:val="20"/>
                        <w:szCs w:val="20"/>
                      </w:rPr>
                      <w:t>区发布会在大兴区举行，  由国家发展改革委与北京市共同倡议 ，在大兴区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打造北京中</w:t>
                    </w:r>
                    <w:r>
                      <w:rPr>
                        <w:rFonts w:ascii="微软雅黑" w:hAnsi="微软雅黑" w:eastAsia="微软雅黑" w:cs="微软雅黑"/>
                        <w:color w:val="231F20"/>
                        <w:spacing w:val="5"/>
                        <w:sz w:val="20"/>
                        <w:szCs w:val="20"/>
                      </w:rPr>
                      <w:t>日</w:t>
                    </w:r>
                    <w:r>
                      <w:rPr>
                        <w:rFonts w:ascii="微软雅黑" w:hAnsi="微软雅黑" w:eastAsia="微软雅黑" w:cs="微软雅黑"/>
                        <w:color w:val="231F20"/>
                        <w:spacing w:val="4"/>
                        <w:sz w:val="20"/>
                        <w:szCs w:val="20"/>
                      </w:rPr>
                      <w:t xml:space="preserve">国际合作产业园。大兴国际氢能示范区一期拟建设日加氢 </w:t>
                    </w:r>
                    <w:r>
                      <w:rPr>
                        <w:rFonts w:ascii="Times New Roman" w:hAnsi="Times New Roman" w:eastAsia="Times New Roman" w:cs="Times New Roman"/>
                        <w:color w:val="231F20"/>
                        <w:spacing w:val="4"/>
                        <w:sz w:val="20"/>
                        <w:szCs w:val="20"/>
                      </w:rPr>
                      <w:t xml:space="preserve">3.6 </w:t>
                    </w:r>
                    <w:r>
                      <w:rPr>
                        <w:rFonts w:ascii="微软雅黑" w:hAnsi="微软雅黑" w:eastAsia="微软雅黑" w:cs="微软雅黑"/>
                        <w:color w:val="231F20"/>
                        <w:spacing w:val="4"/>
                        <w:sz w:val="20"/>
                        <w:szCs w:val="20"/>
                      </w:rPr>
                      <w:t>吨全球</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日加氢量最大的示范站，  同时依托现有厂</w:t>
                    </w:r>
                    <w:r>
                      <w:rPr>
                        <w:rFonts w:ascii="微软雅黑" w:hAnsi="微软雅黑" w:eastAsia="微软雅黑" w:cs="微软雅黑"/>
                        <w:color w:val="231F20"/>
                        <w:sz w:val="20"/>
                        <w:szCs w:val="20"/>
                      </w:rPr>
                      <w:t xml:space="preserve">房改造成集氢能社会、氢能成果、企业产 </w:t>
                    </w:r>
                    <w:r>
                      <w:rPr>
                        <w:rFonts w:ascii="微软雅黑" w:hAnsi="微软雅黑" w:eastAsia="微软雅黑" w:cs="微软雅黑"/>
                        <w:color w:val="231F20"/>
                        <w:spacing w:val="4"/>
                        <w:sz w:val="20"/>
                        <w:szCs w:val="20"/>
                      </w:rPr>
                      <w:t>品以</w:t>
                    </w:r>
                    <w:r>
                      <w:rPr>
                        <w:rFonts w:ascii="微软雅黑" w:hAnsi="微软雅黑" w:eastAsia="微软雅黑" w:cs="微软雅黑"/>
                        <w:color w:val="231F20"/>
                        <w:spacing w:val="3"/>
                        <w:sz w:val="20"/>
                        <w:szCs w:val="20"/>
                      </w:rPr>
                      <w:t>及</w:t>
                    </w:r>
                    <w:r>
                      <w:rPr>
                        <w:rFonts w:ascii="微软雅黑" w:hAnsi="微软雅黑" w:eastAsia="微软雅黑" w:cs="微软雅黑"/>
                        <w:color w:val="231F20"/>
                        <w:spacing w:val="2"/>
                        <w:sz w:val="20"/>
                        <w:szCs w:val="20"/>
                      </w:rPr>
                      <w:t>氢能发展史、临展区、多功能厅等设施于一体的氢能科技体验展厅 ，并建成</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集研</w:t>
                    </w:r>
                    <w:r>
                      <w:rPr>
                        <w:rFonts w:ascii="微软雅黑" w:hAnsi="微软雅黑" w:eastAsia="微软雅黑" w:cs="微软雅黑"/>
                        <w:color w:val="231F20"/>
                        <w:spacing w:val="2"/>
                        <w:sz w:val="20"/>
                        <w:szCs w:val="20"/>
                      </w:rPr>
                      <w:t>发、测试、生产、生活等功能于一体的“氢之泉”主题科技园区 ，联合清华工</w:t>
                    </w:r>
                  </w:p>
                  <w:p>
                    <w:pPr>
                      <w:spacing w:line="197" w:lineRule="auto"/>
                      <w:ind w:left="160"/>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研院、中国氢能工程中心 ( 重点实验</w:t>
                    </w:r>
                    <w:r>
                      <w:rPr>
                        <w:rFonts w:ascii="微软雅黑" w:hAnsi="微软雅黑" w:eastAsia="微软雅黑" w:cs="微软雅黑"/>
                        <w:color w:val="231F20"/>
                        <w:spacing w:val="1"/>
                        <w:sz w:val="20"/>
                        <w:szCs w:val="20"/>
                      </w:rPr>
                      <w:t>室 ) 等，建设氢能产业创新中心。</w:t>
                    </w:r>
                  </w:p>
                </w:txbxContent>
              </v:textbox>
            </v:shape>
            <w10:wrap type="none"/>
            <w10:anchorlock/>
          </v:group>
        </w:pict>
      </w: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8" w:line="221" w:lineRule="auto"/>
        <w:ind w:left="2462"/>
        <w:rPr>
          <w:rFonts w:ascii="SimHei" w:hAnsi="SimHei" w:eastAsia="SimHei" w:cs="SimHei"/>
          <w:sz w:val="24"/>
          <w:szCs w:val="24"/>
        </w:rPr>
      </w:pPr>
      <w:r>
        <w:rPr>
          <w:rFonts w:ascii="SimHei" w:hAnsi="SimHei" w:eastAsia="SimHei" w:cs="SimHei"/>
          <w:color w:val="015DAC"/>
          <w:spacing w:val="5"/>
          <w:sz w:val="24"/>
          <w:szCs w:val="24"/>
        </w:rPr>
        <w:t>(五) 强化服务外资企业机制，提升外资企业服务效</w:t>
      </w:r>
      <w:r>
        <w:rPr>
          <w:rFonts w:ascii="SimHei" w:hAnsi="SimHei" w:eastAsia="SimHei" w:cs="SimHei"/>
          <w:color w:val="015DAC"/>
          <w:spacing w:val="2"/>
          <w:sz w:val="24"/>
          <w:szCs w:val="24"/>
        </w:rPr>
        <w:t>能</w:t>
      </w:r>
    </w:p>
    <w:p>
      <w:pPr>
        <w:spacing w:before="331" w:line="263" w:lineRule="auto"/>
        <w:ind w:left="1995" w:right="1979" w:firstLine="450"/>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北京注重强化外资企业服务</w:t>
      </w:r>
      <w:r>
        <w:rPr>
          <w:rFonts w:ascii="微软雅黑" w:hAnsi="微软雅黑" w:eastAsia="微软雅黑" w:cs="微软雅黑"/>
          <w:color w:val="231F20"/>
          <w:spacing w:val="1"/>
          <w:sz w:val="22"/>
          <w:szCs w:val="22"/>
        </w:rPr>
        <w:t xml:space="preserve"> ，设立了外资企业上市服务平台。该平台以北京企业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上市综合服</w:t>
      </w:r>
      <w:r>
        <w:rPr>
          <w:rFonts w:ascii="微软雅黑" w:hAnsi="微软雅黑" w:eastAsia="微软雅黑" w:cs="微软雅黑"/>
          <w:color w:val="231F20"/>
          <w:spacing w:val="3"/>
          <w:sz w:val="22"/>
          <w:szCs w:val="22"/>
        </w:rPr>
        <w:t>务平台建设为基础，依托北京企业上市服务平台和中关村资本市场服务平</w:t>
      </w:r>
      <w:r>
        <w:rPr>
          <w:rFonts w:ascii="微软雅黑" w:hAnsi="微软雅黑" w:eastAsia="微软雅黑" w:cs="微软雅黑"/>
          <w:color w:val="231F20"/>
          <w:sz w:val="22"/>
          <w:szCs w:val="22"/>
        </w:rPr>
        <w:t xml:space="preserve"> 台，  围绕企业价值评价、辅导培训、上市咨询、融资撮合、政策落地等方面的需求， </w:t>
      </w:r>
      <w:r>
        <w:rPr>
          <w:rFonts w:ascii="微软雅黑" w:hAnsi="微软雅黑" w:eastAsia="微软雅黑" w:cs="微软雅黑"/>
          <w:color w:val="231F20"/>
          <w:spacing w:val="1"/>
          <w:sz w:val="22"/>
          <w:szCs w:val="22"/>
        </w:rPr>
        <w:t xml:space="preserve">通过科创钻石指数、资本学院、智能 </w:t>
      </w:r>
      <w:r>
        <w:rPr>
          <w:rFonts w:ascii="Times New Roman" w:hAnsi="Times New Roman" w:eastAsia="Times New Roman" w:cs="Times New Roman"/>
          <w:color w:val="231F20"/>
          <w:sz w:val="22"/>
          <w:szCs w:val="22"/>
        </w:rPr>
        <w:t>IPO</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等产品服务 ，为外商投资</w:t>
      </w:r>
      <w:r>
        <w:rPr>
          <w:rFonts w:ascii="微软雅黑" w:hAnsi="微软雅黑" w:eastAsia="微软雅黑" w:cs="微软雅黑"/>
          <w:color w:val="231F20"/>
          <w:sz w:val="22"/>
          <w:szCs w:val="22"/>
        </w:rPr>
        <w:t>企业境内上市发展</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4259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39" name="IM 339"/>
            <wp:cNvGraphicFramePr/>
            <a:graphic xmlns:a="http://schemas.openxmlformats.org/drawingml/2006/main">
              <a:graphicData uri="http://schemas.openxmlformats.org/drawingml/2006/picture">
                <pic:pic xmlns:pic="http://schemas.openxmlformats.org/drawingml/2006/picture">
                  <pic:nvPicPr>
                    <pic:cNvPr id="339" name="IM 339"/>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bookmarkStart w:id="77" w:name="_bookmark63"/>
      <w:bookmarkEnd w:id="77"/>
      <w:bookmarkStart w:id="78" w:name="_bookmark64"/>
      <w:bookmarkEnd w:id="78"/>
      <w:bookmarkStart w:id="79" w:name="_bookmark62"/>
      <w:bookmarkEnd w:id="79"/>
      <w:r>
        <w:rPr>
          <w:rFonts w:ascii="Arial" w:hAnsi="Arial" w:eastAsia="Arial" w:cs="Arial"/>
          <w:color w:val="231F20"/>
          <w:spacing w:val="41"/>
          <w:sz w:val="20"/>
          <w:szCs w:val="20"/>
        </w:rPr>
        <w:t>6</w:t>
      </w:r>
      <w:r>
        <w:rPr>
          <w:rFonts w:ascii="Arial" w:hAnsi="Arial" w:eastAsia="Arial" w:cs="Arial"/>
          <w:color w:val="231F20"/>
          <w:spacing w:val="21"/>
          <w:sz w:val="20"/>
          <w:szCs w:val="20"/>
        </w:rPr>
        <w:t xml:space="preserve">8  </w:t>
      </w:r>
      <w:r>
        <w:rPr>
          <w:position w:val="-5"/>
          <w:sz w:val="20"/>
          <w:szCs w:val="20"/>
        </w:rPr>
        <w:drawing>
          <wp:inline distT="0" distB="0" distL="0" distR="0">
            <wp:extent cx="3175" cy="147320"/>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341" name="IM 341"/>
            <wp:cNvGraphicFramePr/>
            <a:graphic xmlns:a="http://schemas.openxmlformats.org/drawingml/2006/main">
              <a:graphicData uri="http://schemas.openxmlformats.org/drawingml/2006/picture">
                <pic:pic xmlns:pic="http://schemas.openxmlformats.org/drawingml/2006/picture">
                  <pic:nvPicPr>
                    <pic:cNvPr id="341" name="IM 341"/>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95" w:line="260" w:lineRule="auto"/>
        <w:ind w:left="1989" w:right="1981" w:firstLine="1"/>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提供优质服务。对重点发展领域的外资企业配备专属的服务</w:t>
      </w:r>
      <w:r>
        <w:rPr>
          <w:rFonts w:ascii="微软雅黑" w:hAnsi="微软雅黑" w:eastAsia="微软雅黑" w:cs="微软雅黑"/>
          <w:color w:val="231F20"/>
          <w:spacing w:val="1"/>
          <w:sz w:val="22"/>
          <w:szCs w:val="22"/>
        </w:rPr>
        <w:t>管家 ，如建立了外资金融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机构“服务管家”工作</w:t>
      </w:r>
      <w:r>
        <w:rPr>
          <w:rFonts w:ascii="微软雅黑" w:hAnsi="微软雅黑" w:eastAsia="微软雅黑" w:cs="微软雅黑"/>
          <w:color w:val="231F20"/>
          <w:spacing w:val="2"/>
          <w:sz w:val="22"/>
          <w:szCs w:val="22"/>
        </w:rPr>
        <w:t xml:space="preserve">机制 ，积极吸引优质金融资源落地。截至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年底 ，北京各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级各类企业服务管家提供服务 </w:t>
      </w:r>
      <w:r>
        <w:rPr>
          <w:rFonts w:ascii="Times New Roman" w:hAnsi="Times New Roman" w:eastAsia="Times New Roman" w:cs="Times New Roman"/>
          <w:color w:val="231F20"/>
          <w:spacing w:val="-1"/>
          <w:sz w:val="22"/>
          <w:szCs w:val="22"/>
        </w:rPr>
        <w:t xml:space="preserve">6624 </w:t>
      </w:r>
      <w:r>
        <w:rPr>
          <w:rFonts w:ascii="微软雅黑" w:hAnsi="微软雅黑" w:eastAsia="微软雅黑" w:cs="微软雅黑"/>
          <w:color w:val="231F20"/>
          <w:spacing w:val="-1"/>
          <w:sz w:val="22"/>
          <w:szCs w:val="22"/>
        </w:rPr>
        <w:t>项，办结率达到</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96.5%</w:t>
      </w:r>
      <w:r>
        <w:rPr>
          <w:rFonts w:ascii="微软雅黑" w:hAnsi="微软雅黑" w:eastAsia="微软雅黑" w:cs="微软雅黑"/>
          <w:color w:val="231F20"/>
          <w:sz w:val="22"/>
          <w:szCs w:val="22"/>
        </w:rPr>
        <w:t xml:space="preserve">。同时 ，北京市市区两级还 </w:t>
      </w:r>
      <w:r>
        <w:rPr>
          <w:rFonts w:ascii="微软雅黑" w:hAnsi="微软雅黑" w:eastAsia="微软雅黑" w:cs="微软雅黑"/>
          <w:color w:val="231F20"/>
          <w:spacing w:val="1"/>
          <w:sz w:val="22"/>
          <w:szCs w:val="22"/>
        </w:rPr>
        <w:t>为促进重点项目配备“专员</w:t>
      </w:r>
      <w:r>
        <w:rPr>
          <w:rFonts w:ascii="微软雅黑" w:hAnsi="微软雅黑" w:eastAsia="微软雅黑" w:cs="微软雅黑"/>
          <w:color w:val="231F20"/>
          <w:sz w:val="22"/>
          <w:szCs w:val="22"/>
        </w:rPr>
        <w:t>” ，专门为来京投资企业和项目提供落地服务。</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年市 </w:t>
      </w:r>
      <w:r>
        <w:rPr>
          <w:rFonts w:ascii="微软雅黑" w:hAnsi="微软雅黑" w:eastAsia="微软雅黑" w:cs="微软雅黑"/>
          <w:color w:val="231F20"/>
          <w:spacing w:val="1"/>
          <w:sz w:val="22"/>
          <w:szCs w:val="22"/>
        </w:rPr>
        <w:t xml:space="preserve">级为 </w:t>
      </w:r>
      <w:r>
        <w:rPr>
          <w:rFonts w:ascii="Times New Roman" w:hAnsi="Times New Roman" w:eastAsia="Times New Roman" w:cs="Times New Roman"/>
          <w:color w:val="231F20"/>
          <w:spacing w:val="1"/>
          <w:sz w:val="22"/>
          <w:szCs w:val="22"/>
        </w:rPr>
        <w:t xml:space="preserve">500 </w:t>
      </w:r>
      <w:r>
        <w:rPr>
          <w:rFonts w:ascii="微软雅黑" w:hAnsi="微软雅黑" w:eastAsia="微软雅黑" w:cs="微软雅黑"/>
          <w:color w:val="231F20"/>
          <w:sz w:val="22"/>
          <w:szCs w:val="22"/>
        </w:rPr>
        <w:t xml:space="preserve">多个重点项目配备了“专员”，促成了 </w:t>
      </w:r>
      <w:r>
        <w:rPr>
          <w:rFonts w:ascii="Times New Roman" w:hAnsi="Times New Roman" w:eastAsia="Times New Roman" w:cs="Times New Roman"/>
          <w:color w:val="231F20"/>
          <w:sz w:val="22"/>
          <w:szCs w:val="22"/>
        </w:rPr>
        <w:t xml:space="preserve">121 </w:t>
      </w:r>
      <w:r>
        <w:rPr>
          <w:rFonts w:ascii="微软雅黑" w:hAnsi="微软雅黑" w:eastAsia="微软雅黑" w:cs="微软雅黑"/>
          <w:color w:val="231F20"/>
          <w:sz w:val="22"/>
          <w:szCs w:val="22"/>
        </w:rPr>
        <w:t>个项目落地。</w:t>
      </w:r>
    </w:p>
    <w:p>
      <w:pPr>
        <w:spacing w:line="268" w:lineRule="auto"/>
        <w:rPr>
          <w:rFonts w:ascii="Arial"/>
          <w:sz w:val="21"/>
        </w:rPr>
      </w:pPr>
    </w:p>
    <w:p>
      <w:pPr>
        <w:spacing w:before="91" w:line="242" w:lineRule="auto"/>
        <w:ind w:left="2566"/>
        <w:rPr>
          <w:rFonts w:ascii="SimHei" w:hAnsi="SimHei" w:eastAsia="SimHei" w:cs="SimHei"/>
          <w:sz w:val="28"/>
          <w:szCs w:val="28"/>
        </w:rPr>
      </w:pPr>
      <w:r>
        <w:rPr>
          <w:rFonts w:ascii="SimHei" w:hAnsi="SimHei" w:eastAsia="SimHei" w:cs="SimHei"/>
          <w:color w:val="015DAC"/>
          <w:spacing w:val="-2"/>
          <w:sz w:val="28"/>
          <w:szCs w:val="28"/>
        </w:rPr>
        <w:t>二、上海市</w:t>
      </w:r>
    </w:p>
    <w:p>
      <w:pPr>
        <w:spacing w:line="325" w:lineRule="auto"/>
        <w:rPr>
          <w:rFonts w:ascii="Arial"/>
          <w:sz w:val="21"/>
        </w:rPr>
      </w:pPr>
    </w:p>
    <w:p>
      <w:pPr>
        <w:spacing w:before="94" w:line="266" w:lineRule="auto"/>
        <w:ind w:left="1992" w:right="1981" w:firstLine="450"/>
        <w:rPr>
          <w:rFonts w:ascii="微软雅黑" w:hAnsi="微软雅黑" w:eastAsia="微软雅黑" w:cs="微软雅黑"/>
          <w:sz w:val="22"/>
          <w:szCs w:val="22"/>
        </w:rPr>
      </w:pPr>
      <w:r>
        <w:rPr>
          <w:rFonts w:ascii="Times New Roman" w:hAnsi="Times New Roman" w:eastAsia="Times New Roman" w:cs="Times New Roman"/>
          <w:color w:val="231F20"/>
          <w:spacing w:val="1"/>
          <w:sz w:val="22"/>
          <w:szCs w:val="22"/>
        </w:rPr>
        <w:t>20</w:t>
      </w:r>
      <w:r>
        <w:rPr>
          <w:rFonts w:ascii="Times New Roman" w:hAnsi="Times New Roman" w:eastAsia="Times New Roman" w:cs="Times New Roman"/>
          <w:color w:val="231F20"/>
          <w:sz w:val="22"/>
          <w:szCs w:val="22"/>
        </w:rPr>
        <w:t xml:space="preserve">21 </w:t>
      </w:r>
      <w:r>
        <w:rPr>
          <w:rFonts w:ascii="微软雅黑" w:hAnsi="微软雅黑" w:eastAsia="微软雅黑" w:cs="微软雅黑"/>
          <w:color w:val="231F20"/>
          <w:sz w:val="22"/>
          <w:szCs w:val="22"/>
        </w:rPr>
        <w:t xml:space="preserve">年 ，上海市通过完善外商投资促进政策、健全外商投资促进工作机制、创新 </w:t>
      </w:r>
      <w:r>
        <w:rPr>
          <w:rFonts w:ascii="微软雅黑" w:hAnsi="微软雅黑" w:eastAsia="微软雅黑" w:cs="微软雅黑"/>
          <w:color w:val="231F20"/>
          <w:spacing w:val="1"/>
          <w:sz w:val="22"/>
          <w:szCs w:val="22"/>
        </w:rPr>
        <w:t>引资</w:t>
      </w:r>
      <w:r>
        <w:rPr>
          <w:rFonts w:ascii="微软雅黑" w:hAnsi="微软雅黑" w:eastAsia="微软雅黑" w:cs="微软雅黑"/>
          <w:color w:val="231F20"/>
          <w:sz w:val="22"/>
          <w:szCs w:val="22"/>
        </w:rPr>
        <w:t xml:space="preserve">新模式 ，持续优化营商环境 ，着力打造新时期外资首选地和高质量外资集聚地， </w:t>
      </w:r>
      <w:r>
        <w:rPr>
          <w:rFonts w:ascii="微软雅黑" w:hAnsi="微软雅黑" w:eastAsia="微软雅黑" w:cs="微软雅黑"/>
          <w:color w:val="231F20"/>
          <w:spacing w:val="1"/>
          <w:sz w:val="22"/>
          <w:szCs w:val="22"/>
        </w:rPr>
        <w:t>推动</w:t>
      </w:r>
      <w:r>
        <w:rPr>
          <w:rFonts w:ascii="微软雅黑" w:hAnsi="微软雅黑" w:eastAsia="微软雅黑" w:cs="微软雅黑"/>
          <w:color w:val="231F20"/>
          <w:sz w:val="22"/>
          <w:szCs w:val="22"/>
        </w:rPr>
        <w:t>利用外资稳中有进。</w:t>
      </w:r>
    </w:p>
    <w:p>
      <w:pPr>
        <w:spacing w:before="179" w:line="221" w:lineRule="auto"/>
        <w:ind w:left="2462"/>
        <w:rPr>
          <w:rFonts w:ascii="SimHei" w:hAnsi="SimHei" w:eastAsia="SimHei" w:cs="SimHei"/>
          <w:sz w:val="24"/>
          <w:szCs w:val="24"/>
        </w:rPr>
      </w:pPr>
      <w:r>
        <w:rPr>
          <w:rFonts w:ascii="SimHei" w:hAnsi="SimHei" w:eastAsia="SimHei" w:cs="SimHei"/>
          <w:color w:val="015DAC"/>
          <w:spacing w:val="5"/>
          <w:sz w:val="24"/>
          <w:szCs w:val="24"/>
        </w:rPr>
        <w:t>(一) 强化外商投资服务功能，进一步提高投资舒适</w:t>
      </w:r>
      <w:r>
        <w:rPr>
          <w:rFonts w:ascii="SimHei" w:hAnsi="SimHei" w:eastAsia="SimHei" w:cs="SimHei"/>
          <w:color w:val="015DAC"/>
          <w:spacing w:val="2"/>
          <w:sz w:val="24"/>
          <w:szCs w:val="24"/>
        </w:rPr>
        <w:t>性</w:t>
      </w:r>
    </w:p>
    <w:p>
      <w:pPr>
        <w:spacing w:before="333" w:line="266" w:lineRule="auto"/>
        <w:ind w:left="1991" w:right="1985" w:firstLine="460"/>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上海聚焦企业</w:t>
      </w:r>
      <w:r>
        <w:rPr>
          <w:rFonts w:ascii="微软雅黑" w:hAnsi="微软雅黑" w:eastAsia="微软雅黑" w:cs="微软雅黑"/>
          <w:color w:val="231F20"/>
          <w:spacing w:val="1"/>
          <w:sz w:val="22"/>
          <w:szCs w:val="22"/>
        </w:rPr>
        <w:t>全生命周期中遇到的痛点难点问题，建立常态化沟通交流机制 ，加</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大协同解决推进力度 ，建立专项服务机制 ，持续开展“大走</w:t>
      </w:r>
      <w:r>
        <w:rPr>
          <w:rFonts w:ascii="微软雅黑" w:hAnsi="微软雅黑" w:eastAsia="微软雅黑" w:cs="微软雅黑"/>
          <w:color w:val="231F20"/>
          <w:spacing w:val="-1"/>
          <w:sz w:val="22"/>
          <w:szCs w:val="22"/>
        </w:rPr>
        <w:t>访大调研”活动 ，为外资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在沪发展营造舒</w:t>
      </w:r>
      <w:r>
        <w:rPr>
          <w:rFonts w:ascii="微软雅黑" w:hAnsi="微软雅黑" w:eastAsia="微软雅黑" w:cs="微软雅黑"/>
          <w:color w:val="231F20"/>
          <w:spacing w:val="-1"/>
          <w:sz w:val="22"/>
          <w:szCs w:val="22"/>
        </w:rPr>
        <w:t>适环境 ，为实现外资工作“十四五”良好开局打下基础。</w:t>
      </w:r>
    </w:p>
    <w:p>
      <w:pPr>
        <w:spacing w:before="174" w:line="258" w:lineRule="auto"/>
        <w:ind w:left="1995" w:right="1915" w:firstLine="451"/>
        <w:rPr>
          <w:rFonts w:ascii="微软雅黑" w:hAnsi="微软雅黑" w:eastAsia="微软雅黑" w:cs="微软雅黑"/>
          <w:sz w:val="22"/>
          <w:szCs w:val="22"/>
        </w:rPr>
      </w:pPr>
      <w:r>
        <w:rPr>
          <w:rFonts w:ascii="SimHei" w:hAnsi="SimHei" w:eastAsia="SimHei" w:cs="SimHei"/>
          <w:color w:val="231F20"/>
          <w:spacing w:val="4"/>
          <w:sz w:val="22"/>
          <w:szCs w:val="22"/>
        </w:rPr>
        <w:t>加强政企沟通交流。</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 xml:space="preserve">年， </w:t>
      </w:r>
      <w:r>
        <w:rPr>
          <w:rFonts w:ascii="微软雅黑" w:hAnsi="微软雅黑" w:eastAsia="微软雅黑" w:cs="微软雅黑"/>
          <w:color w:val="231F20"/>
          <w:spacing w:val="2"/>
          <w:sz w:val="22"/>
          <w:szCs w:val="22"/>
        </w:rPr>
        <w:t xml:space="preserve"> 市商务委召开了 </w:t>
      </w:r>
      <w:r>
        <w:rPr>
          <w:rFonts w:ascii="Times New Roman" w:hAnsi="Times New Roman" w:eastAsia="Times New Roman" w:cs="Times New Roman"/>
          <w:color w:val="231F20"/>
          <w:spacing w:val="2"/>
          <w:sz w:val="22"/>
          <w:szCs w:val="22"/>
        </w:rPr>
        <w:t xml:space="preserve">20 </w:t>
      </w:r>
      <w:r>
        <w:rPr>
          <w:rFonts w:ascii="微软雅黑" w:hAnsi="微软雅黑" w:eastAsia="微软雅黑" w:cs="微软雅黑"/>
          <w:color w:val="231F20"/>
          <w:spacing w:val="2"/>
          <w:sz w:val="22"/>
          <w:szCs w:val="22"/>
        </w:rPr>
        <w:t>场政企沟通圆桌会议，  共有</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1"/>
          <w:sz w:val="22"/>
          <w:szCs w:val="22"/>
        </w:rPr>
        <w:t xml:space="preserve">180 </w:t>
      </w:r>
      <w:r>
        <w:rPr>
          <w:rFonts w:ascii="微软雅黑" w:hAnsi="微软雅黑" w:eastAsia="微软雅黑" w:cs="微软雅黑"/>
          <w:color w:val="231F20"/>
          <w:spacing w:val="1"/>
          <w:sz w:val="22"/>
          <w:szCs w:val="22"/>
        </w:rPr>
        <w:t xml:space="preserve">家外资企业或商协会提出了 </w:t>
      </w:r>
      <w:r>
        <w:rPr>
          <w:rFonts w:ascii="Times New Roman" w:hAnsi="Times New Roman" w:eastAsia="Times New Roman" w:cs="Times New Roman"/>
          <w:color w:val="231F20"/>
          <w:spacing w:val="1"/>
          <w:sz w:val="22"/>
          <w:szCs w:val="22"/>
        </w:rPr>
        <w:t xml:space="preserve">175 </w:t>
      </w:r>
      <w:r>
        <w:rPr>
          <w:rFonts w:ascii="微软雅黑" w:hAnsi="微软雅黑" w:eastAsia="微软雅黑" w:cs="微软雅黑"/>
          <w:color w:val="231F20"/>
          <w:sz w:val="22"/>
          <w:szCs w:val="22"/>
        </w:rPr>
        <w:t xml:space="preserve">个困难问题和意见建议 ，解决率超过 </w:t>
      </w:r>
      <w:r>
        <w:rPr>
          <w:rFonts w:ascii="Times New Roman" w:hAnsi="Times New Roman" w:eastAsia="Times New Roman" w:cs="Times New Roman"/>
          <w:color w:val="231F20"/>
          <w:sz w:val="22"/>
          <w:szCs w:val="22"/>
        </w:rPr>
        <w:t xml:space="preserve">90% </w:t>
      </w:r>
      <w:r>
        <w:rPr>
          <w:rFonts w:ascii="微软雅黑" w:hAnsi="微软雅黑" w:eastAsia="微软雅黑" w:cs="微软雅黑"/>
          <w:color w:val="231F20"/>
          <w:sz w:val="22"/>
          <w:szCs w:val="22"/>
        </w:rPr>
        <w:t xml:space="preserve">。对重 </w:t>
      </w:r>
      <w:r>
        <w:rPr>
          <w:rFonts w:ascii="微软雅黑" w:hAnsi="微软雅黑" w:eastAsia="微软雅黑" w:cs="微软雅黑"/>
          <w:color w:val="231F20"/>
          <w:spacing w:val="4"/>
          <w:sz w:val="22"/>
          <w:szCs w:val="22"/>
        </w:rPr>
        <w:t>大外</w:t>
      </w:r>
      <w:r>
        <w:rPr>
          <w:rFonts w:ascii="微软雅黑" w:hAnsi="微软雅黑" w:eastAsia="微软雅黑" w:cs="微软雅黑"/>
          <w:color w:val="231F20"/>
          <w:spacing w:val="3"/>
          <w:sz w:val="22"/>
          <w:szCs w:val="22"/>
        </w:rPr>
        <w:t>资</w:t>
      </w:r>
      <w:r>
        <w:rPr>
          <w:rFonts w:ascii="微软雅黑" w:hAnsi="微软雅黑" w:eastAsia="微软雅黑" w:cs="微软雅黑"/>
          <w:color w:val="231F20"/>
          <w:spacing w:val="2"/>
          <w:sz w:val="22"/>
          <w:szCs w:val="22"/>
        </w:rPr>
        <w:t>项目 、跨国公司地区总部 、研发中心等重点企业全覆盖走访，  并切实推动解</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决了提高通关效率 、企业生产基地搬迁 、便利跨境资金流动 、加速生物医药企</w:t>
      </w:r>
      <w:r>
        <w:rPr>
          <w:rFonts w:ascii="微软雅黑" w:hAnsi="微软雅黑" w:eastAsia="微软雅黑" w:cs="微软雅黑"/>
          <w:color w:val="231F20"/>
          <w:spacing w:val="3"/>
          <w:sz w:val="22"/>
          <w:szCs w:val="22"/>
        </w:rPr>
        <w:t>业</w:t>
      </w:r>
      <w:r>
        <w:rPr>
          <w:rFonts w:ascii="微软雅黑" w:hAnsi="微软雅黑" w:eastAsia="微软雅黑" w:cs="微软雅黑"/>
          <w:color w:val="231F20"/>
          <w:sz w:val="22"/>
          <w:szCs w:val="22"/>
        </w:rPr>
        <w:t xml:space="preserve">产 </w:t>
      </w:r>
      <w:r>
        <w:rPr>
          <w:rFonts w:ascii="微软雅黑" w:hAnsi="微软雅黑" w:eastAsia="微软雅黑" w:cs="微软雅黑"/>
          <w:color w:val="231F20"/>
          <w:spacing w:val="18"/>
          <w:sz w:val="22"/>
          <w:szCs w:val="22"/>
        </w:rPr>
        <w:t>品落</w:t>
      </w:r>
      <w:r>
        <w:rPr>
          <w:rFonts w:ascii="微软雅黑" w:hAnsi="微软雅黑" w:eastAsia="微软雅黑" w:cs="微软雅黑"/>
          <w:color w:val="231F20"/>
          <w:spacing w:val="13"/>
          <w:sz w:val="22"/>
          <w:szCs w:val="22"/>
        </w:rPr>
        <w:t>地</w:t>
      </w:r>
      <w:r>
        <w:rPr>
          <w:rFonts w:ascii="微软雅黑" w:hAnsi="微软雅黑" w:eastAsia="微软雅黑" w:cs="微软雅黑"/>
          <w:color w:val="231F20"/>
          <w:spacing w:val="9"/>
          <w:sz w:val="22"/>
          <w:szCs w:val="22"/>
        </w:rPr>
        <w:t>等共性和个性化问题。圆桌会议切实帮助企业解决了生产经营过程中碰到的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部分实际困难和问题，充分展示了上海营造市场化、法治化、</w:t>
      </w:r>
      <w:r>
        <w:rPr>
          <w:rFonts w:ascii="微软雅黑" w:hAnsi="微软雅黑" w:eastAsia="微软雅黑" w:cs="微软雅黑"/>
          <w:color w:val="231F20"/>
          <w:sz w:val="22"/>
          <w:szCs w:val="22"/>
        </w:rPr>
        <w:t xml:space="preserve">国际化营商环境的决心， </w:t>
      </w:r>
      <w:r>
        <w:rPr>
          <w:rFonts w:ascii="微软雅黑" w:hAnsi="微软雅黑" w:eastAsia="微软雅黑" w:cs="微软雅黑"/>
          <w:color w:val="231F20"/>
          <w:spacing w:val="14"/>
          <w:sz w:val="22"/>
          <w:szCs w:val="22"/>
        </w:rPr>
        <w:t>已经</w:t>
      </w:r>
      <w:r>
        <w:rPr>
          <w:rFonts w:ascii="微软雅黑" w:hAnsi="微软雅黑" w:eastAsia="微软雅黑" w:cs="微软雅黑"/>
          <w:color w:val="231F20"/>
          <w:spacing w:val="11"/>
          <w:sz w:val="22"/>
          <w:szCs w:val="22"/>
        </w:rPr>
        <w:t>成</w:t>
      </w:r>
      <w:r>
        <w:rPr>
          <w:rFonts w:ascii="微软雅黑" w:hAnsi="微软雅黑" w:eastAsia="微软雅黑" w:cs="微软雅黑"/>
          <w:color w:val="231F20"/>
          <w:spacing w:val="7"/>
          <w:sz w:val="22"/>
          <w:szCs w:val="22"/>
        </w:rPr>
        <w:t>为外资企业反映问题并推动问题解决的重要平台 ，更成为“上海服务”的闪</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亮品</w:t>
      </w:r>
      <w:r>
        <w:rPr>
          <w:rFonts w:ascii="微软雅黑" w:hAnsi="微软雅黑" w:eastAsia="微软雅黑" w:cs="微软雅黑"/>
          <w:color w:val="231F20"/>
          <w:spacing w:val="-1"/>
          <w:sz w:val="22"/>
          <w:szCs w:val="22"/>
        </w:rPr>
        <w:t>牌。</w:t>
      </w:r>
    </w:p>
    <w:p>
      <w:pPr>
        <w:spacing w:before="179" w:line="260" w:lineRule="auto"/>
        <w:ind w:left="1988" w:right="1918" w:firstLine="455"/>
        <w:rPr>
          <w:rFonts w:ascii="微软雅黑" w:hAnsi="微软雅黑" w:eastAsia="微软雅黑" w:cs="微软雅黑"/>
          <w:sz w:val="22"/>
          <w:szCs w:val="22"/>
        </w:rPr>
      </w:pPr>
      <w:r>
        <w:rPr>
          <w:rFonts w:ascii="SimHei" w:hAnsi="SimHei" w:eastAsia="SimHei" w:cs="SimHei"/>
          <w:color w:val="231F20"/>
          <w:spacing w:val="-10"/>
          <w:sz w:val="22"/>
          <w:szCs w:val="22"/>
        </w:rPr>
        <w:t>建立重</w:t>
      </w:r>
      <w:r>
        <w:rPr>
          <w:rFonts w:ascii="SimHei" w:hAnsi="SimHei" w:eastAsia="SimHei" w:cs="SimHei"/>
          <w:color w:val="231F20"/>
          <w:spacing w:val="-8"/>
          <w:sz w:val="22"/>
          <w:szCs w:val="22"/>
        </w:rPr>
        <w:t>大</w:t>
      </w:r>
      <w:r>
        <w:rPr>
          <w:rFonts w:ascii="SimHei" w:hAnsi="SimHei" w:eastAsia="SimHei" w:cs="SimHei"/>
          <w:color w:val="231F20"/>
          <w:spacing w:val="-5"/>
          <w:sz w:val="22"/>
          <w:szCs w:val="22"/>
        </w:rPr>
        <w:t xml:space="preserve">项目服务专项机制。 </w:t>
      </w:r>
      <w:r>
        <w:rPr>
          <w:rFonts w:ascii="微软雅黑" w:hAnsi="微软雅黑" w:eastAsia="微软雅黑" w:cs="微软雅黑"/>
          <w:color w:val="231F20"/>
          <w:spacing w:val="-5"/>
          <w:sz w:val="22"/>
          <w:szCs w:val="22"/>
        </w:rPr>
        <w:t xml:space="preserve">对 </w:t>
      </w:r>
      <w:r>
        <w:rPr>
          <w:rFonts w:ascii="Times New Roman" w:hAnsi="Times New Roman" w:eastAsia="Times New Roman" w:cs="Times New Roman"/>
          <w:color w:val="231F20"/>
          <w:spacing w:val="-5"/>
          <w:sz w:val="22"/>
          <w:szCs w:val="22"/>
        </w:rPr>
        <w:t>30</w:t>
      </w:r>
      <w:r>
        <w:rPr>
          <w:rFonts w:ascii="微软雅黑" w:hAnsi="微软雅黑" w:eastAsia="微软雅黑" w:cs="微软雅黑"/>
          <w:color w:val="231F20"/>
          <w:spacing w:val="-5"/>
          <w:sz w:val="22"/>
          <w:szCs w:val="22"/>
        </w:rPr>
        <w:t>个投资金额大、示范引领性强的重点外资项目，</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在</w:t>
      </w:r>
      <w:r>
        <w:rPr>
          <w:rFonts w:ascii="微软雅黑" w:hAnsi="微软雅黑" w:eastAsia="微软雅黑" w:cs="微软雅黑"/>
          <w:color w:val="231F20"/>
          <w:sz w:val="22"/>
          <w:szCs w:val="22"/>
        </w:rPr>
        <w:t xml:space="preserve">招商、准入、规划、用地、环保、建设、外汇等环节提供“ 一站式服务” 。完善重 </w:t>
      </w:r>
      <w:r>
        <w:rPr>
          <w:rFonts w:ascii="微软雅黑" w:hAnsi="微软雅黑" w:eastAsia="微软雅黑" w:cs="微软雅黑"/>
          <w:color w:val="231F20"/>
          <w:spacing w:val="1"/>
          <w:sz w:val="22"/>
          <w:szCs w:val="22"/>
        </w:rPr>
        <w:t>点企</w:t>
      </w:r>
      <w:r>
        <w:rPr>
          <w:rFonts w:ascii="微软雅黑" w:hAnsi="微软雅黑" w:eastAsia="微软雅黑" w:cs="微软雅黑"/>
          <w:color w:val="231F20"/>
          <w:sz w:val="22"/>
          <w:szCs w:val="22"/>
        </w:rPr>
        <w:t xml:space="preserve">业联络员制度 ，形成“培育、增能、升级”三张清单 ，定期组织总部政策专题培 </w:t>
      </w:r>
      <w:r>
        <w:rPr>
          <w:rFonts w:ascii="微软雅黑" w:hAnsi="微软雅黑" w:eastAsia="微软雅黑" w:cs="微软雅黑"/>
          <w:color w:val="231F20"/>
          <w:spacing w:val="-1"/>
          <w:sz w:val="22"/>
          <w:szCs w:val="22"/>
        </w:rPr>
        <w:t xml:space="preserve">训活动。针对企业跨区迁移难 </w:t>
      </w:r>
      <w:r>
        <w:rPr>
          <w:rFonts w:ascii="微软雅黑" w:hAnsi="微软雅黑" w:eastAsia="微软雅黑" w:cs="微软雅黑"/>
          <w:color w:val="231F20"/>
          <w:sz w:val="22"/>
          <w:szCs w:val="22"/>
        </w:rPr>
        <w:t xml:space="preserve">，开设企业服务云“跨区迁移专窗” ，优化办事流程 ；  </w:t>
      </w:r>
      <w:r>
        <w:rPr>
          <w:rFonts w:ascii="微软雅黑" w:hAnsi="微软雅黑" w:eastAsia="微软雅黑" w:cs="微软雅黑"/>
          <w:color w:val="231F20"/>
          <w:spacing w:val="-8"/>
          <w:sz w:val="22"/>
          <w:szCs w:val="22"/>
        </w:rPr>
        <w:t>针对企业注销</w:t>
      </w:r>
      <w:r>
        <w:rPr>
          <w:rFonts w:ascii="微软雅黑" w:hAnsi="微软雅黑" w:eastAsia="微软雅黑" w:cs="微软雅黑"/>
          <w:color w:val="231F20"/>
          <w:spacing w:val="-6"/>
          <w:sz w:val="22"/>
          <w:szCs w:val="22"/>
        </w:rPr>
        <w:t>难</w:t>
      </w:r>
      <w:r>
        <w:rPr>
          <w:rFonts w:ascii="微软雅黑" w:hAnsi="微软雅黑" w:eastAsia="微软雅黑" w:cs="微软雅黑"/>
          <w:color w:val="231F20"/>
          <w:spacing w:val="-4"/>
          <w:sz w:val="22"/>
          <w:szCs w:val="22"/>
        </w:rPr>
        <w:t xml:space="preserve"> ，改进注销流程，  引导企业通过“ 一窗通”网上平台申请注销 ，实行</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分类处置、同步办理</w:t>
      </w:r>
      <w:r>
        <w:rPr>
          <w:rFonts w:ascii="微软雅黑" w:hAnsi="微软雅黑" w:eastAsia="微软雅黑" w:cs="微软雅黑"/>
          <w:color w:val="231F20"/>
          <w:sz w:val="22"/>
          <w:szCs w:val="22"/>
        </w:rPr>
        <w:t>、一次办结。</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4361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bookmarkStart w:id="80" w:name="_bookmark65"/>
      <w:bookmarkEnd w:id="80"/>
      <w:r>
        <w:rPr>
          <w:rFonts w:ascii="SimHei" w:hAnsi="SimHei" w:eastAsia="SimHei" w:cs="SimHei"/>
          <w:color w:val="1A67B3"/>
          <w:spacing w:val="35"/>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43" name="IM 343"/>
            <wp:cNvGraphicFramePr/>
            <a:graphic xmlns:a="http://schemas.openxmlformats.org/drawingml/2006/main">
              <a:graphicData uri="http://schemas.openxmlformats.org/drawingml/2006/picture">
                <pic:pic xmlns:pic="http://schemas.openxmlformats.org/drawingml/2006/picture">
                  <pic:nvPicPr>
                    <pic:cNvPr id="343" name="IM 343"/>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69</w:t>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95" w:line="259" w:lineRule="auto"/>
        <w:ind w:left="1990" w:right="1764" w:firstLine="453"/>
        <w:rPr>
          <w:rFonts w:ascii="微软雅黑" w:hAnsi="微软雅黑" w:eastAsia="微软雅黑" w:cs="微软雅黑"/>
          <w:sz w:val="22"/>
          <w:szCs w:val="22"/>
        </w:rPr>
      </w:pPr>
      <w:r>
        <w:rPr>
          <w:rFonts w:ascii="SimHei" w:hAnsi="SimHei" w:eastAsia="SimHei" w:cs="SimHei"/>
          <w:color w:val="231F20"/>
          <w:spacing w:val="-4"/>
          <w:sz w:val="22"/>
          <w:szCs w:val="22"/>
        </w:rPr>
        <w:t>提升涉外服务专窗功能。</w:t>
      </w:r>
      <w:r>
        <w:rPr>
          <w:rFonts w:ascii="微软雅黑" w:hAnsi="微软雅黑" w:eastAsia="微软雅黑" w:cs="微软雅黑"/>
          <w:color w:val="231F20"/>
          <w:spacing w:val="-4"/>
          <w:sz w:val="22"/>
          <w:szCs w:val="22"/>
        </w:rPr>
        <w:t>针对外资</w:t>
      </w:r>
      <w:r>
        <w:rPr>
          <w:rFonts w:ascii="微软雅黑" w:hAnsi="微软雅黑" w:eastAsia="微软雅黑" w:cs="微软雅黑"/>
          <w:color w:val="231F20"/>
          <w:spacing w:val="-2"/>
          <w:sz w:val="22"/>
          <w:szCs w:val="22"/>
        </w:rPr>
        <w:t>企业办事难，在市级层面组建“涉外服务一件事”</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8"/>
          <w:sz w:val="22"/>
          <w:szCs w:val="22"/>
        </w:rPr>
        <w:t>工作</w:t>
      </w:r>
      <w:r>
        <w:rPr>
          <w:rFonts w:ascii="微软雅黑" w:hAnsi="微软雅黑" w:eastAsia="微软雅黑" w:cs="微软雅黑"/>
          <w:color w:val="231F20"/>
          <w:spacing w:val="-9"/>
          <w:sz w:val="22"/>
          <w:szCs w:val="22"/>
        </w:rPr>
        <w:t>专班，制定印发《上海市“涉外服务一件事”工作“涉外服务专窗”建设实施方案》，</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明确各</w:t>
      </w:r>
      <w:r>
        <w:rPr>
          <w:rFonts w:ascii="微软雅黑" w:hAnsi="微软雅黑" w:eastAsia="微软雅黑" w:cs="微软雅黑"/>
          <w:color w:val="231F20"/>
          <w:sz w:val="22"/>
          <w:szCs w:val="22"/>
        </w:rPr>
        <w:t xml:space="preserve">部门职责分工，建立涉外服务工作机制，通过打通信息壁垒、流程再造等措施 ，  </w:t>
      </w:r>
      <w:r>
        <w:rPr>
          <w:rFonts w:ascii="微软雅黑" w:hAnsi="微软雅黑" w:eastAsia="微软雅黑" w:cs="微软雅黑"/>
          <w:color w:val="231F20"/>
          <w:spacing w:val="-2"/>
          <w:sz w:val="22"/>
          <w:szCs w:val="22"/>
        </w:rPr>
        <w:t>合力推进“涉外服务专窗”</w:t>
      </w:r>
      <w:r>
        <w:rPr>
          <w:rFonts w:ascii="微软雅黑" w:hAnsi="微软雅黑" w:eastAsia="微软雅黑" w:cs="微软雅黑"/>
          <w:color w:val="231F20"/>
          <w:spacing w:val="-1"/>
          <w:sz w:val="22"/>
          <w:szCs w:val="22"/>
        </w:rPr>
        <w:t>建设 ，持续优化“涉外服务专窗”功能。</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 ，上海新</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 xml:space="preserve">增 </w:t>
      </w:r>
      <w:r>
        <w:rPr>
          <w:rFonts w:ascii="Times New Roman" w:hAnsi="Times New Roman" w:eastAsia="Times New Roman" w:cs="Times New Roman"/>
          <w:color w:val="231F20"/>
          <w:spacing w:val="5"/>
          <w:sz w:val="22"/>
          <w:szCs w:val="22"/>
        </w:rPr>
        <w:t xml:space="preserve">7 </w:t>
      </w:r>
      <w:r>
        <w:rPr>
          <w:rFonts w:ascii="微软雅黑" w:hAnsi="微软雅黑" w:eastAsia="微软雅黑" w:cs="微软雅黑"/>
          <w:color w:val="231F20"/>
          <w:spacing w:val="5"/>
          <w:sz w:val="22"/>
          <w:szCs w:val="22"/>
        </w:rPr>
        <w:t>个部门</w:t>
      </w:r>
      <w:r>
        <w:rPr>
          <w:rFonts w:ascii="Times New Roman" w:hAnsi="Times New Roman" w:eastAsia="Times New Roman" w:cs="Times New Roman"/>
          <w:color w:val="231F20"/>
          <w:spacing w:val="5"/>
          <w:sz w:val="22"/>
          <w:szCs w:val="22"/>
        </w:rPr>
        <w:t xml:space="preserve">79 </w:t>
      </w:r>
      <w:r>
        <w:rPr>
          <w:rFonts w:ascii="微软雅黑" w:hAnsi="微软雅黑" w:eastAsia="微软雅黑" w:cs="微软雅黑"/>
          <w:color w:val="231F20"/>
          <w:spacing w:val="5"/>
          <w:sz w:val="22"/>
          <w:szCs w:val="22"/>
        </w:rPr>
        <w:t xml:space="preserve">项服务事项和政策指南 ，优化更新 </w:t>
      </w:r>
      <w:r>
        <w:rPr>
          <w:rFonts w:ascii="Times New Roman" w:hAnsi="Times New Roman" w:eastAsia="Times New Roman" w:cs="Times New Roman"/>
          <w:color w:val="231F20"/>
          <w:spacing w:val="5"/>
          <w:sz w:val="22"/>
          <w:szCs w:val="22"/>
        </w:rPr>
        <w:t xml:space="preserve">6 </w:t>
      </w:r>
      <w:r>
        <w:rPr>
          <w:rFonts w:ascii="微软雅黑" w:hAnsi="微软雅黑" w:eastAsia="微软雅黑" w:cs="微软雅黑"/>
          <w:color w:val="231F20"/>
          <w:spacing w:val="5"/>
          <w:sz w:val="22"/>
          <w:szCs w:val="22"/>
        </w:rPr>
        <w:t>个涉及科技奖励和人才计划申</w:t>
      </w:r>
      <w:r>
        <w:rPr>
          <w:rFonts w:ascii="微软雅黑" w:hAnsi="微软雅黑" w:eastAsia="微软雅黑" w:cs="微软雅黑"/>
          <w:color w:val="231F20"/>
          <w:spacing w:val="1"/>
          <w:sz w:val="22"/>
          <w:szCs w:val="22"/>
        </w:rPr>
        <w:t>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的服务事项 ，提供 </w:t>
      </w:r>
      <w:r>
        <w:rPr>
          <w:rFonts w:ascii="Times New Roman" w:hAnsi="Times New Roman" w:eastAsia="Times New Roman" w:cs="Times New Roman"/>
          <w:color w:val="231F20"/>
          <w:spacing w:val="-1"/>
          <w:sz w:val="22"/>
          <w:szCs w:val="22"/>
        </w:rPr>
        <w:t xml:space="preserve">30 </w:t>
      </w:r>
      <w:r>
        <w:rPr>
          <w:rFonts w:ascii="微软雅黑" w:hAnsi="微软雅黑" w:eastAsia="微软雅黑" w:cs="微软雅黑"/>
          <w:color w:val="231F20"/>
          <w:spacing w:val="-1"/>
          <w:sz w:val="22"/>
          <w:szCs w:val="22"/>
        </w:rPr>
        <w:t>个部门</w:t>
      </w:r>
      <w:r>
        <w:rPr>
          <w:rFonts w:ascii="Times New Roman" w:hAnsi="Times New Roman" w:eastAsia="Times New Roman" w:cs="Times New Roman"/>
          <w:color w:val="231F20"/>
          <w:sz w:val="22"/>
          <w:szCs w:val="22"/>
        </w:rPr>
        <w:t xml:space="preserve">64 </w:t>
      </w:r>
      <w:r>
        <w:rPr>
          <w:rFonts w:ascii="微软雅黑" w:hAnsi="微软雅黑" w:eastAsia="微软雅黑" w:cs="微软雅黑"/>
          <w:color w:val="231F20"/>
          <w:sz w:val="22"/>
          <w:szCs w:val="22"/>
        </w:rPr>
        <w:t xml:space="preserve">类涉外服务事项和人才计划申报的服务事项，  以及提   </w:t>
      </w:r>
      <w:r>
        <w:rPr>
          <w:rFonts w:ascii="微软雅黑" w:hAnsi="微软雅黑" w:eastAsia="微软雅黑" w:cs="微软雅黑"/>
          <w:color w:val="231F20"/>
          <w:spacing w:val="4"/>
          <w:sz w:val="22"/>
          <w:szCs w:val="22"/>
        </w:rPr>
        <w:t xml:space="preserve">供 </w:t>
      </w:r>
      <w:r>
        <w:rPr>
          <w:rFonts w:ascii="Times New Roman" w:hAnsi="Times New Roman" w:eastAsia="Times New Roman" w:cs="Times New Roman"/>
          <w:color w:val="231F20"/>
          <w:spacing w:val="4"/>
          <w:sz w:val="22"/>
          <w:szCs w:val="22"/>
        </w:rPr>
        <w:t xml:space="preserve">236 </w:t>
      </w:r>
      <w:r>
        <w:rPr>
          <w:rFonts w:ascii="微软雅黑" w:hAnsi="微软雅黑" w:eastAsia="微软雅黑" w:cs="微软雅黑"/>
          <w:color w:val="231F20"/>
          <w:spacing w:val="3"/>
          <w:sz w:val="22"/>
          <w:szCs w:val="22"/>
        </w:rPr>
        <w:t>项</w:t>
      </w:r>
      <w:r>
        <w:rPr>
          <w:rFonts w:ascii="微软雅黑" w:hAnsi="微软雅黑" w:eastAsia="微软雅黑" w:cs="微软雅黑"/>
          <w:color w:val="231F20"/>
          <w:spacing w:val="2"/>
          <w:sz w:val="22"/>
          <w:szCs w:val="22"/>
        </w:rPr>
        <w:t xml:space="preserve">办理内容和政策指引 ，服务注册境外人士用户 </w:t>
      </w:r>
      <w:r>
        <w:rPr>
          <w:rFonts w:ascii="Times New Roman" w:hAnsi="Times New Roman" w:eastAsia="Times New Roman" w:cs="Times New Roman"/>
          <w:color w:val="231F20"/>
          <w:spacing w:val="2"/>
          <w:sz w:val="22"/>
          <w:szCs w:val="22"/>
        </w:rPr>
        <w:t xml:space="preserve">44.54 </w:t>
      </w:r>
      <w:r>
        <w:rPr>
          <w:rFonts w:ascii="微软雅黑" w:hAnsi="微软雅黑" w:eastAsia="微软雅黑" w:cs="微软雅黑"/>
          <w:color w:val="231F20"/>
          <w:spacing w:val="2"/>
          <w:sz w:val="22"/>
          <w:szCs w:val="22"/>
        </w:rPr>
        <w:t>万人、外资企业注册用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户 </w:t>
      </w:r>
      <w:r>
        <w:rPr>
          <w:rFonts w:ascii="Times New Roman" w:hAnsi="Times New Roman" w:eastAsia="Times New Roman" w:cs="Times New Roman"/>
          <w:color w:val="231F20"/>
          <w:spacing w:val="-1"/>
          <w:sz w:val="22"/>
          <w:szCs w:val="22"/>
        </w:rPr>
        <w:t xml:space="preserve">9.5 </w:t>
      </w:r>
      <w:r>
        <w:rPr>
          <w:rFonts w:ascii="微软雅黑" w:hAnsi="微软雅黑" w:eastAsia="微软雅黑" w:cs="微软雅黑"/>
          <w:color w:val="231F20"/>
          <w:spacing w:val="-1"/>
          <w:sz w:val="22"/>
          <w:szCs w:val="22"/>
        </w:rPr>
        <w:t>万个。</w:t>
      </w:r>
    </w:p>
    <w:p>
      <w:pPr>
        <w:spacing w:before="178" w:line="222" w:lineRule="auto"/>
        <w:ind w:left="2462"/>
        <w:rPr>
          <w:rFonts w:ascii="SimHei" w:hAnsi="SimHei" w:eastAsia="SimHei" w:cs="SimHei"/>
          <w:sz w:val="24"/>
          <w:szCs w:val="24"/>
        </w:rPr>
      </w:pPr>
      <w:r>
        <w:rPr>
          <w:rFonts w:ascii="SimHei" w:hAnsi="SimHei" w:eastAsia="SimHei" w:cs="SimHei"/>
          <w:color w:val="015DAC"/>
          <w:spacing w:val="5"/>
          <w:sz w:val="24"/>
          <w:szCs w:val="24"/>
        </w:rPr>
        <w:t>(二) 健全外商投资保护机制，进一步提升投资安全</w:t>
      </w:r>
      <w:r>
        <w:rPr>
          <w:rFonts w:ascii="SimHei" w:hAnsi="SimHei" w:eastAsia="SimHei" w:cs="SimHei"/>
          <w:color w:val="015DAC"/>
          <w:spacing w:val="2"/>
          <w:sz w:val="24"/>
          <w:szCs w:val="24"/>
        </w:rPr>
        <w:t>性</w:t>
      </w:r>
    </w:p>
    <w:p>
      <w:pPr>
        <w:spacing w:before="331" w:line="202" w:lineRule="auto"/>
        <w:ind w:left="2451"/>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上</w:t>
      </w:r>
      <w:r>
        <w:rPr>
          <w:rFonts w:ascii="微软雅黑" w:hAnsi="微软雅黑" w:eastAsia="微软雅黑" w:cs="微软雅黑"/>
          <w:color w:val="231F20"/>
          <w:spacing w:val="5"/>
          <w:sz w:val="22"/>
          <w:szCs w:val="22"/>
        </w:rPr>
        <w:t>海</w:t>
      </w:r>
      <w:r>
        <w:rPr>
          <w:rFonts w:ascii="微软雅黑" w:hAnsi="微软雅黑" w:eastAsia="微软雅黑" w:cs="微软雅黑"/>
          <w:color w:val="231F20"/>
          <w:spacing w:val="3"/>
          <w:sz w:val="22"/>
          <w:szCs w:val="22"/>
        </w:rPr>
        <w:t>将构建完善外资法规政策体系作为外资保护的基石，规范政策执行和监督考</w:t>
      </w:r>
    </w:p>
    <w:p>
      <w:pPr>
        <w:spacing w:before="83" w:line="272" w:lineRule="auto"/>
        <w:ind w:left="1995" w:right="1897" w:firstLine="1"/>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评，依法实施外资企</w:t>
      </w:r>
      <w:r>
        <w:rPr>
          <w:rFonts w:ascii="微软雅黑" w:hAnsi="微软雅黑" w:eastAsia="微软雅黑" w:cs="微软雅黑"/>
          <w:color w:val="231F20"/>
          <w:sz w:val="22"/>
          <w:szCs w:val="22"/>
        </w:rPr>
        <w:t xml:space="preserve">业权益保护，将外资保护纳入地方立法、纳入优化营商环境工作、 </w:t>
      </w:r>
      <w:r>
        <w:rPr>
          <w:rFonts w:ascii="微软雅黑" w:hAnsi="微软雅黑" w:eastAsia="微软雅黑" w:cs="微软雅黑"/>
          <w:color w:val="231F20"/>
          <w:spacing w:val="-1"/>
          <w:sz w:val="22"/>
          <w:szCs w:val="22"/>
        </w:rPr>
        <w:t>纳入考评监</w:t>
      </w:r>
      <w:r>
        <w:rPr>
          <w:rFonts w:ascii="微软雅黑" w:hAnsi="微软雅黑" w:eastAsia="微软雅黑" w:cs="微软雅黑"/>
          <w:color w:val="231F20"/>
          <w:sz w:val="22"/>
          <w:szCs w:val="22"/>
        </w:rPr>
        <w:t>督。</w:t>
      </w:r>
    </w:p>
    <w:p>
      <w:pPr>
        <w:spacing w:before="171" w:line="263" w:lineRule="auto"/>
        <w:ind w:left="1995" w:right="1898" w:firstLine="465"/>
        <w:rPr>
          <w:rFonts w:ascii="微软雅黑" w:hAnsi="微软雅黑" w:eastAsia="微软雅黑" w:cs="微软雅黑"/>
          <w:sz w:val="22"/>
          <w:szCs w:val="22"/>
        </w:rPr>
      </w:pPr>
      <w:r>
        <w:rPr>
          <w:rFonts w:ascii="SimHei" w:hAnsi="SimHei" w:eastAsia="SimHei" w:cs="SimHei"/>
          <w:color w:val="231F20"/>
          <w:spacing w:val="-1"/>
          <w:sz w:val="22"/>
          <w:szCs w:val="22"/>
        </w:rPr>
        <w:t>出台外商投资保护法规。</w:t>
      </w:r>
      <w:r>
        <w:rPr>
          <w:rFonts w:ascii="微软雅黑" w:hAnsi="微软雅黑" w:eastAsia="微软雅黑" w:cs="微软雅黑"/>
          <w:color w:val="231F20"/>
          <w:spacing w:val="-1"/>
          <w:sz w:val="22"/>
          <w:szCs w:val="22"/>
        </w:rPr>
        <w:t>率先制定出台《上海市外商投资条例》  ，</w:t>
      </w:r>
      <w:r>
        <w:rPr>
          <w:rFonts w:ascii="微软雅黑" w:hAnsi="微软雅黑" w:eastAsia="微软雅黑" w:cs="微软雅黑"/>
          <w:color w:val="231F20"/>
          <w:sz w:val="22"/>
          <w:szCs w:val="22"/>
        </w:rPr>
        <w:t xml:space="preserve">专设“投资保 </w:t>
      </w:r>
      <w:r>
        <w:rPr>
          <w:rFonts w:ascii="微软雅黑" w:hAnsi="微软雅黑" w:eastAsia="微软雅黑" w:cs="微软雅黑"/>
          <w:color w:val="231F20"/>
          <w:spacing w:val="-2"/>
          <w:sz w:val="22"/>
          <w:szCs w:val="22"/>
        </w:rPr>
        <w:t>护”章节。在保护内容上 ，聚焦征收征用、资金进出、知识产权保护、商业秘密保</w:t>
      </w:r>
      <w:r>
        <w:rPr>
          <w:rFonts w:ascii="微软雅黑" w:hAnsi="微软雅黑" w:eastAsia="微软雅黑" w:cs="微软雅黑"/>
          <w:color w:val="231F20"/>
          <w:sz w:val="22"/>
          <w:szCs w:val="22"/>
        </w:rPr>
        <w:t xml:space="preserve">护、 </w:t>
      </w:r>
      <w:r>
        <w:rPr>
          <w:rFonts w:ascii="微软雅黑" w:hAnsi="微软雅黑" w:eastAsia="微软雅黑" w:cs="微软雅黑"/>
          <w:color w:val="231F20"/>
          <w:spacing w:val="-6"/>
          <w:sz w:val="22"/>
          <w:szCs w:val="22"/>
        </w:rPr>
        <w:t>技术合作、政府采购、地方标准制定、城市特许经营等外国投资者最为关心关切的问题</w:t>
      </w:r>
      <w:r>
        <w:rPr>
          <w:rFonts w:ascii="微软雅黑" w:hAnsi="微软雅黑" w:eastAsia="微软雅黑" w:cs="微软雅黑"/>
          <w:color w:val="231F20"/>
          <w:spacing w:val="-1"/>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明确了具体</w:t>
      </w:r>
      <w:r>
        <w:rPr>
          <w:rFonts w:ascii="微软雅黑" w:hAnsi="微软雅黑" w:eastAsia="微软雅黑" w:cs="微软雅黑"/>
          <w:color w:val="231F20"/>
          <w:sz w:val="22"/>
          <w:szCs w:val="22"/>
        </w:rPr>
        <w:t>规定。</w:t>
      </w:r>
    </w:p>
    <w:p>
      <w:pPr>
        <w:spacing w:before="174" w:line="261" w:lineRule="auto"/>
        <w:ind w:left="1995" w:right="1981" w:firstLine="449"/>
        <w:rPr>
          <w:rFonts w:ascii="微软雅黑" w:hAnsi="微软雅黑" w:eastAsia="微软雅黑" w:cs="微软雅黑"/>
          <w:sz w:val="22"/>
          <w:szCs w:val="22"/>
        </w:rPr>
      </w:pPr>
      <w:r>
        <w:rPr>
          <w:rFonts w:ascii="SimHei" w:hAnsi="SimHei" w:eastAsia="SimHei" w:cs="SimHei"/>
          <w:color w:val="231F20"/>
          <w:spacing w:val="-2"/>
          <w:sz w:val="22"/>
          <w:szCs w:val="22"/>
        </w:rPr>
        <w:t>健全外商投诉工作机制。</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5 </w:t>
      </w:r>
      <w:r>
        <w:rPr>
          <w:rFonts w:ascii="微软雅黑" w:hAnsi="微软雅黑" w:eastAsia="微软雅黑" w:cs="微软雅黑"/>
          <w:color w:val="231F20"/>
          <w:spacing w:val="-2"/>
          <w:sz w:val="22"/>
          <w:szCs w:val="22"/>
        </w:rPr>
        <w:t>月，  印发了《上海市外商投资企业投诉工</w:t>
      </w:r>
      <w:r>
        <w:rPr>
          <w:rFonts w:ascii="微软雅黑" w:hAnsi="微软雅黑" w:eastAsia="微软雅黑" w:cs="微软雅黑"/>
          <w:color w:val="231F20"/>
          <w:sz w:val="22"/>
          <w:szCs w:val="22"/>
        </w:rPr>
        <w:t xml:space="preserve">作办 </w:t>
      </w:r>
      <w:r>
        <w:rPr>
          <w:rFonts w:ascii="微软雅黑" w:hAnsi="微软雅黑" w:eastAsia="微软雅黑" w:cs="微软雅黑"/>
          <w:color w:val="231F20"/>
          <w:spacing w:val="-6"/>
          <w:sz w:val="22"/>
          <w:szCs w:val="22"/>
        </w:rPr>
        <w:t xml:space="preserve">法》   </w:t>
      </w:r>
      <w:r>
        <w:rPr>
          <w:rFonts w:ascii="微软雅黑" w:hAnsi="微软雅黑" w:eastAsia="微软雅黑" w:cs="微软雅黑"/>
          <w:color w:val="231F20"/>
          <w:spacing w:val="-5"/>
          <w:sz w:val="22"/>
          <w:szCs w:val="22"/>
        </w:rPr>
        <w:t>(</w:t>
      </w:r>
      <w:r>
        <w:rPr>
          <w:rFonts w:ascii="微软雅黑" w:hAnsi="微软雅黑" w:eastAsia="微软雅黑" w:cs="微软雅黑"/>
          <w:color w:val="231F20"/>
          <w:spacing w:val="-3"/>
          <w:sz w:val="22"/>
          <w:szCs w:val="22"/>
        </w:rPr>
        <w:t xml:space="preserve"> 沪商规〔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w:t>
      </w:r>
      <w:r>
        <w:rPr>
          <w:rFonts w:ascii="Times New Roman" w:hAnsi="Times New Roman" w:eastAsia="Times New Roman" w:cs="Times New Roman"/>
          <w:color w:val="231F20"/>
          <w:spacing w:val="-3"/>
          <w:sz w:val="22"/>
          <w:szCs w:val="22"/>
        </w:rPr>
        <w:t xml:space="preserve">3 </w:t>
      </w:r>
      <w:r>
        <w:rPr>
          <w:rFonts w:ascii="微软雅黑" w:hAnsi="微软雅黑" w:eastAsia="微软雅黑" w:cs="微软雅黑"/>
          <w:color w:val="231F20"/>
          <w:spacing w:val="-3"/>
          <w:sz w:val="22"/>
          <w:szCs w:val="22"/>
        </w:rPr>
        <w:t>号 )  ，进一步明确外资企业投诉处理有关流程。同时 ，上海</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7"/>
          <w:sz w:val="22"/>
          <w:szCs w:val="22"/>
        </w:rPr>
        <w:t>市</w:t>
      </w:r>
      <w:r>
        <w:rPr>
          <w:rFonts w:ascii="微软雅黑" w:hAnsi="微软雅黑" w:eastAsia="微软雅黑" w:cs="微软雅黑"/>
          <w:color w:val="231F20"/>
          <w:spacing w:val="4"/>
          <w:sz w:val="22"/>
          <w:szCs w:val="22"/>
        </w:rPr>
        <w:t xml:space="preserve">商务委牵头 ，会同全市 </w:t>
      </w:r>
      <w:r>
        <w:rPr>
          <w:rFonts w:ascii="Times New Roman" w:hAnsi="Times New Roman" w:eastAsia="Times New Roman" w:cs="Times New Roman"/>
          <w:color w:val="231F20"/>
          <w:spacing w:val="4"/>
          <w:sz w:val="22"/>
          <w:szCs w:val="22"/>
        </w:rPr>
        <w:t xml:space="preserve">27 </w:t>
      </w:r>
      <w:r>
        <w:rPr>
          <w:rFonts w:ascii="微软雅黑" w:hAnsi="微软雅黑" w:eastAsia="微软雅黑" w:cs="微软雅黑"/>
          <w:color w:val="231F20"/>
          <w:spacing w:val="4"/>
          <w:sz w:val="22"/>
          <w:szCs w:val="22"/>
        </w:rPr>
        <w:t>个相关单位建立外资企业投诉工作市级联席会议机制，</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并在</w:t>
      </w:r>
      <w:r>
        <w:rPr>
          <w:rFonts w:ascii="微软雅黑" w:hAnsi="微软雅黑" w:eastAsia="微软雅黑" w:cs="微软雅黑"/>
          <w:color w:val="231F20"/>
          <w:spacing w:val="-2"/>
          <w:sz w:val="22"/>
          <w:szCs w:val="22"/>
        </w:rPr>
        <w:t>全市建立了“</w:t>
      </w:r>
      <w:r>
        <w:rPr>
          <w:rFonts w:ascii="Times New Roman" w:hAnsi="Times New Roman" w:eastAsia="Times New Roman" w:cs="Times New Roman"/>
          <w:color w:val="231F20"/>
          <w:spacing w:val="-2"/>
          <w:sz w:val="22"/>
          <w:szCs w:val="22"/>
        </w:rPr>
        <w:t xml:space="preserve">1 </w:t>
      </w:r>
      <w:r>
        <w:rPr>
          <w:rFonts w:ascii="微软雅黑" w:hAnsi="微软雅黑" w:eastAsia="微软雅黑" w:cs="微软雅黑"/>
          <w:color w:val="231F20"/>
          <w:spacing w:val="-2"/>
          <w:sz w:val="22"/>
          <w:szCs w:val="22"/>
        </w:rPr>
        <w:t xml:space="preserve">＋  </w:t>
      </w:r>
      <w:r>
        <w:rPr>
          <w:rFonts w:ascii="Times New Roman" w:hAnsi="Times New Roman" w:eastAsia="Times New Roman" w:cs="Times New Roman"/>
          <w:color w:val="231F20"/>
          <w:spacing w:val="-2"/>
          <w:sz w:val="22"/>
          <w:szCs w:val="22"/>
        </w:rPr>
        <w:t xml:space="preserve">16 </w:t>
      </w:r>
      <w:r>
        <w:rPr>
          <w:rFonts w:ascii="微软雅黑" w:hAnsi="微软雅黑" w:eastAsia="微软雅黑" w:cs="微软雅黑"/>
          <w:color w:val="231F20"/>
          <w:spacing w:val="-2"/>
          <w:sz w:val="22"/>
          <w:szCs w:val="22"/>
        </w:rPr>
        <w:t xml:space="preserve">＋ </w:t>
      </w:r>
      <w:r>
        <w:rPr>
          <w:rFonts w:ascii="Times New Roman" w:hAnsi="Times New Roman" w:eastAsia="Times New Roman" w:cs="Times New Roman"/>
          <w:color w:val="231F20"/>
          <w:spacing w:val="-2"/>
          <w:sz w:val="22"/>
          <w:szCs w:val="22"/>
        </w:rPr>
        <w:t>2</w:t>
      </w:r>
      <w:r>
        <w:rPr>
          <w:rFonts w:ascii="微软雅黑" w:hAnsi="微软雅黑" w:eastAsia="微软雅黑" w:cs="微软雅黑"/>
          <w:color w:val="231F20"/>
          <w:spacing w:val="-2"/>
          <w:sz w:val="22"/>
          <w:szCs w:val="22"/>
        </w:rPr>
        <w:t xml:space="preserve">”外资企业投诉中心 ，其中市级投诉中心 </w:t>
      </w:r>
      <w:r>
        <w:rPr>
          <w:rFonts w:ascii="Times New Roman" w:hAnsi="Times New Roman" w:eastAsia="Times New Roman" w:cs="Times New Roman"/>
          <w:color w:val="231F20"/>
          <w:spacing w:val="-2"/>
          <w:sz w:val="22"/>
          <w:szCs w:val="22"/>
        </w:rPr>
        <w:t xml:space="preserve">1 </w:t>
      </w:r>
      <w:r>
        <w:rPr>
          <w:rFonts w:ascii="微软雅黑" w:hAnsi="微软雅黑" w:eastAsia="微软雅黑" w:cs="微软雅黑"/>
          <w:color w:val="231F20"/>
          <w:spacing w:val="-2"/>
          <w:sz w:val="22"/>
          <w:szCs w:val="22"/>
        </w:rPr>
        <w:t>个 ，各区投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诉中心</w:t>
      </w:r>
      <w:r>
        <w:rPr>
          <w:rFonts w:ascii="微软雅黑" w:hAnsi="微软雅黑" w:eastAsia="微软雅黑" w:cs="微软雅黑"/>
          <w:color w:val="231F20"/>
          <w:spacing w:val="-2"/>
          <w:sz w:val="22"/>
          <w:szCs w:val="22"/>
        </w:rPr>
        <w:t xml:space="preserve"> </w:t>
      </w:r>
      <w:r>
        <w:rPr>
          <w:rFonts w:ascii="Times New Roman" w:hAnsi="Times New Roman" w:eastAsia="Times New Roman" w:cs="Times New Roman"/>
          <w:color w:val="231F20"/>
          <w:spacing w:val="-2"/>
          <w:sz w:val="22"/>
          <w:szCs w:val="22"/>
        </w:rPr>
        <w:t xml:space="preserve">16 </w:t>
      </w:r>
      <w:r>
        <w:rPr>
          <w:rFonts w:ascii="微软雅黑" w:hAnsi="微软雅黑" w:eastAsia="微软雅黑" w:cs="微软雅黑"/>
          <w:color w:val="231F20"/>
          <w:spacing w:val="-2"/>
          <w:sz w:val="22"/>
          <w:szCs w:val="22"/>
        </w:rPr>
        <w:t xml:space="preserve">个 ，临港新片区、虹桥商务区投诉中心各 </w:t>
      </w:r>
      <w:r>
        <w:rPr>
          <w:rFonts w:ascii="Times New Roman" w:hAnsi="Times New Roman" w:eastAsia="Times New Roman" w:cs="Times New Roman"/>
          <w:color w:val="231F20"/>
          <w:spacing w:val="-2"/>
          <w:sz w:val="22"/>
          <w:szCs w:val="22"/>
        </w:rPr>
        <w:t xml:space="preserve">1 </w:t>
      </w:r>
      <w:r>
        <w:rPr>
          <w:rFonts w:ascii="微软雅黑" w:hAnsi="微软雅黑" w:eastAsia="微软雅黑" w:cs="微软雅黑"/>
          <w:color w:val="231F20"/>
          <w:spacing w:val="-2"/>
          <w:sz w:val="22"/>
          <w:szCs w:val="22"/>
        </w:rPr>
        <w:t>个。</w:t>
      </w:r>
    </w:p>
    <w:p>
      <w:pPr>
        <w:spacing w:before="169" w:line="264" w:lineRule="auto"/>
        <w:ind w:left="1997" w:right="1978" w:firstLine="452"/>
        <w:rPr>
          <w:rFonts w:ascii="微软雅黑" w:hAnsi="微软雅黑" w:eastAsia="微软雅黑" w:cs="微软雅黑"/>
          <w:sz w:val="22"/>
          <w:szCs w:val="22"/>
        </w:rPr>
      </w:pPr>
      <w:r>
        <w:rPr>
          <w:rFonts w:ascii="SimHei" w:hAnsi="SimHei" w:eastAsia="SimHei" w:cs="SimHei"/>
          <w:color w:val="231F20"/>
          <w:spacing w:val="2"/>
          <w:sz w:val="22"/>
          <w:szCs w:val="22"/>
        </w:rPr>
        <w:t>加强外商投资保护宣传。</w:t>
      </w:r>
      <w:r>
        <w:rPr>
          <w:rFonts w:ascii="微软雅黑" w:hAnsi="微软雅黑" w:eastAsia="微软雅黑" w:cs="微软雅黑"/>
          <w:color w:val="231F20"/>
          <w:spacing w:val="2"/>
          <w:sz w:val="22"/>
          <w:szCs w:val="22"/>
        </w:rPr>
        <w:t>针对外</w:t>
      </w:r>
      <w:r>
        <w:rPr>
          <w:rFonts w:ascii="微软雅黑" w:hAnsi="微软雅黑" w:eastAsia="微软雅黑" w:cs="微软雅黑"/>
          <w:color w:val="231F20"/>
          <w:spacing w:val="1"/>
          <w:sz w:val="22"/>
          <w:szCs w:val="22"/>
        </w:rPr>
        <w:t>资企业维权难的困境 ，连续两年编写《上海外资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企业权益保护白皮书》  ，为企业提供权益保护相关政策和维权</w:t>
      </w:r>
      <w:r>
        <w:rPr>
          <w:rFonts w:ascii="微软雅黑" w:hAnsi="微软雅黑" w:eastAsia="微软雅黑" w:cs="微软雅黑"/>
          <w:color w:val="231F20"/>
          <w:spacing w:val="-1"/>
          <w:sz w:val="22"/>
          <w:szCs w:val="22"/>
        </w:rPr>
        <w:t>案例参考 ，提升企业维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护自身合法权益的能力。扩展“上海外商投资促进服务平台</w:t>
      </w:r>
      <w:r>
        <w:rPr>
          <w:rFonts w:ascii="微软雅黑" w:hAnsi="微软雅黑" w:eastAsia="微软雅黑" w:cs="微软雅黑"/>
          <w:color w:val="231F20"/>
          <w:spacing w:val="1"/>
          <w:sz w:val="22"/>
          <w:szCs w:val="22"/>
        </w:rPr>
        <w:t>”功能 ，实现投诉服务在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线办</w:t>
      </w:r>
      <w:r>
        <w:rPr>
          <w:rFonts w:ascii="微软雅黑" w:hAnsi="微软雅黑" w:eastAsia="微软雅黑" w:cs="微软雅黑"/>
          <w:color w:val="231F20"/>
          <w:spacing w:val="-1"/>
          <w:sz w:val="22"/>
          <w:szCs w:val="22"/>
        </w:rPr>
        <w:t>理。</w:t>
      </w:r>
    </w:p>
    <w:p>
      <w:pPr>
        <w:spacing w:before="176" w:line="221" w:lineRule="auto"/>
        <w:ind w:left="2462"/>
        <w:rPr>
          <w:rFonts w:ascii="SimHei" w:hAnsi="SimHei" w:eastAsia="SimHei" w:cs="SimHei"/>
          <w:sz w:val="24"/>
          <w:szCs w:val="24"/>
        </w:rPr>
      </w:pPr>
      <w:r>
        <w:rPr>
          <w:rFonts w:ascii="SimHei" w:hAnsi="SimHei" w:eastAsia="SimHei" w:cs="SimHei"/>
          <w:color w:val="015DAC"/>
          <w:spacing w:val="5"/>
          <w:sz w:val="24"/>
          <w:szCs w:val="24"/>
        </w:rPr>
        <w:t>(三) 创新引资新模式新方法，进一步提升发展集聚</w:t>
      </w:r>
      <w:r>
        <w:rPr>
          <w:rFonts w:ascii="SimHei" w:hAnsi="SimHei" w:eastAsia="SimHei" w:cs="SimHei"/>
          <w:color w:val="015DAC"/>
          <w:spacing w:val="2"/>
          <w:sz w:val="24"/>
          <w:szCs w:val="24"/>
        </w:rPr>
        <w:t>性</w:t>
      </w:r>
    </w:p>
    <w:p>
      <w:pPr>
        <w:spacing w:before="333" w:line="202" w:lineRule="auto"/>
        <w:ind w:left="2449"/>
        <w:rPr>
          <w:rFonts w:ascii="微软雅黑" w:hAnsi="微软雅黑" w:eastAsia="微软雅黑" w:cs="微软雅黑"/>
          <w:sz w:val="22"/>
          <w:szCs w:val="22"/>
        </w:rPr>
      </w:pPr>
      <w:r>
        <w:rPr>
          <w:rFonts w:ascii="SimHei" w:hAnsi="SimHei" w:eastAsia="SimHei" w:cs="SimHei"/>
          <w:color w:val="231F20"/>
          <w:spacing w:val="-2"/>
          <w:sz w:val="22"/>
          <w:szCs w:val="22"/>
        </w:rPr>
        <w:t>开启全球招商伙伴模式。</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，上海启动全球招商合作伙伴计划 ，遴选 </w:t>
      </w:r>
      <w:r>
        <w:rPr>
          <w:rFonts w:ascii="Times New Roman" w:hAnsi="Times New Roman" w:eastAsia="Times New Roman" w:cs="Times New Roman"/>
          <w:color w:val="231F20"/>
          <w:spacing w:val="-2"/>
          <w:sz w:val="22"/>
          <w:szCs w:val="22"/>
        </w:rPr>
        <w:t xml:space="preserve">4 </w:t>
      </w:r>
      <w:r>
        <w:rPr>
          <w:rFonts w:ascii="微软雅黑" w:hAnsi="微软雅黑" w:eastAsia="微软雅黑" w:cs="微软雅黑"/>
          <w:color w:val="231F20"/>
          <w:spacing w:val="-2"/>
          <w:sz w:val="22"/>
          <w:szCs w:val="22"/>
        </w:rPr>
        <w:t>位国</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4464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45" name="IM 345"/>
            <wp:cNvGraphicFramePr/>
            <a:graphic xmlns:a="http://schemas.openxmlformats.org/drawingml/2006/main">
              <a:graphicData uri="http://schemas.openxmlformats.org/drawingml/2006/picture">
                <pic:pic xmlns:pic="http://schemas.openxmlformats.org/drawingml/2006/picture">
                  <pic:nvPicPr>
                    <pic:cNvPr id="345" name="IM 345"/>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6"/>
        <w:rPr>
          <w:rFonts w:ascii="SimHei" w:hAnsi="SimHei" w:eastAsia="SimHei" w:cs="SimHei"/>
          <w:sz w:val="21"/>
          <w:szCs w:val="21"/>
        </w:rPr>
      </w:pPr>
      <w:bookmarkStart w:id="81" w:name="_bookmark66"/>
      <w:bookmarkEnd w:id="81"/>
      <w:r>
        <w:rPr>
          <w:rFonts w:ascii="Arial" w:hAnsi="Arial" w:eastAsia="Arial" w:cs="Arial"/>
          <w:color w:val="231F20"/>
          <w:spacing w:val="39"/>
          <w:sz w:val="20"/>
          <w:szCs w:val="20"/>
        </w:rPr>
        <w:t>7</w:t>
      </w:r>
      <w:r>
        <w:rPr>
          <w:rFonts w:ascii="Arial" w:hAnsi="Arial" w:eastAsia="Arial" w:cs="Arial"/>
          <w:color w:val="231F20"/>
          <w:spacing w:val="21"/>
          <w:sz w:val="20"/>
          <w:szCs w:val="20"/>
        </w:rPr>
        <w:t xml:space="preserve">0  </w:t>
      </w:r>
      <w:r>
        <w:rPr>
          <w:position w:val="-5"/>
          <w:sz w:val="20"/>
          <w:szCs w:val="20"/>
        </w:rPr>
        <w:drawing>
          <wp:inline distT="0" distB="0" distL="0" distR="0">
            <wp:extent cx="3175" cy="147320"/>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347" name="IM 347"/>
            <wp:cNvGraphicFramePr/>
            <a:graphic xmlns:a="http://schemas.openxmlformats.org/drawingml/2006/main">
              <a:graphicData uri="http://schemas.openxmlformats.org/drawingml/2006/picture">
                <pic:pic xmlns:pic="http://schemas.openxmlformats.org/drawingml/2006/picture">
                  <pic:nvPicPr>
                    <pic:cNvPr id="347" name="IM 347"/>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94" w:line="266" w:lineRule="auto"/>
        <w:ind w:left="1993" w:right="1984" w:firstLine="5"/>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际企业</w:t>
      </w:r>
      <w:r>
        <w:rPr>
          <w:rFonts w:ascii="微软雅黑" w:hAnsi="微软雅黑" w:eastAsia="微软雅黑" w:cs="微软雅黑"/>
          <w:color w:val="231F20"/>
          <w:spacing w:val="5"/>
          <w:sz w:val="22"/>
          <w:szCs w:val="22"/>
        </w:rPr>
        <w:t>家</w:t>
      </w:r>
      <w:r>
        <w:rPr>
          <w:rFonts w:ascii="微软雅黑" w:hAnsi="微软雅黑" w:eastAsia="微软雅黑" w:cs="微软雅黑"/>
          <w:color w:val="231F20"/>
          <w:spacing w:val="3"/>
          <w:sz w:val="22"/>
          <w:szCs w:val="22"/>
        </w:rPr>
        <w:t>和国际半导体产业协会、中国上市公司协会、中国欧洲经济技术合作协会等</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1"/>
          <w:sz w:val="22"/>
          <w:szCs w:val="22"/>
        </w:rPr>
        <w:t xml:space="preserve">6 </w:t>
      </w:r>
      <w:r>
        <w:rPr>
          <w:rFonts w:ascii="微软雅黑" w:hAnsi="微软雅黑" w:eastAsia="微软雅黑" w:cs="微软雅黑"/>
          <w:color w:val="231F20"/>
          <w:spacing w:val="-1"/>
          <w:sz w:val="22"/>
          <w:szCs w:val="22"/>
        </w:rPr>
        <w:t>家机构作为首批合作伙伴，积极发挥桥梁纽带作用，为上海加快汇聚全球功能机构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高端项目、优秀人才和创业</w:t>
      </w:r>
      <w:r>
        <w:rPr>
          <w:rFonts w:ascii="微软雅黑" w:hAnsi="微软雅黑" w:eastAsia="微软雅黑" w:cs="微软雅黑"/>
          <w:color w:val="231F20"/>
          <w:sz w:val="22"/>
          <w:szCs w:val="22"/>
        </w:rPr>
        <w:t>团队贡献智慧和力量。</w:t>
      </w:r>
    </w:p>
    <w:p>
      <w:pPr>
        <w:spacing w:before="175" w:line="259" w:lineRule="auto"/>
        <w:ind w:left="1991" w:right="1981" w:firstLine="452"/>
        <w:rPr>
          <w:rFonts w:ascii="微软雅黑" w:hAnsi="微软雅黑" w:eastAsia="微软雅黑" w:cs="微软雅黑"/>
          <w:sz w:val="22"/>
          <w:szCs w:val="22"/>
        </w:rPr>
      </w:pPr>
      <w:r>
        <w:rPr>
          <w:rFonts w:ascii="SimHei" w:hAnsi="SimHei" w:eastAsia="SimHei" w:cs="SimHei"/>
          <w:color w:val="231F20"/>
          <w:spacing w:val="18"/>
          <w:sz w:val="22"/>
          <w:szCs w:val="22"/>
        </w:rPr>
        <w:t>创新展</w:t>
      </w:r>
      <w:r>
        <w:rPr>
          <w:rFonts w:ascii="SimHei" w:hAnsi="SimHei" w:eastAsia="SimHei" w:cs="SimHei"/>
          <w:color w:val="231F20"/>
          <w:spacing w:val="9"/>
          <w:sz w:val="22"/>
          <w:szCs w:val="22"/>
        </w:rPr>
        <w:t>会平台引资模式。</w:t>
      </w:r>
      <w:r>
        <w:rPr>
          <w:rFonts w:ascii="Times New Roman" w:hAnsi="Times New Roman" w:eastAsia="Times New Roman" w:cs="Times New Roman"/>
          <w:color w:val="231F20"/>
          <w:spacing w:val="9"/>
          <w:sz w:val="22"/>
          <w:szCs w:val="22"/>
        </w:rPr>
        <w:t xml:space="preserve">2021 </w:t>
      </w:r>
      <w:r>
        <w:rPr>
          <w:rFonts w:ascii="微软雅黑" w:hAnsi="微软雅黑" w:eastAsia="微软雅黑" w:cs="微软雅黑"/>
          <w:color w:val="231F20"/>
          <w:spacing w:val="9"/>
          <w:sz w:val="22"/>
          <w:szCs w:val="22"/>
        </w:rPr>
        <w:t>年第四届中国国际进口博览会成功举办，  世界</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2"/>
          <w:sz w:val="22"/>
          <w:szCs w:val="22"/>
        </w:rPr>
        <w:t xml:space="preserve">500 </w:t>
      </w:r>
      <w:r>
        <w:rPr>
          <w:rFonts w:ascii="微软雅黑" w:hAnsi="微软雅黑" w:eastAsia="微软雅黑" w:cs="微软雅黑"/>
          <w:color w:val="231F20"/>
          <w:spacing w:val="2"/>
          <w:sz w:val="22"/>
          <w:szCs w:val="22"/>
        </w:rPr>
        <w:t>强和行业龙头企业参展踊跃，  回头率超</w:t>
      </w:r>
      <w:r>
        <w:rPr>
          <w:rFonts w:ascii="微软雅黑" w:hAnsi="微软雅黑" w:eastAsia="微软雅黑" w:cs="微软雅黑"/>
          <w:color w:val="231F20"/>
          <w:spacing w:val="1"/>
          <w:sz w:val="22"/>
          <w:szCs w:val="22"/>
        </w:rPr>
        <w:t xml:space="preserve">过 </w:t>
      </w:r>
      <w:r>
        <w:rPr>
          <w:rFonts w:ascii="Times New Roman" w:hAnsi="Times New Roman" w:eastAsia="Times New Roman" w:cs="Times New Roman"/>
          <w:color w:val="231F20"/>
          <w:spacing w:val="1"/>
          <w:sz w:val="22"/>
          <w:szCs w:val="22"/>
        </w:rPr>
        <w:t>80%</w:t>
      </w:r>
      <w:r>
        <w:rPr>
          <w:rFonts w:ascii="微软雅黑" w:hAnsi="微软雅黑" w:eastAsia="微软雅黑" w:cs="微软雅黑"/>
          <w:color w:val="231F20"/>
          <w:spacing w:val="1"/>
          <w:sz w:val="22"/>
          <w:szCs w:val="22"/>
        </w:rPr>
        <w:t>，</w:t>
      </w:r>
      <w:r>
        <w:rPr>
          <w:rFonts w:ascii="Times New Roman" w:hAnsi="Times New Roman" w:eastAsia="Times New Roman" w:cs="Times New Roman"/>
          <w:color w:val="231F20"/>
          <w:spacing w:val="1"/>
          <w:sz w:val="22"/>
          <w:szCs w:val="22"/>
        </w:rPr>
        <w:t xml:space="preserve">200 </w:t>
      </w:r>
      <w:r>
        <w:rPr>
          <w:rFonts w:ascii="微软雅黑" w:hAnsi="微软雅黑" w:eastAsia="微软雅黑" w:cs="微软雅黑"/>
          <w:color w:val="231F20"/>
          <w:spacing w:val="1"/>
          <w:sz w:val="22"/>
          <w:szCs w:val="22"/>
        </w:rPr>
        <w:t xml:space="preserve">余家参展商和 </w:t>
      </w:r>
      <w:r>
        <w:rPr>
          <w:rFonts w:ascii="Times New Roman" w:hAnsi="Times New Roman" w:eastAsia="Times New Roman" w:cs="Times New Roman"/>
          <w:color w:val="231F20"/>
          <w:spacing w:val="1"/>
          <w:sz w:val="22"/>
          <w:szCs w:val="22"/>
        </w:rPr>
        <w:t xml:space="preserve">500 </w:t>
      </w:r>
      <w:r>
        <w:rPr>
          <w:rFonts w:ascii="微软雅黑" w:hAnsi="微软雅黑" w:eastAsia="微软雅黑" w:cs="微软雅黑"/>
          <w:color w:val="231F20"/>
          <w:spacing w:val="1"/>
          <w:sz w:val="22"/>
          <w:szCs w:val="22"/>
        </w:rPr>
        <w:t>余家采购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商通过展前供需对接会提前对接 ，促进洽谈成交。同时，</w:t>
      </w:r>
      <w:r>
        <w:rPr>
          <w:rFonts w:ascii="Times New Roman" w:hAnsi="Times New Roman" w:eastAsia="Times New Roman" w:cs="Times New Roman"/>
          <w:color w:val="231F20"/>
          <w:spacing w:val="6"/>
          <w:sz w:val="22"/>
          <w:szCs w:val="22"/>
        </w:rPr>
        <w:t xml:space="preserve">2021 </w:t>
      </w:r>
      <w:r>
        <w:rPr>
          <w:rFonts w:ascii="微软雅黑" w:hAnsi="微软雅黑" w:eastAsia="微软雅黑" w:cs="微软雅黑"/>
          <w:color w:val="231F20"/>
          <w:spacing w:val="6"/>
          <w:sz w:val="22"/>
          <w:szCs w:val="22"/>
        </w:rPr>
        <w:t>年上海举办境内</w:t>
      </w:r>
      <w:r>
        <w:rPr>
          <w:rFonts w:ascii="微软雅黑" w:hAnsi="微软雅黑" w:eastAsia="微软雅黑" w:cs="微软雅黑"/>
          <w:color w:val="231F20"/>
          <w:spacing w:val="4"/>
          <w:sz w:val="22"/>
          <w:szCs w:val="22"/>
        </w:rPr>
        <w:t>外</w:t>
      </w:r>
      <w:r>
        <w:rPr>
          <w:rFonts w:ascii="微软雅黑" w:hAnsi="微软雅黑" w:eastAsia="微软雅黑" w:cs="微软雅黑"/>
          <w:color w:val="231F20"/>
          <w:sz w:val="22"/>
          <w:szCs w:val="22"/>
        </w:rPr>
        <w:t xml:space="preserve">各 </w:t>
      </w:r>
      <w:r>
        <w:rPr>
          <w:rFonts w:ascii="微软雅黑" w:hAnsi="微软雅黑" w:eastAsia="微软雅黑" w:cs="微软雅黑"/>
          <w:color w:val="231F20"/>
          <w:spacing w:val="6"/>
          <w:sz w:val="22"/>
          <w:szCs w:val="22"/>
        </w:rPr>
        <w:t>类投资促进活动，  既有对上海的整体投资环境和重点区域进行针对性推介和对</w:t>
      </w:r>
      <w:r>
        <w:rPr>
          <w:rFonts w:ascii="微软雅黑" w:hAnsi="微软雅黑" w:eastAsia="微软雅黑" w:cs="微软雅黑"/>
          <w:color w:val="231F20"/>
          <w:spacing w:val="4"/>
          <w:sz w:val="22"/>
          <w:szCs w:val="22"/>
        </w:rPr>
        <w:t>接</w:t>
      </w:r>
      <w:r>
        <w:rPr>
          <w:rFonts w:ascii="微软雅黑" w:hAnsi="微软雅黑" w:eastAsia="微软雅黑" w:cs="微软雅黑"/>
          <w:color w:val="231F20"/>
          <w:sz w:val="22"/>
          <w:szCs w:val="22"/>
        </w:rPr>
        <w:t xml:space="preserve">的 </w:t>
      </w:r>
      <w:r>
        <w:rPr>
          <w:rFonts w:ascii="微软雅黑" w:hAnsi="微软雅黑" w:eastAsia="微软雅黑" w:cs="微软雅黑"/>
          <w:color w:val="231F20"/>
          <w:spacing w:val="8"/>
          <w:sz w:val="22"/>
          <w:szCs w:val="22"/>
        </w:rPr>
        <w:t>“</w:t>
      </w:r>
      <w:r>
        <w:rPr>
          <w:rFonts w:ascii="Times New Roman" w:hAnsi="Times New Roman" w:eastAsia="Times New Roman" w:cs="Times New Roman"/>
          <w:color w:val="231F20"/>
          <w:spacing w:val="8"/>
          <w:sz w:val="22"/>
          <w:szCs w:val="22"/>
        </w:rPr>
        <w:t>2</w:t>
      </w:r>
      <w:r>
        <w:rPr>
          <w:rFonts w:ascii="Times New Roman" w:hAnsi="Times New Roman" w:eastAsia="Times New Roman" w:cs="Times New Roman"/>
          <w:color w:val="231F20"/>
          <w:spacing w:val="4"/>
          <w:sz w:val="22"/>
          <w:szCs w:val="22"/>
        </w:rPr>
        <w:t xml:space="preserve">021 </w:t>
      </w:r>
      <w:r>
        <w:rPr>
          <w:rFonts w:ascii="微软雅黑" w:hAnsi="微软雅黑" w:eastAsia="微软雅黑" w:cs="微软雅黑"/>
          <w:color w:val="231F20"/>
          <w:spacing w:val="4"/>
          <w:sz w:val="22"/>
          <w:szCs w:val="22"/>
        </w:rPr>
        <w:t>上海城市推介大会” ，也举办了“第</w:t>
      </w:r>
      <w:r>
        <w:rPr>
          <w:rFonts w:ascii="Times New Roman" w:hAnsi="Times New Roman" w:eastAsia="Times New Roman" w:cs="Times New Roman"/>
          <w:color w:val="231F20"/>
          <w:spacing w:val="4"/>
          <w:sz w:val="22"/>
          <w:szCs w:val="22"/>
        </w:rPr>
        <w:t xml:space="preserve">34 </w:t>
      </w:r>
      <w:r>
        <w:rPr>
          <w:rFonts w:ascii="微软雅黑" w:hAnsi="微软雅黑" w:eastAsia="微软雅黑" w:cs="微软雅黑"/>
          <w:color w:val="231F20"/>
          <w:spacing w:val="4"/>
          <w:sz w:val="22"/>
          <w:szCs w:val="22"/>
        </w:rPr>
        <w:t>批跨国公司地区总部和外资研发中心</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颁奖仪式”</w:t>
      </w:r>
      <w:r>
        <w:rPr>
          <w:rFonts w:ascii="微软雅黑" w:hAnsi="微软雅黑" w:eastAsia="微软雅黑" w:cs="微软雅黑"/>
          <w:color w:val="231F20"/>
          <w:spacing w:val="1"/>
          <w:sz w:val="22"/>
          <w:szCs w:val="22"/>
        </w:rPr>
        <w:t>。</w:t>
      </w:r>
    </w:p>
    <w:p>
      <w:pPr>
        <w:spacing w:line="265" w:lineRule="auto"/>
        <w:rPr>
          <w:rFonts w:ascii="Arial"/>
          <w:sz w:val="21"/>
        </w:rPr>
      </w:pPr>
    </w:p>
    <w:p>
      <w:pPr>
        <w:spacing w:before="91" w:line="235" w:lineRule="auto"/>
        <w:ind w:left="2567"/>
        <w:rPr>
          <w:rFonts w:ascii="SimHei" w:hAnsi="SimHei" w:eastAsia="SimHei" w:cs="SimHei"/>
          <w:sz w:val="28"/>
          <w:szCs w:val="28"/>
        </w:rPr>
      </w:pPr>
      <w:r>
        <w:rPr>
          <w:rFonts w:ascii="SimHei" w:hAnsi="SimHei" w:eastAsia="SimHei" w:cs="SimHei"/>
          <w:color w:val="015DAC"/>
          <w:spacing w:val="-3"/>
          <w:sz w:val="28"/>
          <w:szCs w:val="28"/>
        </w:rPr>
        <w:t>三</w:t>
      </w:r>
      <w:r>
        <w:rPr>
          <w:rFonts w:ascii="SimHei" w:hAnsi="SimHei" w:eastAsia="SimHei" w:cs="SimHei"/>
          <w:color w:val="015DAC"/>
          <w:spacing w:val="-2"/>
          <w:sz w:val="28"/>
          <w:szCs w:val="28"/>
        </w:rPr>
        <w:t>、江苏省</w:t>
      </w:r>
    </w:p>
    <w:p>
      <w:pPr>
        <w:spacing w:line="336" w:lineRule="auto"/>
        <w:rPr>
          <w:rFonts w:ascii="Arial"/>
          <w:sz w:val="21"/>
        </w:rPr>
      </w:pPr>
    </w:p>
    <w:p>
      <w:pPr>
        <w:spacing w:before="95" w:line="202" w:lineRule="auto"/>
        <w:ind w:left="2442"/>
        <w:rPr>
          <w:rFonts w:ascii="微软雅黑" w:hAnsi="微软雅黑" w:eastAsia="微软雅黑" w:cs="微软雅黑"/>
          <w:sz w:val="22"/>
          <w:szCs w:val="22"/>
        </w:rPr>
      </w:pPr>
      <w:r>
        <w:rPr>
          <w:rFonts w:ascii="Times New Roman" w:hAnsi="Times New Roman" w:eastAsia="Times New Roman" w:cs="Times New Roman"/>
          <w:color w:val="231F20"/>
          <w:spacing w:val="-6"/>
          <w:sz w:val="22"/>
          <w:szCs w:val="22"/>
        </w:rPr>
        <w:t>20</w:t>
      </w:r>
      <w:r>
        <w:rPr>
          <w:rFonts w:ascii="Times New Roman" w:hAnsi="Times New Roman" w:eastAsia="Times New Roman" w:cs="Times New Roman"/>
          <w:color w:val="231F20"/>
          <w:spacing w:val="-3"/>
          <w:sz w:val="22"/>
          <w:szCs w:val="22"/>
        </w:rPr>
        <w:t xml:space="preserve">21 </w:t>
      </w:r>
      <w:r>
        <w:rPr>
          <w:rFonts w:ascii="微软雅黑" w:hAnsi="微软雅黑" w:eastAsia="微软雅黑" w:cs="微软雅黑"/>
          <w:color w:val="231F20"/>
          <w:spacing w:val="-3"/>
          <w:sz w:val="22"/>
          <w:szCs w:val="22"/>
        </w:rPr>
        <w:t>年 ，江苏省坚持稳中求进工作总基调 ，扎实做好稳外资工作 ，通过出台支持</w:t>
      </w:r>
    </w:p>
    <w:p>
      <w:pPr>
        <w:spacing w:before="81" w:line="272" w:lineRule="auto"/>
        <w:ind w:left="2005" w:right="1984" w:hanging="11"/>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外资研发中心政策、举办外商投资促进活动、优化外商</w:t>
      </w:r>
      <w:r>
        <w:rPr>
          <w:rFonts w:ascii="微软雅黑" w:hAnsi="微软雅黑" w:eastAsia="微软雅黑" w:cs="微软雅黑"/>
          <w:color w:val="231F20"/>
          <w:spacing w:val="1"/>
          <w:sz w:val="22"/>
          <w:szCs w:val="22"/>
        </w:rPr>
        <w:t>投资环境等系列措施 ，实现利</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用外资</w:t>
      </w:r>
      <w:r>
        <w:rPr>
          <w:rFonts w:ascii="微软雅黑" w:hAnsi="微软雅黑" w:eastAsia="微软雅黑" w:cs="微软雅黑"/>
          <w:color w:val="231F20"/>
          <w:sz w:val="22"/>
          <w:szCs w:val="22"/>
        </w:rPr>
        <w:t>稳步增长，规模继续位居全国第一。</w:t>
      </w:r>
    </w:p>
    <w:p>
      <w:pPr>
        <w:spacing w:before="178" w:line="221" w:lineRule="auto"/>
        <w:ind w:left="2462"/>
        <w:rPr>
          <w:rFonts w:ascii="SimHei" w:hAnsi="SimHei" w:eastAsia="SimHei" w:cs="SimHei"/>
          <w:sz w:val="24"/>
          <w:szCs w:val="24"/>
        </w:rPr>
      </w:pPr>
      <w:r>
        <w:rPr>
          <w:rFonts w:ascii="SimHei" w:hAnsi="SimHei" w:eastAsia="SimHei" w:cs="SimHei"/>
          <w:color w:val="015DAC"/>
          <w:spacing w:val="5"/>
          <w:sz w:val="24"/>
          <w:szCs w:val="24"/>
        </w:rPr>
        <w:t>(一) 聚焦集聚跨国公司总部，系统优化引资政策设</w:t>
      </w:r>
      <w:r>
        <w:rPr>
          <w:rFonts w:ascii="SimHei" w:hAnsi="SimHei" w:eastAsia="SimHei" w:cs="SimHei"/>
          <w:color w:val="015DAC"/>
          <w:spacing w:val="2"/>
          <w:sz w:val="24"/>
          <w:szCs w:val="24"/>
        </w:rPr>
        <w:t>计</w:t>
      </w:r>
    </w:p>
    <w:p>
      <w:pPr>
        <w:rPr>
          <w:rFonts w:ascii="Arial"/>
          <w:sz w:val="21"/>
        </w:rPr>
      </w:pPr>
    </w:p>
    <w:p>
      <w:pPr>
        <w:spacing w:before="95" w:line="259" w:lineRule="auto"/>
        <w:ind w:left="1964" w:right="1904" w:firstLine="503"/>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“十四</w:t>
      </w:r>
      <w:r>
        <w:rPr>
          <w:rFonts w:ascii="微软雅黑" w:hAnsi="微软雅黑" w:eastAsia="微软雅黑" w:cs="微软雅黑"/>
          <w:color w:val="231F20"/>
          <w:spacing w:val="-1"/>
          <w:sz w:val="22"/>
          <w:szCs w:val="22"/>
        </w:rPr>
        <w:t>五”开局之年 ，江苏省在继续优化营商环境的同时 ，进一步将外资政策聚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焦在吸引跨国公司地区总部和功能性机构、外</w:t>
      </w:r>
      <w:r>
        <w:rPr>
          <w:rFonts w:ascii="微软雅黑" w:hAnsi="微软雅黑" w:eastAsia="微软雅黑" w:cs="微软雅黑"/>
          <w:color w:val="231F20"/>
          <w:sz w:val="22"/>
          <w:szCs w:val="22"/>
        </w:rPr>
        <w:t xml:space="preserve">资研发中心方面，  印发了《关于鼓励跨 </w:t>
      </w:r>
      <w:r>
        <w:rPr>
          <w:rFonts w:ascii="微软雅黑" w:hAnsi="微软雅黑" w:eastAsia="微软雅黑" w:cs="微软雅黑"/>
          <w:color w:val="231F20"/>
          <w:spacing w:val="-14"/>
          <w:sz w:val="22"/>
          <w:szCs w:val="22"/>
        </w:rPr>
        <w:t>国公</w:t>
      </w:r>
      <w:r>
        <w:rPr>
          <w:rFonts w:ascii="微软雅黑" w:hAnsi="微软雅黑" w:eastAsia="微软雅黑" w:cs="微软雅黑"/>
          <w:color w:val="231F20"/>
          <w:spacing w:val="-12"/>
          <w:sz w:val="22"/>
          <w:szCs w:val="22"/>
        </w:rPr>
        <w:t>司</w:t>
      </w:r>
      <w:r>
        <w:rPr>
          <w:rFonts w:ascii="微软雅黑" w:hAnsi="微软雅黑" w:eastAsia="微软雅黑" w:cs="微软雅黑"/>
          <w:color w:val="231F20"/>
          <w:spacing w:val="-7"/>
          <w:sz w:val="22"/>
          <w:szCs w:val="22"/>
        </w:rPr>
        <w:t xml:space="preserve">在我省设立地区总部和功能性机构的意见》( </w:t>
      </w:r>
      <w:r>
        <w:rPr>
          <w:rFonts w:ascii="Times New Roman" w:hAnsi="Times New Roman" w:eastAsia="Times New Roman" w:cs="Times New Roman"/>
          <w:color w:val="231F20"/>
          <w:spacing w:val="-7"/>
          <w:sz w:val="22"/>
          <w:szCs w:val="22"/>
        </w:rPr>
        <w:t>2021</w:t>
      </w:r>
      <w:r>
        <w:rPr>
          <w:rFonts w:ascii="微软雅黑" w:hAnsi="微软雅黑" w:eastAsia="微软雅黑" w:cs="微软雅黑"/>
          <w:color w:val="231F20"/>
          <w:spacing w:val="-7"/>
          <w:sz w:val="22"/>
          <w:szCs w:val="22"/>
        </w:rPr>
        <w:t xml:space="preserve">年版 )( 苏政办发〔 </w:t>
      </w:r>
      <w:r>
        <w:rPr>
          <w:rFonts w:ascii="Times New Roman" w:hAnsi="Times New Roman" w:eastAsia="Times New Roman" w:cs="Times New Roman"/>
          <w:color w:val="231F20"/>
          <w:spacing w:val="-7"/>
          <w:sz w:val="22"/>
          <w:szCs w:val="22"/>
        </w:rPr>
        <w:t xml:space="preserve">2021 </w:t>
      </w:r>
      <w:r>
        <w:rPr>
          <w:rFonts w:ascii="微软雅黑" w:hAnsi="微软雅黑" w:eastAsia="微软雅黑" w:cs="微软雅黑"/>
          <w:color w:val="231F20"/>
          <w:spacing w:val="-7"/>
          <w:sz w:val="22"/>
          <w:szCs w:val="22"/>
        </w:rPr>
        <w:t>〕</w:t>
      </w:r>
      <w:r>
        <w:rPr>
          <w:rFonts w:ascii="Times New Roman" w:hAnsi="Times New Roman" w:eastAsia="Times New Roman" w:cs="Times New Roman"/>
          <w:color w:val="231F20"/>
          <w:spacing w:val="-7"/>
          <w:sz w:val="22"/>
          <w:szCs w:val="22"/>
        </w:rPr>
        <w:t xml:space="preserve">4 </w:t>
      </w:r>
      <w:r>
        <w:rPr>
          <w:rFonts w:ascii="微软雅黑" w:hAnsi="微软雅黑" w:eastAsia="微软雅黑" w:cs="微软雅黑"/>
          <w:color w:val="231F20"/>
          <w:spacing w:val="-7"/>
          <w:sz w:val="22"/>
          <w:szCs w:val="22"/>
        </w:rPr>
        <w:t>号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《江苏省商务厅 江苏省财政厅 南京海关 国家税务总局江苏省税务局关于 </w:t>
      </w:r>
      <w:r>
        <w:rPr>
          <w:rFonts w:ascii="Times New Roman" w:hAnsi="Times New Roman" w:eastAsia="Times New Roman" w:cs="Times New Roman"/>
          <w:color w:val="231F20"/>
          <w:spacing w:val="6"/>
          <w:sz w:val="22"/>
          <w:szCs w:val="22"/>
        </w:rPr>
        <w:t>2021-202</w:t>
      </w:r>
      <w:r>
        <w:rPr>
          <w:rFonts w:ascii="Times New Roman" w:hAnsi="Times New Roman" w:eastAsia="Times New Roman" w:cs="Times New Roman"/>
          <w:color w:val="231F20"/>
          <w:spacing w:val="1"/>
          <w:sz w:val="22"/>
          <w:szCs w:val="22"/>
        </w:rPr>
        <w:t>5</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1"/>
          <w:sz w:val="22"/>
          <w:szCs w:val="22"/>
        </w:rPr>
        <w:t>年度外资研发中心进</w:t>
      </w:r>
      <w:r>
        <w:rPr>
          <w:rFonts w:ascii="微软雅黑" w:hAnsi="微软雅黑" w:eastAsia="微软雅黑" w:cs="微软雅黑"/>
          <w:color w:val="231F20"/>
          <w:sz w:val="22"/>
          <w:szCs w:val="22"/>
        </w:rPr>
        <w:t xml:space="preserve">口税收政策的通知》   ( 苏商资〔 </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w:t>
      </w:r>
      <w:r>
        <w:rPr>
          <w:rFonts w:ascii="Times New Roman" w:hAnsi="Times New Roman" w:eastAsia="Times New Roman" w:cs="Times New Roman"/>
          <w:color w:val="231F20"/>
          <w:sz w:val="22"/>
          <w:szCs w:val="22"/>
        </w:rPr>
        <w:t xml:space="preserve">318 </w:t>
      </w:r>
      <w:r>
        <w:rPr>
          <w:rFonts w:ascii="微软雅黑" w:hAnsi="微软雅黑" w:eastAsia="微软雅黑" w:cs="微软雅黑"/>
          <w:color w:val="231F20"/>
          <w:sz w:val="22"/>
          <w:szCs w:val="22"/>
        </w:rPr>
        <w:t xml:space="preserve">号 ) 、《江苏省外资 </w:t>
      </w:r>
      <w:r>
        <w:rPr>
          <w:rFonts w:ascii="微软雅黑" w:hAnsi="微软雅黑" w:eastAsia="微软雅黑" w:cs="微软雅黑"/>
          <w:color w:val="231F20"/>
          <w:spacing w:val="1"/>
          <w:sz w:val="22"/>
          <w:szCs w:val="22"/>
        </w:rPr>
        <w:t>总部经济集聚区认定管理办</w:t>
      </w:r>
      <w:r>
        <w:rPr>
          <w:rFonts w:ascii="微软雅黑" w:hAnsi="微软雅黑" w:eastAsia="微软雅黑" w:cs="微软雅黑"/>
          <w:color w:val="231F20"/>
          <w:sz w:val="22"/>
          <w:szCs w:val="22"/>
        </w:rPr>
        <w:t>法 ( 试行 )  》等一系列政策文件。</w:t>
      </w:r>
    </w:p>
    <w:p>
      <w:pPr>
        <w:spacing w:before="181" w:line="261" w:lineRule="auto"/>
        <w:ind w:left="1988" w:right="1986" w:firstLine="453"/>
        <w:rPr>
          <w:rFonts w:ascii="微软雅黑" w:hAnsi="微软雅黑" w:eastAsia="微软雅黑" w:cs="微软雅黑"/>
          <w:sz w:val="22"/>
          <w:szCs w:val="22"/>
        </w:rPr>
      </w:pPr>
      <w:r>
        <w:rPr>
          <w:rFonts w:ascii="SimHei" w:hAnsi="SimHei" w:eastAsia="SimHei" w:cs="SimHei"/>
          <w:color w:val="231F20"/>
          <w:spacing w:val="10"/>
          <w:sz w:val="22"/>
          <w:szCs w:val="22"/>
        </w:rPr>
        <w:t>优化跨国公</w:t>
      </w:r>
      <w:r>
        <w:rPr>
          <w:rFonts w:ascii="SimHei" w:hAnsi="SimHei" w:eastAsia="SimHei" w:cs="SimHei"/>
          <w:color w:val="231F20"/>
          <w:spacing w:val="6"/>
          <w:sz w:val="22"/>
          <w:szCs w:val="22"/>
        </w:rPr>
        <w:t>司</w:t>
      </w:r>
      <w:r>
        <w:rPr>
          <w:rFonts w:ascii="SimHei" w:hAnsi="SimHei" w:eastAsia="SimHei" w:cs="SimHei"/>
          <w:color w:val="231F20"/>
          <w:spacing w:val="5"/>
          <w:sz w:val="22"/>
          <w:szCs w:val="22"/>
        </w:rPr>
        <w:t>地区总部和功能性机构认定标准。</w:t>
      </w:r>
      <w:r>
        <w:rPr>
          <w:rFonts w:ascii="微软雅黑" w:hAnsi="微软雅黑" w:eastAsia="微软雅黑" w:cs="微软雅黑"/>
          <w:color w:val="231F20"/>
          <w:spacing w:val="5"/>
          <w:sz w:val="22"/>
          <w:szCs w:val="22"/>
        </w:rPr>
        <w:t xml:space="preserve">江苏省 </w:t>
      </w:r>
      <w:r>
        <w:rPr>
          <w:rFonts w:ascii="Times New Roman" w:hAnsi="Times New Roman" w:eastAsia="Times New Roman" w:cs="Times New Roman"/>
          <w:color w:val="231F20"/>
          <w:spacing w:val="5"/>
          <w:sz w:val="22"/>
          <w:szCs w:val="22"/>
        </w:rPr>
        <w:t xml:space="preserve">2021 </w:t>
      </w:r>
      <w:r>
        <w:rPr>
          <w:rFonts w:ascii="微软雅黑" w:hAnsi="微软雅黑" w:eastAsia="微软雅黑" w:cs="微软雅黑"/>
          <w:color w:val="231F20"/>
          <w:spacing w:val="5"/>
          <w:sz w:val="22"/>
          <w:szCs w:val="22"/>
        </w:rPr>
        <w:t>版跨国公司地区总</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部和功能性机构政策，  降低了功能性机构母公司资产</w:t>
      </w:r>
      <w:r>
        <w:rPr>
          <w:rFonts w:ascii="微软雅黑" w:hAnsi="微软雅黑" w:eastAsia="微软雅黑" w:cs="微软雅黑"/>
          <w:color w:val="231F20"/>
          <w:spacing w:val="-1"/>
          <w:sz w:val="22"/>
          <w:szCs w:val="22"/>
        </w:rPr>
        <w:t>总额要求 ，扩大功能性机构申报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主体范围 ，适当降低对地区总部和功能性机构管理或服务企</w:t>
      </w:r>
      <w:r>
        <w:rPr>
          <w:rFonts w:ascii="微软雅黑" w:hAnsi="微软雅黑" w:eastAsia="微软雅黑" w:cs="微软雅黑"/>
          <w:color w:val="231F20"/>
          <w:spacing w:val="1"/>
          <w:sz w:val="22"/>
          <w:szCs w:val="22"/>
        </w:rPr>
        <w:t>业的数量要求。苏州市将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外资总部机构</w:t>
      </w:r>
      <w:r>
        <w:rPr>
          <w:rFonts w:ascii="微软雅黑" w:hAnsi="微软雅黑" w:eastAsia="微软雅黑" w:cs="微软雅黑"/>
          <w:color w:val="231F20"/>
          <w:spacing w:val="4"/>
          <w:sz w:val="22"/>
          <w:szCs w:val="22"/>
        </w:rPr>
        <w:t>认</w:t>
      </w:r>
      <w:r>
        <w:rPr>
          <w:rFonts w:ascii="微软雅黑" w:hAnsi="微软雅黑" w:eastAsia="微软雅黑" w:cs="微软雅黑"/>
          <w:color w:val="231F20"/>
          <w:spacing w:val="3"/>
          <w:sz w:val="22"/>
          <w:szCs w:val="22"/>
        </w:rPr>
        <w:t>定范围扩大到市跨国公司地区总部、市跨国公司功能性机构、省外资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总部机构、“一事一</w:t>
      </w:r>
      <w:r>
        <w:rPr>
          <w:rFonts w:ascii="微软雅黑" w:hAnsi="微软雅黑" w:eastAsia="微软雅黑" w:cs="微软雅黑"/>
          <w:color w:val="231F20"/>
          <w:sz w:val="22"/>
          <w:szCs w:val="22"/>
        </w:rPr>
        <w:t xml:space="preserve">议”评议的外资总部机构等 </w:t>
      </w:r>
      <w:r>
        <w:rPr>
          <w:rFonts w:ascii="Times New Roman" w:hAnsi="Times New Roman" w:eastAsia="Times New Roman" w:cs="Times New Roman"/>
          <w:color w:val="231F20"/>
          <w:sz w:val="22"/>
          <w:szCs w:val="22"/>
        </w:rPr>
        <w:t xml:space="preserve">4 </w:t>
      </w:r>
      <w:r>
        <w:rPr>
          <w:rFonts w:ascii="微软雅黑" w:hAnsi="微软雅黑" w:eastAsia="微软雅黑" w:cs="微软雅黑"/>
          <w:color w:val="231F20"/>
          <w:sz w:val="22"/>
          <w:szCs w:val="22"/>
        </w:rPr>
        <w:t>种类型。</w:t>
      </w:r>
    </w:p>
    <w:p>
      <w:pPr>
        <w:spacing w:before="173" w:line="202" w:lineRule="auto"/>
        <w:ind w:left="2447"/>
        <w:rPr>
          <w:rFonts w:ascii="微软雅黑" w:hAnsi="微软雅黑" w:eastAsia="微软雅黑" w:cs="微软雅黑"/>
          <w:sz w:val="22"/>
          <w:szCs w:val="22"/>
        </w:rPr>
      </w:pPr>
      <w:r>
        <w:rPr>
          <w:rFonts w:ascii="SimHei" w:hAnsi="SimHei" w:eastAsia="SimHei" w:cs="SimHei"/>
          <w:color w:val="231F20"/>
          <w:spacing w:val="6"/>
          <w:sz w:val="22"/>
          <w:szCs w:val="22"/>
        </w:rPr>
        <w:t>系</w:t>
      </w:r>
      <w:r>
        <w:rPr>
          <w:rFonts w:ascii="SimHei" w:hAnsi="SimHei" w:eastAsia="SimHei" w:cs="SimHei"/>
          <w:color w:val="231F20"/>
          <w:spacing w:val="4"/>
          <w:sz w:val="22"/>
          <w:szCs w:val="22"/>
        </w:rPr>
        <w:t>统</w:t>
      </w:r>
      <w:r>
        <w:rPr>
          <w:rFonts w:ascii="SimHei" w:hAnsi="SimHei" w:eastAsia="SimHei" w:cs="SimHei"/>
          <w:color w:val="231F20"/>
          <w:spacing w:val="3"/>
          <w:sz w:val="22"/>
          <w:szCs w:val="22"/>
        </w:rPr>
        <w:t>优化跨国公司地区总部和功能性机构投资便利化措施。</w:t>
      </w:r>
      <w:r>
        <w:rPr>
          <w:rFonts w:ascii="微软雅黑" w:hAnsi="微软雅黑" w:eastAsia="微软雅黑" w:cs="微软雅黑"/>
          <w:color w:val="231F20"/>
          <w:spacing w:val="3"/>
          <w:sz w:val="22"/>
          <w:szCs w:val="22"/>
        </w:rPr>
        <w:t>江苏省将在出入境、</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4566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bookmarkStart w:id="82" w:name="_bookmark67"/>
      <w:bookmarkEnd w:id="82"/>
      <w:r>
        <w:rPr>
          <w:rFonts w:ascii="SimHei" w:hAnsi="SimHei" w:eastAsia="SimHei" w:cs="SimHei"/>
          <w:color w:val="1A67B3"/>
          <w:spacing w:val="36"/>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49" name="IM 349"/>
            <wp:cNvGraphicFramePr/>
            <a:graphic xmlns:a="http://schemas.openxmlformats.org/drawingml/2006/main">
              <a:graphicData uri="http://schemas.openxmlformats.org/drawingml/2006/picture">
                <pic:pic xmlns:pic="http://schemas.openxmlformats.org/drawingml/2006/picture">
                  <pic:nvPicPr>
                    <pic:cNvPr id="349" name="IM 349"/>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71</w: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94" w:line="259" w:lineRule="auto"/>
        <w:ind w:left="1984" w:right="1984" w:firstLine="16"/>
        <w:rPr>
          <w:rFonts w:ascii="微软雅黑" w:hAnsi="微软雅黑" w:eastAsia="微软雅黑" w:cs="微软雅黑"/>
          <w:sz w:val="22"/>
          <w:szCs w:val="22"/>
        </w:rPr>
      </w:pPr>
      <w:r>
        <w:rPr>
          <w:rFonts w:ascii="微软雅黑" w:hAnsi="微软雅黑" w:eastAsia="微软雅黑" w:cs="微软雅黑"/>
          <w:color w:val="231F20"/>
          <w:spacing w:val="7"/>
          <w:sz w:val="22"/>
          <w:szCs w:val="22"/>
        </w:rPr>
        <w:t>工</w:t>
      </w:r>
      <w:r>
        <w:rPr>
          <w:rFonts w:ascii="微软雅黑" w:hAnsi="微软雅黑" w:eastAsia="微软雅黑" w:cs="微软雅黑"/>
          <w:color w:val="231F20"/>
          <w:spacing w:val="5"/>
          <w:sz w:val="22"/>
          <w:szCs w:val="22"/>
        </w:rPr>
        <w:t xml:space="preserve">作许可及居留、贸易便利化、跨境结算及投融资便利化等方面推出 </w:t>
      </w:r>
      <w:r>
        <w:rPr>
          <w:rFonts w:ascii="Times New Roman" w:hAnsi="Times New Roman" w:eastAsia="Times New Roman" w:cs="Times New Roman"/>
          <w:color w:val="231F20"/>
          <w:spacing w:val="5"/>
          <w:sz w:val="22"/>
          <w:szCs w:val="22"/>
        </w:rPr>
        <w:t xml:space="preserve">6 </w:t>
      </w:r>
      <w:r>
        <w:rPr>
          <w:rFonts w:ascii="微软雅黑" w:hAnsi="微软雅黑" w:eastAsia="微软雅黑" w:cs="微软雅黑"/>
          <w:color w:val="231F20"/>
          <w:spacing w:val="5"/>
          <w:sz w:val="22"/>
          <w:szCs w:val="22"/>
        </w:rPr>
        <w:t xml:space="preserve">个领域 </w:t>
      </w:r>
      <w:r>
        <w:rPr>
          <w:rFonts w:ascii="Times New Roman" w:hAnsi="Times New Roman" w:eastAsia="Times New Roman" w:cs="Times New Roman"/>
          <w:color w:val="231F20"/>
          <w:spacing w:val="5"/>
          <w:sz w:val="22"/>
          <w:szCs w:val="22"/>
        </w:rPr>
        <w:t xml:space="preserve">26 </w:t>
      </w:r>
      <w:r>
        <w:rPr>
          <w:rFonts w:ascii="微软雅黑" w:hAnsi="微软雅黑" w:eastAsia="微软雅黑" w:cs="微软雅黑"/>
          <w:color w:val="231F20"/>
          <w:spacing w:val="5"/>
          <w:sz w:val="22"/>
          <w:szCs w:val="22"/>
        </w:rPr>
        <w:t>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便利化措施。如在贸易便利化方面 ，支持跨国公司地区总部</w:t>
      </w:r>
      <w:r>
        <w:rPr>
          <w:rFonts w:ascii="微软雅黑" w:hAnsi="微软雅黑" w:eastAsia="微软雅黑" w:cs="微软雅黑"/>
          <w:color w:val="231F20"/>
          <w:spacing w:val="1"/>
          <w:sz w:val="22"/>
          <w:szCs w:val="22"/>
        </w:rPr>
        <w:t>、功能性机构开展关税保</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证保险试点 ，对总部企业和研发中心的试验用进出口材料实施风险评估、分类</w:t>
      </w:r>
      <w:r>
        <w:rPr>
          <w:rFonts w:ascii="微软雅黑" w:hAnsi="微软雅黑" w:eastAsia="微软雅黑" w:cs="微软雅黑"/>
          <w:color w:val="231F20"/>
          <w:sz w:val="22"/>
          <w:szCs w:val="22"/>
        </w:rPr>
        <w:t xml:space="preserve">管理， </w:t>
      </w:r>
      <w:r>
        <w:rPr>
          <w:rFonts w:ascii="微软雅黑" w:hAnsi="微软雅黑" w:eastAsia="微软雅黑" w:cs="微软雅黑"/>
          <w:color w:val="231F20"/>
          <w:spacing w:val="2"/>
          <w:sz w:val="22"/>
          <w:szCs w:val="22"/>
        </w:rPr>
        <w:t>进一</w:t>
      </w:r>
      <w:r>
        <w:rPr>
          <w:rFonts w:ascii="微软雅黑" w:hAnsi="微软雅黑" w:eastAsia="微软雅黑" w:cs="微软雅黑"/>
          <w:color w:val="231F20"/>
          <w:spacing w:val="1"/>
          <w:sz w:val="22"/>
          <w:szCs w:val="22"/>
        </w:rPr>
        <w:t xml:space="preserve">步方便总部开展研发活动。苏州市也推出 </w:t>
      </w:r>
      <w:r>
        <w:rPr>
          <w:rFonts w:ascii="Times New Roman" w:hAnsi="Times New Roman" w:eastAsia="Times New Roman" w:cs="Times New Roman"/>
          <w:color w:val="231F20"/>
          <w:spacing w:val="1"/>
          <w:sz w:val="22"/>
          <w:szCs w:val="22"/>
        </w:rPr>
        <w:t xml:space="preserve">14 </w:t>
      </w:r>
      <w:r>
        <w:rPr>
          <w:rFonts w:ascii="微软雅黑" w:hAnsi="微软雅黑" w:eastAsia="微软雅黑" w:cs="微软雅黑"/>
          <w:color w:val="231F20"/>
          <w:spacing w:val="1"/>
          <w:sz w:val="22"/>
          <w:szCs w:val="22"/>
        </w:rPr>
        <w:t xml:space="preserve">个领域的 </w:t>
      </w:r>
      <w:r>
        <w:rPr>
          <w:rFonts w:ascii="Times New Roman" w:hAnsi="Times New Roman" w:eastAsia="Times New Roman" w:cs="Times New Roman"/>
          <w:color w:val="231F20"/>
          <w:spacing w:val="1"/>
          <w:sz w:val="22"/>
          <w:szCs w:val="22"/>
        </w:rPr>
        <w:t xml:space="preserve">48 </w:t>
      </w:r>
      <w:r>
        <w:rPr>
          <w:rFonts w:ascii="微软雅黑" w:hAnsi="微软雅黑" w:eastAsia="微软雅黑" w:cs="微软雅黑"/>
          <w:color w:val="231F20"/>
          <w:spacing w:val="1"/>
          <w:sz w:val="22"/>
          <w:szCs w:val="22"/>
        </w:rPr>
        <w:t>项惠企便利化措施 ，包</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括将总部企业高管人员纳入全市高端人才奖励计划实施激励 ，外国</w:t>
      </w:r>
      <w:r>
        <w:rPr>
          <w:rFonts w:ascii="微软雅黑" w:hAnsi="微软雅黑" w:eastAsia="微软雅黑" w:cs="微软雅黑"/>
          <w:color w:val="231F20"/>
          <w:spacing w:val="1"/>
          <w:sz w:val="22"/>
          <w:szCs w:val="22"/>
        </w:rPr>
        <w:t>高端人才在总部机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构兼职的备案部门仅为公安一个部门，  同时推出“</w:t>
      </w:r>
      <w:r>
        <w:rPr>
          <w:rFonts w:ascii="Times New Roman" w:hAnsi="Times New Roman" w:eastAsia="Times New Roman" w:cs="Times New Roman"/>
          <w:color w:val="231F20"/>
          <w:sz w:val="22"/>
          <w:szCs w:val="22"/>
        </w:rPr>
        <w:t>AEO</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 经认证的经营者 )</w:t>
      </w:r>
      <w:r>
        <w:rPr>
          <w:rFonts w:ascii="微软雅黑" w:hAnsi="微软雅黑" w:eastAsia="微软雅黑" w:cs="微软雅黑"/>
          <w:color w:val="231F20"/>
          <w:sz w:val="22"/>
          <w:szCs w:val="22"/>
        </w:rPr>
        <w:t xml:space="preserve"> 高级认证 </w:t>
      </w:r>
      <w:r>
        <w:rPr>
          <w:rFonts w:ascii="微软雅黑" w:hAnsi="微软雅黑" w:eastAsia="微软雅黑" w:cs="微软雅黑"/>
          <w:color w:val="231F20"/>
          <w:spacing w:val="1"/>
          <w:sz w:val="22"/>
          <w:szCs w:val="22"/>
        </w:rPr>
        <w:t>接力式信用培育”“主动披露”等政</w:t>
      </w:r>
      <w:r>
        <w:rPr>
          <w:rFonts w:ascii="微软雅黑" w:hAnsi="微软雅黑" w:eastAsia="微软雅黑" w:cs="微软雅黑"/>
          <w:color w:val="231F20"/>
          <w:sz w:val="22"/>
          <w:szCs w:val="22"/>
        </w:rPr>
        <w:t>策。</w:t>
      </w:r>
    </w:p>
    <w:p>
      <w:pPr>
        <w:spacing w:before="172" w:line="266" w:lineRule="auto"/>
        <w:ind w:left="1994" w:right="1982" w:firstLine="449"/>
        <w:rPr>
          <w:rFonts w:ascii="微软雅黑" w:hAnsi="微软雅黑" w:eastAsia="微软雅黑" w:cs="微软雅黑"/>
          <w:sz w:val="22"/>
          <w:szCs w:val="22"/>
        </w:rPr>
      </w:pPr>
      <w:r>
        <w:rPr>
          <w:rFonts w:ascii="SimHei" w:hAnsi="SimHei" w:eastAsia="SimHei" w:cs="SimHei"/>
          <w:color w:val="231F20"/>
          <w:spacing w:val="6"/>
          <w:sz w:val="22"/>
          <w:szCs w:val="22"/>
        </w:rPr>
        <w:t>推动外资</w:t>
      </w:r>
      <w:r>
        <w:rPr>
          <w:rFonts w:ascii="SimHei" w:hAnsi="SimHei" w:eastAsia="SimHei" w:cs="SimHei"/>
          <w:color w:val="231F20"/>
          <w:spacing w:val="3"/>
          <w:sz w:val="22"/>
          <w:szCs w:val="22"/>
        </w:rPr>
        <w:t>研发中心享受进口税收政策。</w:t>
      </w:r>
      <w:r>
        <w:rPr>
          <w:rFonts w:ascii="微软雅黑" w:hAnsi="微软雅黑" w:eastAsia="微软雅黑" w:cs="微软雅黑"/>
          <w:color w:val="231F20"/>
          <w:spacing w:val="3"/>
          <w:sz w:val="22"/>
          <w:szCs w:val="22"/>
        </w:rPr>
        <w:t>明确享受科技创新进口税收政策的外资研</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发中心申报条件、</w:t>
      </w:r>
      <w:r>
        <w:rPr>
          <w:rFonts w:ascii="微软雅黑" w:hAnsi="微软雅黑" w:eastAsia="微软雅黑" w:cs="微软雅黑"/>
          <w:color w:val="231F20"/>
          <w:spacing w:val="-4"/>
          <w:sz w:val="22"/>
          <w:szCs w:val="22"/>
        </w:rPr>
        <w:t xml:space="preserve"> </w:t>
      </w:r>
      <w:r>
        <w:rPr>
          <w:rFonts w:ascii="微软雅黑" w:hAnsi="微软雅黑" w:eastAsia="微软雅黑" w:cs="微软雅黑"/>
          <w:color w:val="231F20"/>
          <w:spacing w:val="-3"/>
          <w:sz w:val="22"/>
          <w:szCs w:val="22"/>
        </w:rPr>
        <w:t xml:space="preserve"> 申报流程、  申报材料，  启动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年度外资研发中心进口税收政策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认定复核工作 ，支持外资研发中心发展。</w:t>
      </w:r>
    </w:p>
    <w:p>
      <w:pPr>
        <w:spacing w:before="174" w:line="260" w:lineRule="auto"/>
        <w:ind w:left="1988" w:right="1893" w:firstLine="465"/>
        <w:rPr>
          <w:rFonts w:ascii="微软雅黑" w:hAnsi="微软雅黑" w:eastAsia="微软雅黑" w:cs="微软雅黑"/>
          <w:sz w:val="22"/>
          <w:szCs w:val="22"/>
        </w:rPr>
      </w:pPr>
      <w:r>
        <w:rPr>
          <w:rFonts w:ascii="SimHei" w:hAnsi="SimHei" w:eastAsia="SimHei" w:cs="SimHei"/>
          <w:color w:val="231F20"/>
          <w:spacing w:val="18"/>
          <w:sz w:val="22"/>
          <w:szCs w:val="22"/>
        </w:rPr>
        <w:t>支持</w:t>
      </w:r>
      <w:r>
        <w:rPr>
          <w:rFonts w:ascii="SimHei" w:hAnsi="SimHei" w:eastAsia="SimHei" w:cs="SimHei"/>
          <w:color w:val="231F20"/>
          <w:spacing w:val="15"/>
          <w:sz w:val="22"/>
          <w:szCs w:val="22"/>
        </w:rPr>
        <w:t>外</w:t>
      </w:r>
      <w:r>
        <w:rPr>
          <w:rFonts w:ascii="SimHei" w:hAnsi="SimHei" w:eastAsia="SimHei" w:cs="SimHei"/>
          <w:color w:val="231F20"/>
          <w:spacing w:val="9"/>
          <w:sz w:val="22"/>
          <w:szCs w:val="22"/>
        </w:rPr>
        <w:t>资总部经济集聚区建设。</w:t>
      </w:r>
      <w:r>
        <w:rPr>
          <w:rFonts w:ascii="微软雅黑" w:hAnsi="微软雅黑" w:eastAsia="微软雅黑" w:cs="微软雅黑"/>
          <w:color w:val="231F20"/>
          <w:spacing w:val="9"/>
          <w:sz w:val="22"/>
          <w:szCs w:val="22"/>
        </w:rPr>
        <w:t>支持在江苏省总部经济发展较为成熟的区域认</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7"/>
          <w:sz w:val="22"/>
          <w:szCs w:val="22"/>
        </w:rPr>
        <w:t>定</w:t>
      </w:r>
      <w:r>
        <w:rPr>
          <w:rFonts w:ascii="微软雅黑" w:hAnsi="微软雅黑" w:eastAsia="微软雅黑" w:cs="微软雅黑"/>
          <w:color w:val="231F20"/>
          <w:spacing w:val="6"/>
          <w:sz w:val="22"/>
          <w:szCs w:val="22"/>
        </w:rPr>
        <w:t>一批国际总部经济集聚区，支持在国际总部经济集聚区内建立总部经济服务中心，</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7"/>
          <w:sz w:val="22"/>
          <w:szCs w:val="22"/>
        </w:rPr>
        <w:t>为</w:t>
      </w:r>
      <w:r>
        <w:rPr>
          <w:rFonts w:ascii="微软雅黑" w:hAnsi="微软雅黑" w:eastAsia="微软雅黑" w:cs="微软雅黑"/>
          <w:color w:val="231F20"/>
          <w:spacing w:val="6"/>
          <w:sz w:val="22"/>
          <w:szCs w:val="22"/>
        </w:rPr>
        <w:t>总部企业提供便利化服务。江苏省认定首个外资总部经济集聚区为苏州工业园区。</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10"/>
          <w:sz w:val="22"/>
          <w:szCs w:val="22"/>
        </w:rPr>
        <w:t xml:space="preserve">2021 </w:t>
      </w:r>
      <w:r>
        <w:rPr>
          <w:rFonts w:ascii="微软雅黑" w:hAnsi="微软雅黑" w:eastAsia="微软雅黑" w:cs="微软雅黑"/>
          <w:color w:val="231F20"/>
          <w:spacing w:val="8"/>
          <w:sz w:val="22"/>
          <w:szCs w:val="22"/>
        </w:rPr>
        <w:t>年</w:t>
      </w:r>
      <w:r>
        <w:rPr>
          <w:rFonts w:ascii="微软雅黑" w:hAnsi="微软雅黑" w:eastAsia="微软雅黑" w:cs="微软雅黑"/>
          <w:color w:val="231F20"/>
          <w:spacing w:val="5"/>
          <w:sz w:val="22"/>
          <w:szCs w:val="22"/>
        </w:rPr>
        <w:t xml:space="preserve">，  苏州工业园区获得首批中日韩 ( 江苏 )  产业合作示范园区认定，  新增 </w:t>
      </w:r>
      <w:r>
        <w:rPr>
          <w:rFonts w:ascii="Times New Roman" w:hAnsi="Times New Roman" w:eastAsia="Times New Roman" w:cs="Times New Roman"/>
          <w:color w:val="231F20"/>
          <w:spacing w:val="5"/>
          <w:sz w:val="22"/>
          <w:szCs w:val="22"/>
        </w:rPr>
        <w:t>6</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11"/>
          <w:sz w:val="22"/>
          <w:szCs w:val="22"/>
        </w:rPr>
        <w:t>家</w:t>
      </w:r>
      <w:r>
        <w:rPr>
          <w:rFonts w:ascii="微软雅黑" w:hAnsi="微软雅黑" w:eastAsia="微软雅黑" w:cs="微软雅黑"/>
          <w:color w:val="231F20"/>
          <w:spacing w:val="8"/>
          <w:sz w:val="22"/>
          <w:szCs w:val="22"/>
        </w:rPr>
        <w:t>省级外资总部 、</w:t>
      </w:r>
      <w:r>
        <w:rPr>
          <w:rFonts w:ascii="Times New Roman" w:hAnsi="Times New Roman" w:eastAsia="Times New Roman" w:cs="Times New Roman"/>
          <w:color w:val="231F20"/>
          <w:spacing w:val="8"/>
          <w:sz w:val="22"/>
          <w:szCs w:val="22"/>
        </w:rPr>
        <w:t xml:space="preserve">21 </w:t>
      </w:r>
      <w:r>
        <w:rPr>
          <w:rFonts w:ascii="微软雅黑" w:hAnsi="微软雅黑" w:eastAsia="微软雅黑" w:cs="微软雅黑"/>
          <w:color w:val="231F20"/>
          <w:spacing w:val="8"/>
          <w:sz w:val="22"/>
          <w:szCs w:val="22"/>
        </w:rPr>
        <w:t>家市级外资总部 、</w:t>
      </w:r>
      <w:r>
        <w:rPr>
          <w:rFonts w:ascii="Times New Roman" w:hAnsi="Times New Roman" w:eastAsia="Times New Roman" w:cs="Times New Roman"/>
          <w:color w:val="231F20"/>
          <w:spacing w:val="8"/>
          <w:sz w:val="22"/>
          <w:szCs w:val="22"/>
        </w:rPr>
        <w:t xml:space="preserve">46 </w:t>
      </w:r>
      <w:r>
        <w:rPr>
          <w:rFonts w:ascii="微软雅黑" w:hAnsi="微软雅黑" w:eastAsia="微软雅黑" w:cs="微软雅黑"/>
          <w:color w:val="231F20"/>
          <w:spacing w:val="8"/>
          <w:sz w:val="22"/>
          <w:szCs w:val="22"/>
        </w:rPr>
        <w:t>家省级外资总部培育企业和一批外资研</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发中心</w:t>
      </w:r>
      <w:r>
        <w:rPr>
          <w:rFonts w:ascii="微软雅黑" w:hAnsi="微软雅黑" w:eastAsia="微软雅黑" w:cs="微软雅黑"/>
          <w:color w:val="231F20"/>
          <w:spacing w:val="2"/>
          <w:sz w:val="22"/>
          <w:szCs w:val="22"/>
        </w:rPr>
        <w:t>。</w:t>
      </w:r>
    </w:p>
    <w:p>
      <w:pPr>
        <w:spacing w:before="177" w:line="221" w:lineRule="auto"/>
        <w:ind w:left="2462"/>
        <w:rPr>
          <w:rFonts w:ascii="SimHei" w:hAnsi="SimHei" w:eastAsia="SimHei" w:cs="SimHei"/>
          <w:sz w:val="24"/>
          <w:szCs w:val="24"/>
        </w:rPr>
      </w:pPr>
      <w:r>
        <w:rPr>
          <w:rFonts w:ascii="SimHei" w:hAnsi="SimHei" w:eastAsia="SimHei" w:cs="SimHei"/>
          <w:color w:val="015DAC"/>
          <w:spacing w:val="5"/>
          <w:sz w:val="24"/>
          <w:szCs w:val="24"/>
        </w:rPr>
        <w:t>(二) 发挥重大展会平台作用，拓展外商投资促进渠</w:t>
      </w:r>
      <w:r>
        <w:rPr>
          <w:rFonts w:ascii="SimHei" w:hAnsi="SimHei" w:eastAsia="SimHei" w:cs="SimHei"/>
          <w:color w:val="015DAC"/>
          <w:spacing w:val="2"/>
          <w:sz w:val="24"/>
          <w:szCs w:val="24"/>
        </w:rPr>
        <w:t>道</w:t>
      </w:r>
    </w:p>
    <w:p>
      <w:pPr>
        <w:spacing w:before="324" w:line="258" w:lineRule="auto"/>
        <w:ind w:left="1986" w:right="1916" w:firstLine="463"/>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江苏省积极发挥大</w:t>
      </w:r>
      <w:r>
        <w:rPr>
          <w:rFonts w:ascii="微软雅黑" w:hAnsi="微软雅黑" w:eastAsia="微软雅黑" w:cs="微软雅黑"/>
          <w:color w:val="231F20"/>
          <w:spacing w:val="1"/>
          <w:sz w:val="22"/>
          <w:szCs w:val="22"/>
        </w:rPr>
        <w:t>型展会衔接国内国际市场的枢纽作用 ，通过展览展示、交流洽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谈、项目</w:t>
      </w:r>
      <w:r>
        <w:rPr>
          <w:rFonts w:ascii="微软雅黑" w:hAnsi="微软雅黑" w:eastAsia="微软雅黑" w:cs="微软雅黑"/>
          <w:color w:val="231F20"/>
          <w:sz w:val="22"/>
          <w:szCs w:val="22"/>
        </w:rPr>
        <w:t xml:space="preserve">对接、国际论坛等多种形式 ，搭建外商投资促进平台 ，持续推介江苏投资环 境，优化重点产业引资方向 ，促进内外资企业交流合作 ，为推动利用外资高质量发展 </w:t>
      </w:r>
      <w:r>
        <w:rPr>
          <w:rFonts w:ascii="微软雅黑" w:hAnsi="微软雅黑" w:eastAsia="微软雅黑" w:cs="微软雅黑"/>
          <w:color w:val="231F20"/>
          <w:spacing w:val="1"/>
          <w:sz w:val="22"/>
          <w:szCs w:val="22"/>
        </w:rPr>
        <w:t>提供了重要支撑。</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 ，江苏省牵头举办阿联酋迪拜世博会“江苏周”活动、第三 </w:t>
      </w:r>
      <w:r>
        <w:rPr>
          <w:rFonts w:ascii="微软雅黑" w:hAnsi="微软雅黑" w:eastAsia="微软雅黑" w:cs="微软雅黑"/>
          <w:color w:val="231F20"/>
          <w:spacing w:val="5"/>
          <w:sz w:val="22"/>
          <w:szCs w:val="22"/>
        </w:rPr>
        <w:t>届</w:t>
      </w:r>
      <w:r>
        <w:rPr>
          <w:rFonts w:ascii="微软雅黑" w:hAnsi="微软雅黑" w:eastAsia="微软雅黑" w:cs="微软雅黑"/>
          <w:color w:val="231F20"/>
          <w:spacing w:val="3"/>
          <w:sz w:val="22"/>
          <w:szCs w:val="22"/>
        </w:rPr>
        <w:t>中韩贸易投资博览会暨江苏—韩国企业家交流会、第二届自由贸易园区发展国际论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坛、</w:t>
      </w:r>
      <w:r>
        <w:rPr>
          <w:rFonts w:ascii="Times New Roman" w:hAnsi="Times New Roman" w:eastAsia="Times New Roman" w:cs="Times New Roman"/>
          <w:color w:val="231F20"/>
          <w:spacing w:val="4"/>
          <w:sz w:val="22"/>
          <w:szCs w:val="22"/>
        </w:rPr>
        <w:t>2</w:t>
      </w:r>
      <w:r>
        <w:rPr>
          <w:rFonts w:ascii="Times New Roman" w:hAnsi="Times New Roman" w:eastAsia="Times New Roman" w:cs="Times New Roman"/>
          <w:color w:val="231F20"/>
          <w:spacing w:val="3"/>
          <w:sz w:val="22"/>
          <w:szCs w:val="22"/>
        </w:rPr>
        <w:t>0</w:t>
      </w:r>
      <w:r>
        <w:rPr>
          <w:rFonts w:ascii="Times New Roman" w:hAnsi="Times New Roman" w:eastAsia="Times New Roman" w:cs="Times New Roman"/>
          <w:color w:val="231F20"/>
          <w:spacing w:val="2"/>
          <w:sz w:val="22"/>
          <w:szCs w:val="22"/>
        </w:rPr>
        <w:t xml:space="preserve">21 </w:t>
      </w:r>
      <w:r>
        <w:rPr>
          <w:rFonts w:ascii="微软雅黑" w:hAnsi="微软雅黑" w:eastAsia="微软雅黑" w:cs="微软雅黑"/>
          <w:color w:val="231F20"/>
          <w:spacing w:val="2"/>
          <w:sz w:val="22"/>
          <w:szCs w:val="22"/>
        </w:rPr>
        <w:t>国际知识产权应用暨项目合作大会、东亚企业家太湖峰会、第七届中国 ( 连</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云港</w:t>
      </w:r>
      <w:r>
        <w:rPr>
          <w:rFonts w:ascii="微软雅黑" w:hAnsi="微软雅黑" w:eastAsia="微软雅黑" w:cs="微软雅黑"/>
          <w:color w:val="231F20"/>
          <w:spacing w:val="4"/>
          <w:sz w:val="22"/>
          <w:szCs w:val="22"/>
        </w:rPr>
        <w:t xml:space="preserve"> ) 丝绸之路国际物流博览会、江苏国际农业机械展览会 ( 南京 ) 、江苏国际养老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服</w:t>
      </w:r>
      <w:r>
        <w:rPr>
          <w:rFonts w:ascii="微软雅黑" w:hAnsi="微软雅黑" w:eastAsia="微软雅黑" w:cs="微软雅黑"/>
          <w:color w:val="231F20"/>
          <w:spacing w:val="2"/>
          <w:sz w:val="22"/>
          <w:szCs w:val="22"/>
        </w:rPr>
        <w:t>务博览会 ( 南京 ) 、中国 ( 淮安 )  国际食品博览会、中国 ( 泰州 )  医药博览会、第</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三届运河品牌电商大会 ( 宿迁 )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中国 ( 宿迁 ) 绿色产业洽谈会等重点投资促进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展会活动 </w:t>
      </w:r>
      <w:r>
        <w:rPr>
          <w:rFonts w:ascii="Times New Roman" w:hAnsi="Times New Roman" w:eastAsia="Times New Roman" w:cs="Times New Roman"/>
          <w:color w:val="231F20"/>
          <w:spacing w:val="-3"/>
          <w:sz w:val="22"/>
          <w:szCs w:val="22"/>
        </w:rPr>
        <w:t xml:space="preserve">17 </w:t>
      </w:r>
      <w:r>
        <w:rPr>
          <w:rFonts w:ascii="微软雅黑" w:hAnsi="微软雅黑" w:eastAsia="微软雅黑" w:cs="微软雅黑"/>
          <w:color w:val="231F20"/>
          <w:spacing w:val="-3"/>
          <w:sz w:val="22"/>
          <w:szCs w:val="22"/>
        </w:rPr>
        <w:t>场，引资成果丰硕，在高新技术、绿色能源等领域引进了一批外资大项目，</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促进了外商投资高质</w:t>
      </w:r>
      <w:r>
        <w:rPr>
          <w:rFonts w:ascii="微软雅黑" w:hAnsi="微软雅黑" w:eastAsia="微软雅黑" w:cs="微软雅黑"/>
          <w:color w:val="231F20"/>
          <w:sz w:val="22"/>
          <w:szCs w:val="22"/>
        </w:rPr>
        <w:t>量发展。</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4668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51" name="IM 351"/>
            <wp:cNvGraphicFramePr/>
            <a:graphic xmlns:a="http://schemas.openxmlformats.org/drawingml/2006/main">
              <a:graphicData uri="http://schemas.openxmlformats.org/drawingml/2006/picture">
                <pic:pic xmlns:pic="http://schemas.openxmlformats.org/drawingml/2006/picture">
                  <pic:nvPicPr>
                    <pic:cNvPr id="351" name="IM 351"/>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6"/>
        <w:rPr>
          <w:rFonts w:ascii="SimHei" w:hAnsi="SimHei" w:eastAsia="SimHei" w:cs="SimHei"/>
          <w:sz w:val="21"/>
          <w:szCs w:val="21"/>
        </w:rPr>
      </w:pPr>
      <w:bookmarkStart w:id="83" w:name="_bookmark69"/>
      <w:bookmarkEnd w:id="83"/>
      <w:bookmarkStart w:id="84" w:name="_bookmark68"/>
      <w:bookmarkEnd w:id="84"/>
      <w:r>
        <w:rPr>
          <w:rFonts w:ascii="Arial" w:hAnsi="Arial" w:eastAsia="Arial" w:cs="Arial"/>
          <w:color w:val="231F20"/>
          <w:spacing w:val="39"/>
          <w:sz w:val="20"/>
          <w:szCs w:val="20"/>
        </w:rPr>
        <w:t>7</w:t>
      </w:r>
      <w:r>
        <w:rPr>
          <w:rFonts w:ascii="Arial" w:hAnsi="Arial" w:eastAsia="Arial" w:cs="Arial"/>
          <w:color w:val="231F20"/>
          <w:spacing w:val="21"/>
          <w:sz w:val="20"/>
          <w:szCs w:val="20"/>
        </w:rPr>
        <w:t xml:space="preserve">2  </w:t>
      </w:r>
      <w:r>
        <w:rPr>
          <w:position w:val="-5"/>
          <w:sz w:val="20"/>
          <w:szCs w:val="20"/>
        </w:rPr>
        <w:drawing>
          <wp:inline distT="0" distB="0" distL="0" distR="0">
            <wp:extent cx="3175" cy="147320"/>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353" name="IM 353"/>
            <wp:cNvGraphicFramePr/>
            <a:graphic xmlns:a="http://schemas.openxmlformats.org/drawingml/2006/main">
              <a:graphicData uri="http://schemas.openxmlformats.org/drawingml/2006/picture">
                <pic:pic xmlns:pic="http://schemas.openxmlformats.org/drawingml/2006/picture">
                  <pic:nvPicPr>
                    <pic:cNvPr id="353" name="IM 353"/>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8645" w:lineRule="exact"/>
        <w:ind w:firstLine="1984"/>
        <w:textAlignment w:val="center"/>
      </w:pPr>
      <w:r>
        <w:pict>
          <v:group id="_x0000_s1473" o:spid="_x0000_s1473" o:spt="203" style="height:432.3pt;width:412.6pt;" coordsize="8252,8645">
            <o:lock v:ext="edit"/>
            <v:rect id="_x0000_s1474" o:spid="_x0000_s1474" o:spt="1" style="position:absolute;left:0;top:0;height:8645;width:8252;" fillcolor="#004876" filled="t" stroked="f" coordsize="21600,21600">
              <v:path/>
              <v:fill on="t" opacity="6425f" focussize="0,0"/>
              <v:stroke on="f"/>
              <v:imagedata o:title=""/>
              <o:lock v:ext="edit"/>
            </v:rect>
            <v:shape id="_x0000_s1475" o:spid="_x0000_s1475" o:spt="202" type="#_x0000_t202" style="position:absolute;left:337;top:376;height:8017;width:7499;" filled="f" stroked="f" coordsize="21600,21600">
              <v:path/>
              <v:fill on="f" focussize="0,0"/>
              <v:stroke on="f"/>
              <v:imagedata o:title=""/>
              <o:lock v:ext="edit" aspectratio="f"/>
              <v:textbox inset="0mm,0mm,0mm,0mm">
                <w:txbxContent>
                  <w:p>
                    <w:pPr>
                      <w:spacing w:before="20" w:line="40" w:lineRule="exact"/>
                      <w:ind w:firstLine="20"/>
                      <w:textAlignment w:val="center"/>
                    </w:pPr>
                    <w:r>
                      <w:drawing>
                        <wp:inline distT="0" distB="0" distL="0" distR="0">
                          <wp:extent cx="4727575" cy="25400"/>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149"/>
                                  <a:stretch>
                                    <a:fillRect/>
                                  </a:stretch>
                                </pic:blipFill>
                                <pic:spPr>
                                  <a:xfrm>
                                    <a:off x="0" y="0"/>
                                    <a:ext cx="4727575" cy="25400"/>
                                  </a:xfrm>
                                  <a:prstGeom prst="rect">
                                    <a:avLst/>
                                  </a:prstGeom>
                                </pic:spPr>
                              </pic:pic>
                            </a:graphicData>
                          </a:graphic>
                        </wp:inline>
                      </w:drawing>
                    </w:r>
                  </w:p>
                  <w:p>
                    <w:pPr>
                      <w:spacing w:before="158" w:line="193" w:lineRule="auto"/>
                      <w:ind w:left="114"/>
                      <w:rPr>
                        <w:rFonts w:ascii="Times New Roman" w:hAnsi="Times New Roman" w:eastAsia="Times New Roman" w:cs="Times New Roman"/>
                        <w:sz w:val="21"/>
                        <w:szCs w:val="21"/>
                      </w:rPr>
                    </w:pPr>
                    <w:r>
                      <w:rPr>
                        <w:rFonts w:ascii="SimHei" w:hAnsi="SimHei" w:eastAsia="SimHei" w:cs="SimHei"/>
                        <w:color w:val="015DAC"/>
                        <w:spacing w:val="-5"/>
                        <w:sz w:val="21"/>
                        <w:szCs w:val="21"/>
                      </w:rPr>
                      <w:t>专</w:t>
                    </w:r>
                    <w:r>
                      <w:rPr>
                        <w:rFonts w:ascii="SimHei" w:hAnsi="SimHei" w:eastAsia="SimHei" w:cs="SimHei"/>
                        <w:color w:val="015DAC"/>
                        <w:spacing w:val="-4"/>
                        <w:sz w:val="21"/>
                        <w:szCs w:val="21"/>
                      </w:rPr>
                      <w:t xml:space="preserve">栏 </w:t>
                    </w:r>
                    <w:r>
                      <w:rPr>
                        <w:rFonts w:ascii="Times New Roman" w:hAnsi="Times New Roman" w:eastAsia="Times New Roman" w:cs="Times New Roman"/>
                        <w:color w:val="015DAC"/>
                        <w:spacing w:val="-4"/>
                        <w:sz w:val="21"/>
                        <w:szCs w:val="21"/>
                      </w:rPr>
                      <w:t>3-2</w:t>
                    </w:r>
                  </w:p>
                  <w:p>
                    <w:pPr>
                      <w:spacing w:line="365" w:lineRule="exact"/>
                      <w:ind w:left="1781"/>
                      <w:rPr>
                        <w:rFonts w:ascii="SimHei" w:hAnsi="SimHei" w:eastAsia="SimHei" w:cs="SimHei"/>
                        <w:sz w:val="27"/>
                        <w:szCs w:val="27"/>
                      </w:rPr>
                    </w:pPr>
                    <w:r>
                      <w:rPr>
                        <w:rFonts w:ascii="SimHei" w:hAnsi="SimHei" w:eastAsia="SimHei" w:cs="SimHei"/>
                        <w:color w:val="015DAC"/>
                        <w:spacing w:val="9"/>
                        <w:position w:val="1"/>
                        <w:sz w:val="27"/>
                        <w:szCs w:val="27"/>
                        <w14:textOutline w14:w="3175" w14:cap="flat" w14:cmpd="sng">
                          <w14:solidFill>
                            <w14:srgbClr w14:val="015DAC"/>
                          </w14:solidFill>
                          <w14:prstDash w14:val="solid"/>
                          <w14:miter w14:val="0"/>
                        </w14:textOutline>
                      </w:rPr>
                      <w:t>2021</w:t>
                    </w:r>
                    <w:r>
                      <w:rPr>
                        <w:rFonts w:ascii="SimHei" w:hAnsi="SimHei" w:eastAsia="SimHei" w:cs="SimHei"/>
                        <w:color w:val="015DAC"/>
                        <w:spacing w:val="9"/>
                        <w:position w:val="1"/>
                        <w:sz w:val="27"/>
                        <w:szCs w:val="27"/>
                      </w:rPr>
                      <w:t xml:space="preserve"> </w:t>
                    </w:r>
                    <w:r>
                      <w:rPr>
                        <w:rFonts w:ascii="SimHei" w:hAnsi="SimHei" w:eastAsia="SimHei" w:cs="SimHei"/>
                        <w:color w:val="015DAC"/>
                        <w:spacing w:val="9"/>
                        <w:position w:val="1"/>
                        <w:sz w:val="27"/>
                        <w:szCs w:val="27"/>
                        <w14:textOutline w14:w="3175" w14:cap="flat" w14:cmpd="sng">
                          <w14:solidFill>
                            <w14:srgbClr w14:val="015DAC"/>
                          </w14:solidFill>
                          <w14:prstDash w14:val="solid"/>
                          <w14:miter w14:val="0"/>
                        </w14:textOutline>
                      </w:rPr>
                      <w:t>年江苏省重大展会引资成</w:t>
                    </w:r>
                    <w:r>
                      <w:rPr>
                        <w:rFonts w:ascii="SimHei" w:hAnsi="SimHei" w:eastAsia="SimHei" w:cs="SimHei"/>
                        <w:color w:val="015DAC"/>
                        <w:spacing w:val="7"/>
                        <w:position w:val="1"/>
                        <w:sz w:val="27"/>
                        <w:szCs w:val="27"/>
                        <w14:textOutline w14:w="3175" w14:cap="flat" w14:cmpd="sng">
                          <w14:solidFill>
                            <w14:srgbClr w14:val="015DAC"/>
                          </w14:solidFill>
                          <w14:prstDash w14:val="solid"/>
                          <w14:miter w14:val="0"/>
                        </w14:textOutline>
                      </w:rPr>
                      <w:t>果</w:t>
                    </w:r>
                  </w:p>
                  <w:p>
                    <w:pPr>
                      <w:spacing w:before="232" w:line="40" w:lineRule="exact"/>
                      <w:ind w:firstLine="20"/>
                      <w:textAlignment w:val="center"/>
                    </w:pPr>
                    <w:r>
                      <w:drawing>
                        <wp:inline distT="0" distB="0" distL="0" distR="0">
                          <wp:extent cx="4727575" cy="25400"/>
                          <wp:effectExtent l="0" t="0" r="0" b="0"/>
                          <wp:docPr id="355" name="IM 355"/>
                          <wp:cNvGraphicFramePr/>
                          <a:graphic xmlns:a="http://schemas.openxmlformats.org/drawingml/2006/main">
                            <a:graphicData uri="http://schemas.openxmlformats.org/drawingml/2006/picture">
                              <pic:pic xmlns:pic="http://schemas.openxmlformats.org/drawingml/2006/picture">
                                <pic:nvPicPr>
                                  <pic:cNvPr id="355" name="IM 355"/>
                                  <pic:cNvPicPr/>
                                </pic:nvPicPr>
                                <pic:blipFill>
                                  <a:blip r:embed="rId150"/>
                                  <a:stretch>
                                    <a:fillRect/>
                                  </a:stretch>
                                </pic:blipFill>
                                <pic:spPr>
                                  <a:xfrm>
                                    <a:off x="0" y="0"/>
                                    <a:ext cx="4727575" cy="25400"/>
                                  </a:xfrm>
                                  <a:prstGeom prst="rect">
                                    <a:avLst/>
                                  </a:prstGeom>
                                </pic:spPr>
                              </pic:pic>
                            </a:graphicData>
                          </a:graphic>
                        </wp:inline>
                      </w:drawing>
                    </w: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85" w:line="285" w:lineRule="auto"/>
                      <w:ind w:left="98" w:right="95" w:firstLine="413"/>
                      <w:rPr>
                        <w:rFonts w:ascii="微软雅黑" w:hAnsi="微软雅黑" w:eastAsia="微软雅黑" w:cs="微软雅黑"/>
                        <w:sz w:val="20"/>
                        <w:szCs w:val="20"/>
                      </w:rPr>
                    </w:pPr>
                    <w:r>
                      <w:rPr>
                        <w:rFonts w:ascii="SimHei" w:hAnsi="SimHei" w:eastAsia="SimHei" w:cs="SimHei"/>
                        <w:color w:val="231F20"/>
                        <w:spacing w:val="2"/>
                        <w:sz w:val="20"/>
                        <w:szCs w:val="20"/>
                      </w:rPr>
                      <w:t>东亚企业家太湖峰会。</w:t>
                    </w:r>
                    <w:r>
                      <w:rPr>
                        <w:rFonts w:ascii="Times New Roman" w:hAnsi="Times New Roman" w:eastAsia="Times New Roman" w:cs="Times New Roman"/>
                        <w:color w:val="231F20"/>
                        <w:spacing w:val="2"/>
                        <w:sz w:val="20"/>
                        <w:szCs w:val="20"/>
                      </w:rPr>
                      <w:t xml:space="preserve">2021 </w:t>
                    </w:r>
                    <w:r>
                      <w:rPr>
                        <w:rFonts w:ascii="微软雅黑" w:hAnsi="微软雅黑" w:eastAsia="微软雅黑" w:cs="微软雅黑"/>
                        <w:color w:val="231F20"/>
                        <w:spacing w:val="2"/>
                        <w:sz w:val="20"/>
                        <w:szCs w:val="20"/>
                      </w:rPr>
                      <w:t xml:space="preserve">年 </w:t>
                    </w:r>
                    <w:r>
                      <w:rPr>
                        <w:rFonts w:ascii="Times New Roman" w:hAnsi="Times New Roman" w:eastAsia="Times New Roman" w:cs="Times New Roman"/>
                        <w:color w:val="231F20"/>
                        <w:spacing w:val="2"/>
                        <w:sz w:val="20"/>
                        <w:szCs w:val="20"/>
                      </w:rPr>
                      <w:t xml:space="preserve">5 </w:t>
                    </w:r>
                    <w:r>
                      <w:rPr>
                        <w:rFonts w:ascii="微软雅黑" w:hAnsi="微软雅黑" w:eastAsia="微软雅黑" w:cs="微软雅黑"/>
                        <w:color w:val="231F20"/>
                        <w:spacing w:val="2"/>
                        <w:sz w:val="20"/>
                        <w:szCs w:val="20"/>
                      </w:rPr>
                      <w:t>月</w:t>
                    </w:r>
                    <w:r>
                      <w:rPr>
                        <w:rFonts w:ascii="微软雅黑" w:hAnsi="微软雅黑" w:eastAsia="微软雅黑" w:cs="微软雅黑"/>
                        <w:color w:val="231F20"/>
                        <w:spacing w:val="1"/>
                        <w:sz w:val="20"/>
                        <w:szCs w:val="20"/>
                      </w:rPr>
                      <w:t xml:space="preserve"> </w:t>
                    </w:r>
                    <w:r>
                      <w:rPr>
                        <w:rFonts w:ascii="Times New Roman" w:hAnsi="Times New Roman" w:eastAsia="Times New Roman" w:cs="Times New Roman"/>
                        <w:color w:val="231F20"/>
                        <w:spacing w:val="1"/>
                        <w:sz w:val="20"/>
                        <w:szCs w:val="20"/>
                      </w:rPr>
                      <w:t xml:space="preserve">17 </w:t>
                    </w:r>
                    <w:r>
                      <w:rPr>
                        <w:rFonts w:ascii="微软雅黑" w:hAnsi="微软雅黑" w:eastAsia="微软雅黑" w:cs="微软雅黑"/>
                        <w:color w:val="231F20"/>
                        <w:spacing w:val="1"/>
                        <w:sz w:val="20"/>
                        <w:szCs w:val="20"/>
                      </w:rPr>
                      <w:t>日 ，在苏州市太湖国际会议中心举办的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 xml:space="preserve">东亚企业家太湖峰会现场签约日资韩资项目 </w:t>
                    </w:r>
                    <w:r>
                      <w:rPr>
                        <w:rFonts w:ascii="Times New Roman" w:hAnsi="Times New Roman" w:eastAsia="Times New Roman" w:cs="Times New Roman"/>
                        <w:color w:val="231F20"/>
                        <w:spacing w:val="2"/>
                        <w:sz w:val="20"/>
                        <w:szCs w:val="20"/>
                      </w:rPr>
                      <w:t xml:space="preserve">55 </w:t>
                    </w:r>
                    <w:r>
                      <w:rPr>
                        <w:rFonts w:ascii="微软雅黑" w:hAnsi="微软雅黑" w:eastAsia="微软雅黑" w:cs="微软雅黑"/>
                        <w:color w:val="231F20"/>
                        <w:spacing w:val="2"/>
                        <w:sz w:val="20"/>
                        <w:szCs w:val="20"/>
                      </w:rPr>
                      <w:t xml:space="preserve">个、总投资 </w:t>
                    </w:r>
                    <w:r>
                      <w:rPr>
                        <w:rFonts w:ascii="Times New Roman" w:hAnsi="Times New Roman" w:eastAsia="Times New Roman" w:cs="Times New Roman"/>
                        <w:color w:val="231F20"/>
                        <w:spacing w:val="2"/>
                        <w:sz w:val="20"/>
                        <w:szCs w:val="20"/>
                      </w:rPr>
                      <w:t xml:space="preserve">78 </w:t>
                    </w:r>
                    <w:r>
                      <w:rPr>
                        <w:rFonts w:ascii="微软雅黑" w:hAnsi="微软雅黑" w:eastAsia="微软雅黑" w:cs="微软雅黑"/>
                        <w:color w:val="231F20"/>
                        <w:spacing w:val="2"/>
                        <w:sz w:val="20"/>
                        <w:szCs w:val="20"/>
                      </w:rPr>
                      <w:t>亿美元。其中生物医</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药和健康产业项</w:t>
                    </w:r>
                    <w:r>
                      <w:rPr>
                        <w:rFonts w:ascii="微软雅黑" w:hAnsi="微软雅黑" w:eastAsia="微软雅黑" w:cs="微软雅黑"/>
                        <w:color w:val="231F20"/>
                        <w:spacing w:val="-3"/>
                        <w:sz w:val="20"/>
                        <w:szCs w:val="20"/>
                      </w:rPr>
                      <w:t xml:space="preserve">目 </w:t>
                    </w:r>
                    <w:r>
                      <w:rPr>
                        <w:rFonts w:ascii="Times New Roman" w:hAnsi="Times New Roman" w:eastAsia="Times New Roman" w:cs="Times New Roman"/>
                        <w:color w:val="231F20"/>
                        <w:spacing w:val="-3"/>
                        <w:sz w:val="20"/>
                        <w:szCs w:val="20"/>
                      </w:rPr>
                      <w:t xml:space="preserve">29 </w:t>
                    </w:r>
                    <w:r>
                      <w:rPr>
                        <w:rFonts w:ascii="微软雅黑" w:hAnsi="微软雅黑" w:eastAsia="微软雅黑" w:cs="微软雅黑"/>
                        <w:color w:val="231F20"/>
                        <w:spacing w:val="-3"/>
                        <w:sz w:val="20"/>
                        <w:szCs w:val="20"/>
                      </w:rPr>
                      <w:t xml:space="preserve">个 ，总投资 </w:t>
                    </w:r>
                    <w:r>
                      <w:rPr>
                        <w:rFonts w:ascii="Times New Roman" w:hAnsi="Times New Roman" w:eastAsia="Times New Roman" w:cs="Times New Roman"/>
                        <w:color w:val="231F20"/>
                        <w:spacing w:val="-3"/>
                        <w:sz w:val="20"/>
                        <w:szCs w:val="20"/>
                      </w:rPr>
                      <w:t xml:space="preserve">48 </w:t>
                    </w:r>
                    <w:r>
                      <w:rPr>
                        <w:rFonts w:ascii="微软雅黑" w:hAnsi="微软雅黑" w:eastAsia="微软雅黑" w:cs="微软雅黑"/>
                        <w:color w:val="231F20"/>
                        <w:spacing w:val="-3"/>
                        <w:sz w:val="20"/>
                        <w:szCs w:val="20"/>
                      </w:rPr>
                      <w:t xml:space="preserve">亿美元；  新一代信息技术产业项目 </w:t>
                    </w:r>
                    <w:r>
                      <w:rPr>
                        <w:rFonts w:ascii="Times New Roman" w:hAnsi="Times New Roman" w:eastAsia="Times New Roman" w:cs="Times New Roman"/>
                        <w:color w:val="231F20"/>
                        <w:spacing w:val="-3"/>
                        <w:sz w:val="20"/>
                        <w:szCs w:val="20"/>
                      </w:rPr>
                      <w:t xml:space="preserve">7 </w:t>
                    </w:r>
                    <w:r>
                      <w:rPr>
                        <w:rFonts w:ascii="微软雅黑" w:hAnsi="微软雅黑" w:eastAsia="微软雅黑" w:cs="微软雅黑"/>
                        <w:color w:val="231F20"/>
                        <w:spacing w:val="-3"/>
                        <w:sz w:val="20"/>
                        <w:szCs w:val="20"/>
                      </w:rPr>
                      <w:t>个 ，总投</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 xml:space="preserve">资 </w:t>
                    </w:r>
                    <w:r>
                      <w:rPr>
                        <w:rFonts w:ascii="Times New Roman" w:hAnsi="Times New Roman" w:eastAsia="Times New Roman" w:cs="Times New Roman"/>
                        <w:color w:val="231F20"/>
                        <w:spacing w:val="-3"/>
                        <w:sz w:val="20"/>
                        <w:szCs w:val="20"/>
                      </w:rPr>
                      <w:t>9</w:t>
                    </w:r>
                    <w:r>
                      <w:rPr>
                        <w:rFonts w:ascii="Times New Roman" w:hAnsi="Times New Roman" w:eastAsia="Times New Roman" w:cs="Times New Roman"/>
                        <w:color w:val="231F20"/>
                        <w:spacing w:val="-2"/>
                        <w:sz w:val="20"/>
                        <w:szCs w:val="20"/>
                      </w:rPr>
                      <w:t xml:space="preserve">.7 </w:t>
                    </w:r>
                    <w:r>
                      <w:rPr>
                        <w:rFonts w:ascii="微软雅黑" w:hAnsi="微软雅黑" w:eastAsia="微软雅黑" w:cs="微软雅黑"/>
                        <w:color w:val="231F20"/>
                        <w:spacing w:val="-2"/>
                        <w:sz w:val="20"/>
                        <w:szCs w:val="20"/>
                      </w:rPr>
                      <w:t xml:space="preserve">亿美元；  高端装备制造和新能源项目 </w:t>
                    </w:r>
                    <w:r>
                      <w:rPr>
                        <w:rFonts w:ascii="Times New Roman" w:hAnsi="Times New Roman" w:eastAsia="Times New Roman" w:cs="Times New Roman"/>
                        <w:color w:val="231F20"/>
                        <w:spacing w:val="-2"/>
                        <w:sz w:val="20"/>
                        <w:szCs w:val="20"/>
                      </w:rPr>
                      <w:t xml:space="preserve">6 </w:t>
                    </w:r>
                    <w:r>
                      <w:rPr>
                        <w:rFonts w:ascii="微软雅黑" w:hAnsi="微软雅黑" w:eastAsia="微软雅黑" w:cs="微软雅黑"/>
                        <w:color w:val="231F20"/>
                        <w:spacing w:val="-2"/>
                        <w:sz w:val="20"/>
                        <w:szCs w:val="20"/>
                      </w:rPr>
                      <w:t xml:space="preserve">个 ，总投资 </w:t>
                    </w:r>
                    <w:r>
                      <w:rPr>
                        <w:rFonts w:ascii="Times New Roman" w:hAnsi="Times New Roman" w:eastAsia="Times New Roman" w:cs="Times New Roman"/>
                        <w:color w:val="231F20"/>
                        <w:spacing w:val="-2"/>
                        <w:sz w:val="20"/>
                        <w:szCs w:val="20"/>
                      </w:rPr>
                      <w:t xml:space="preserve">10.2 </w:t>
                    </w:r>
                    <w:r>
                      <w:rPr>
                        <w:rFonts w:ascii="微软雅黑" w:hAnsi="微软雅黑" w:eastAsia="微软雅黑" w:cs="微软雅黑"/>
                        <w:color w:val="231F20"/>
                        <w:spacing w:val="-2"/>
                        <w:sz w:val="20"/>
                        <w:szCs w:val="20"/>
                      </w:rPr>
                      <w:t>亿美元。该峰会促进</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了中国与日本、韩国等东亚国家地区</w:t>
                    </w:r>
                    <w:r>
                      <w:rPr>
                        <w:rFonts w:ascii="微软雅黑" w:hAnsi="微软雅黑" w:eastAsia="微软雅黑" w:cs="微软雅黑"/>
                        <w:color w:val="231F20"/>
                        <w:sz w:val="20"/>
                        <w:szCs w:val="20"/>
                      </w:rPr>
                      <w:t xml:space="preserve">产业链融合 ，有利于畅通东亚产业循环 ，促进 </w:t>
                    </w:r>
                    <w:r>
                      <w:rPr>
                        <w:rFonts w:ascii="微软雅黑" w:hAnsi="微软雅黑" w:eastAsia="微软雅黑" w:cs="微软雅黑"/>
                        <w:color w:val="231F20"/>
                        <w:spacing w:val="1"/>
                        <w:sz w:val="20"/>
                        <w:szCs w:val="20"/>
                      </w:rPr>
                      <w:t>中国与日本、韩</w:t>
                    </w:r>
                    <w:r>
                      <w:rPr>
                        <w:rFonts w:ascii="微软雅黑" w:hAnsi="微软雅黑" w:eastAsia="微软雅黑" w:cs="微软雅黑"/>
                        <w:color w:val="231F20"/>
                        <w:sz w:val="20"/>
                        <w:szCs w:val="20"/>
                      </w:rPr>
                      <w:t>国等东亚国家合作共赢发展。</w:t>
                    </w:r>
                  </w:p>
                  <w:p>
                    <w:pPr>
                      <w:spacing w:before="177" w:line="285" w:lineRule="auto"/>
                      <w:ind w:left="93" w:right="20" w:firstLine="426"/>
                      <w:rPr>
                        <w:rFonts w:ascii="微软雅黑" w:hAnsi="微软雅黑" w:eastAsia="微软雅黑" w:cs="微软雅黑"/>
                        <w:sz w:val="20"/>
                        <w:szCs w:val="20"/>
                      </w:rPr>
                    </w:pPr>
                    <w:r>
                      <w:rPr>
                        <w:rFonts w:ascii="SimHei" w:hAnsi="SimHei" w:eastAsia="SimHei" w:cs="SimHei"/>
                        <w:color w:val="231F20"/>
                        <w:spacing w:val="-12"/>
                        <w:sz w:val="20"/>
                        <w:szCs w:val="20"/>
                      </w:rPr>
                      <w:t xml:space="preserve">中国 </w:t>
                    </w:r>
                    <w:r>
                      <w:rPr>
                        <w:rFonts w:ascii="SimHei" w:hAnsi="SimHei" w:eastAsia="SimHei" w:cs="SimHei"/>
                        <w:color w:val="231F20"/>
                        <w:spacing w:val="-7"/>
                        <w:sz w:val="20"/>
                        <w:szCs w:val="20"/>
                      </w:rPr>
                      <w:t>·</w:t>
                    </w:r>
                    <w:r>
                      <w:rPr>
                        <w:rFonts w:ascii="SimHei" w:hAnsi="SimHei" w:eastAsia="SimHei" w:cs="SimHei"/>
                        <w:color w:val="231F20"/>
                        <w:spacing w:val="-6"/>
                        <w:sz w:val="20"/>
                        <w:szCs w:val="20"/>
                      </w:rPr>
                      <w:t xml:space="preserve">宿迁绿色产业洽谈会。 </w:t>
                    </w:r>
                    <w:r>
                      <w:rPr>
                        <w:rFonts w:ascii="Times New Roman" w:hAnsi="Times New Roman" w:eastAsia="Times New Roman" w:cs="Times New Roman"/>
                        <w:color w:val="231F20"/>
                        <w:spacing w:val="-6"/>
                        <w:sz w:val="20"/>
                        <w:szCs w:val="20"/>
                      </w:rPr>
                      <w:t xml:space="preserve">2021 </w:t>
                    </w:r>
                    <w:r>
                      <w:rPr>
                        <w:rFonts w:ascii="微软雅黑" w:hAnsi="微软雅黑" w:eastAsia="微软雅黑" w:cs="微软雅黑"/>
                        <w:color w:val="231F20"/>
                        <w:spacing w:val="-6"/>
                        <w:sz w:val="20"/>
                        <w:szCs w:val="20"/>
                      </w:rPr>
                      <w:t xml:space="preserve">年 </w:t>
                    </w:r>
                    <w:r>
                      <w:rPr>
                        <w:rFonts w:ascii="Times New Roman" w:hAnsi="Times New Roman" w:eastAsia="Times New Roman" w:cs="Times New Roman"/>
                        <w:color w:val="231F20"/>
                        <w:spacing w:val="-6"/>
                        <w:sz w:val="20"/>
                        <w:szCs w:val="20"/>
                      </w:rPr>
                      <w:t xml:space="preserve">9 </w:t>
                    </w:r>
                    <w:r>
                      <w:rPr>
                        <w:rFonts w:ascii="微软雅黑" w:hAnsi="微软雅黑" w:eastAsia="微软雅黑" w:cs="微软雅黑"/>
                        <w:color w:val="231F20"/>
                        <w:spacing w:val="-6"/>
                        <w:sz w:val="20"/>
                        <w:szCs w:val="20"/>
                      </w:rPr>
                      <w:t xml:space="preserve">月 </w:t>
                    </w:r>
                    <w:r>
                      <w:rPr>
                        <w:rFonts w:ascii="Times New Roman" w:hAnsi="Times New Roman" w:eastAsia="Times New Roman" w:cs="Times New Roman"/>
                        <w:color w:val="231F20"/>
                        <w:spacing w:val="-6"/>
                        <w:sz w:val="20"/>
                        <w:szCs w:val="20"/>
                      </w:rPr>
                      <w:t xml:space="preserve">28 </w:t>
                    </w:r>
                    <w:r>
                      <w:rPr>
                        <w:rFonts w:ascii="微软雅黑" w:hAnsi="微软雅黑" w:eastAsia="微软雅黑" w:cs="微软雅黑"/>
                        <w:color w:val="231F20"/>
                        <w:spacing w:val="-6"/>
                        <w:sz w:val="20"/>
                        <w:szCs w:val="20"/>
                      </w:rPr>
                      <w:t>日，</w:t>
                    </w:r>
                    <w:r>
                      <w:rPr>
                        <w:rFonts w:ascii="Times New Roman" w:hAnsi="Times New Roman" w:eastAsia="Times New Roman" w:cs="Times New Roman"/>
                        <w:color w:val="231F20"/>
                        <w:spacing w:val="-6"/>
                        <w:sz w:val="20"/>
                        <w:szCs w:val="20"/>
                      </w:rPr>
                      <w:t xml:space="preserve">2021 </w:t>
                    </w:r>
                    <w:r>
                      <w:rPr>
                        <w:rFonts w:ascii="微软雅黑" w:hAnsi="微软雅黑" w:eastAsia="微软雅黑" w:cs="微软雅黑"/>
                        <w:color w:val="231F20"/>
                        <w:spacing w:val="-6"/>
                        <w:sz w:val="20"/>
                        <w:szCs w:val="20"/>
                      </w:rPr>
                      <w:t xml:space="preserve">中国 </w:t>
                    </w:r>
                    <w:r>
                      <w:rPr>
                        <w:rFonts w:ascii="Times New Roman" w:hAnsi="Times New Roman" w:eastAsia="Times New Roman" w:cs="Times New Roman"/>
                        <w:color w:val="231F20"/>
                        <w:spacing w:val="-6"/>
                        <w:sz w:val="20"/>
                        <w:szCs w:val="20"/>
                      </w:rPr>
                      <w:t xml:space="preserve">· </w:t>
                    </w:r>
                    <w:r>
                      <w:rPr>
                        <w:rFonts w:ascii="微软雅黑" w:hAnsi="微软雅黑" w:eastAsia="微软雅黑" w:cs="微软雅黑"/>
                        <w:color w:val="231F20"/>
                        <w:spacing w:val="-6"/>
                        <w:sz w:val="20"/>
                        <w:szCs w:val="20"/>
                      </w:rPr>
                      <w:t>宿迁绿色产业洽谈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8"/>
                        <w:sz w:val="20"/>
                        <w:szCs w:val="20"/>
                      </w:rPr>
                      <w:t>会</w:t>
                    </w:r>
                    <w:r>
                      <w:rPr>
                        <w:rFonts w:ascii="微软雅黑" w:hAnsi="微软雅黑" w:eastAsia="微软雅黑" w:cs="微软雅黑"/>
                        <w:color w:val="231F20"/>
                        <w:spacing w:val="-16"/>
                        <w:sz w:val="20"/>
                        <w:szCs w:val="20"/>
                      </w:rPr>
                      <w:t>突</w:t>
                    </w:r>
                    <w:r>
                      <w:rPr>
                        <w:rFonts w:ascii="微软雅黑" w:hAnsi="微软雅黑" w:eastAsia="微软雅黑" w:cs="微软雅黑"/>
                        <w:color w:val="231F20"/>
                        <w:spacing w:val="-9"/>
                        <w:sz w:val="20"/>
                        <w:szCs w:val="20"/>
                      </w:rPr>
                      <w:t>出展示“</w:t>
                    </w:r>
                    <w:r>
                      <w:rPr>
                        <w:rFonts w:ascii="Times New Roman" w:hAnsi="Times New Roman" w:eastAsia="Times New Roman" w:cs="Times New Roman"/>
                        <w:color w:val="231F20"/>
                        <w:spacing w:val="-9"/>
                        <w:sz w:val="20"/>
                        <w:szCs w:val="20"/>
                      </w:rPr>
                      <w:t>6+3+X</w:t>
                    </w:r>
                    <w:r>
                      <w:rPr>
                        <w:rFonts w:ascii="微软雅黑" w:hAnsi="微软雅黑" w:eastAsia="微软雅黑" w:cs="微软雅黑"/>
                        <w:color w:val="231F20"/>
                        <w:spacing w:val="-9"/>
                        <w:sz w:val="20"/>
                        <w:szCs w:val="20"/>
                      </w:rPr>
                      <w:t>”主导产业，即围绕机电装备、绿色食品、高端纺织、光伏新能源、</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绿色家居、新材料六个主导产业和新一代信息技术、生物医药、数字化三个先导</w:t>
                    </w:r>
                    <w:r>
                      <w:rPr>
                        <w:rFonts w:ascii="微软雅黑" w:hAnsi="微软雅黑" w:eastAsia="微软雅黑" w:cs="微软雅黑"/>
                        <w:color w:val="231F20"/>
                        <w:sz w:val="20"/>
                        <w:szCs w:val="20"/>
                      </w:rPr>
                      <w:t xml:space="preserve">产 </w:t>
                    </w:r>
                    <w:r>
                      <w:rPr>
                        <w:rFonts w:ascii="微软雅黑" w:hAnsi="微软雅黑" w:eastAsia="微软雅黑" w:cs="微软雅黑"/>
                        <w:color w:val="231F20"/>
                        <w:spacing w:val="-1"/>
                        <w:sz w:val="20"/>
                        <w:szCs w:val="20"/>
                      </w:rPr>
                      <w:t>业进行布展 ，集中展示宿迁产业</w:t>
                    </w:r>
                    <w:r>
                      <w:rPr>
                        <w:rFonts w:ascii="微软雅黑" w:hAnsi="微软雅黑" w:eastAsia="微软雅黑" w:cs="微软雅黑"/>
                        <w:color w:val="231F20"/>
                        <w:sz w:val="20"/>
                        <w:szCs w:val="20"/>
                      </w:rPr>
                      <w:t xml:space="preserve">集群及其龙头企业发展成果。经前期洽谈 ，共签约 </w:t>
                    </w:r>
                    <w:r>
                      <w:rPr>
                        <w:rFonts w:ascii="微软雅黑" w:hAnsi="微软雅黑" w:eastAsia="微软雅黑" w:cs="微软雅黑"/>
                        <w:color w:val="231F20"/>
                        <w:spacing w:val="-4"/>
                        <w:sz w:val="20"/>
                        <w:szCs w:val="20"/>
                      </w:rPr>
                      <w:t xml:space="preserve">项目 </w:t>
                    </w:r>
                    <w:r>
                      <w:rPr>
                        <w:rFonts w:ascii="Times New Roman" w:hAnsi="Times New Roman" w:eastAsia="Times New Roman" w:cs="Times New Roman"/>
                        <w:color w:val="231F20"/>
                        <w:spacing w:val="-2"/>
                        <w:sz w:val="20"/>
                        <w:szCs w:val="20"/>
                      </w:rPr>
                      <w:t xml:space="preserve">76 </w:t>
                    </w:r>
                    <w:r>
                      <w:rPr>
                        <w:rFonts w:ascii="微软雅黑" w:hAnsi="微软雅黑" w:eastAsia="微软雅黑" w:cs="微软雅黑"/>
                        <w:color w:val="231F20"/>
                        <w:spacing w:val="-2"/>
                        <w:sz w:val="20"/>
                        <w:szCs w:val="20"/>
                      </w:rPr>
                      <w:t xml:space="preserve">个 ，其中外资项目 </w:t>
                    </w:r>
                    <w:r>
                      <w:rPr>
                        <w:rFonts w:ascii="Times New Roman" w:hAnsi="Times New Roman" w:eastAsia="Times New Roman" w:cs="Times New Roman"/>
                        <w:color w:val="231F20"/>
                        <w:spacing w:val="-2"/>
                        <w:sz w:val="20"/>
                        <w:szCs w:val="20"/>
                      </w:rPr>
                      <w:t xml:space="preserve">7 </w:t>
                    </w:r>
                    <w:r>
                      <w:rPr>
                        <w:rFonts w:ascii="微软雅黑" w:hAnsi="微软雅黑" w:eastAsia="微软雅黑" w:cs="微软雅黑"/>
                        <w:color w:val="231F20"/>
                        <w:spacing w:val="-2"/>
                        <w:sz w:val="20"/>
                        <w:szCs w:val="20"/>
                      </w:rPr>
                      <w:t xml:space="preserve">个，协议投资 </w:t>
                    </w:r>
                    <w:r>
                      <w:rPr>
                        <w:rFonts w:ascii="Times New Roman" w:hAnsi="Times New Roman" w:eastAsia="Times New Roman" w:cs="Times New Roman"/>
                        <w:color w:val="231F20"/>
                        <w:spacing w:val="-2"/>
                        <w:sz w:val="20"/>
                        <w:szCs w:val="20"/>
                      </w:rPr>
                      <w:t xml:space="preserve">2.2 </w:t>
                    </w:r>
                    <w:r>
                      <w:rPr>
                        <w:rFonts w:ascii="微软雅黑" w:hAnsi="微软雅黑" w:eastAsia="微软雅黑" w:cs="微软雅黑"/>
                        <w:color w:val="231F20"/>
                        <w:spacing w:val="-2"/>
                        <w:sz w:val="20"/>
                        <w:szCs w:val="20"/>
                      </w:rPr>
                      <w:t>亿美元。</w:t>
                    </w:r>
                  </w:p>
                  <w:p>
                    <w:pPr>
                      <w:spacing w:before="191" w:line="280" w:lineRule="auto"/>
                      <w:ind w:left="98" w:right="95" w:firstLine="400"/>
                      <w:rPr>
                        <w:rFonts w:ascii="微软雅黑" w:hAnsi="微软雅黑" w:eastAsia="微软雅黑" w:cs="微软雅黑"/>
                        <w:sz w:val="20"/>
                        <w:szCs w:val="20"/>
                      </w:rPr>
                    </w:pPr>
                    <w:r>
                      <w:rPr>
                        <w:rFonts w:ascii="SimHei" w:hAnsi="SimHei" w:eastAsia="SimHei" w:cs="SimHei"/>
                        <w:color w:val="231F20"/>
                        <w:spacing w:val="-1"/>
                        <w:sz w:val="20"/>
                        <w:szCs w:val="20"/>
                      </w:rPr>
                      <w:t>第三届中韩贸易投资博览会。</w:t>
                    </w:r>
                    <w:r>
                      <w:rPr>
                        <w:rFonts w:ascii="Times New Roman" w:hAnsi="Times New Roman" w:eastAsia="Times New Roman" w:cs="Times New Roman"/>
                        <w:color w:val="231F20"/>
                        <w:spacing w:val="-1"/>
                        <w:sz w:val="20"/>
                        <w:szCs w:val="20"/>
                      </w:rPr>
                      <w:t xml:space="preserve">2021 </w:t>
                    </w:r>
                    <w:r>
                      <w:rPr>
                        <w:rFonts w:ascii="微软雅黑" w:hAnsi="微软雅黑" w:eastAsia="微软雅黑" w:cs="微软雅黑"/>
                        <w:color w:val="231F20"/>
                        <w:spacing w:val="-1"/>
                        <w:sz w:val="20"/>
                        <w:szCs w:val="20"/>
                      </w:rPr>
                      <w:t xml:space="preserve">年 </w:t>
                    </w:r>
                    <w:r>
                      <w:rPr>
                        <w:rFonts w:ascii="Times New Roman" w:hAnsi="Times New Roman" w:eastAsia="Times New Roman" w:cs="Times New Roman"/>
                        <w:color w:val="231F20"/>
                        <w:spacing w:val="-1"/>
                        <w:sz w:val="20"/>
                        <w:szCs w:val="20"/>
                      </w:rPr>
                      <w:t xml:space="preserve">10 </w:t>
                    </w:r>
                    <w:r>
                      <w:rPr>
                        <w:rFonts w:ascii="微软雅黑" w:hAnsi="微软雅黑" w:eastAsia="微软雅黑" w:cs="微软雅黑"/>
                        <w:color w:val="231F20"/>
                        <w:spacing w:val="-1"/>
                        <w:sz w:val="20"/>
                        <w:szCs w:val="20"/>
                      </w:rPr>
                      <w:t xml:space="preserve">月 </w:t>
                    </w:r>
                    <w:r>
                      <w:rPr>
                        <w:rFonts w:ascii="Times New Roman" w:hAnsi="Times New Roman" w:eastAsia="Times New Roman" w:cs="Times New Roman"/>
                        <w:color w:val="231F20"/>
                        <w:spacing w:val="-1"/>
                        <w:sz w:val="20"/>
                        <w:szCs w:val="20"/>
                      </w:rPr>
                      <w:t xml:space="preserve">29 </w:t>
                    </w:r>
                    <w:r>
                      <w:rPr>
                        <w:rFonts w:ascii="微软雅黑" w:hAnsi="微软雅黑" w:eastAsia="微软雅黑" w:cs="微软雅黑"/>
                        <w:color w:val="231F20"/>
                        <w:spacing w:val="-1"/>
                        <w:sz w:val="20"/>
                        <w:szCs w:val="20"/>
                      </w:rPr>
                      <w:t xml:space="preserve">日 </w:t>
                    </w:r>
                    <w:r>
                      <w:rPr>
                        <w:rFonts w:ascii="微软雅黑" w:hAnsi="微软雅黑" w:eastAsia="微软雅黑" w:cs="微软雅黑"/>
                        <w:color w:val="231F20"/>
                        <w:sz w:val="20"/>
                        <w:szCs w:val="20"/>
                      </w:rPr>
                      <w:t xml:space="preserve">，第三届中韩贸易投资博览会 </w:t>
                    </w:r>
                    <w:r>
                      <w:rPr>
                        <w:rFonts w:ascii="微软雅黑" w:hAnsi="微软雅黑" w:eastAsia="微软雅黑" w:cs="微软雅黑"/>
                        <w:color w:val="231F20"/>
                        <w:spacing w:val="1"/>
                        <w:sz w:val="20"/>
                        <w:szCs w:val="20"/>
                      </w:rPr>
                      <w:t>暨江苏— 韩国企业家交流会在盐城国际会</w:t>
                    </w:r>
                    <w:r>
                      <w:rPr>
                        <w:rFonts w:ascii="微软雅黑" w:hAnsi="微软雅黑" w:eastAsia="微软雅黑" w:cs="微软雅黑"/>
                        <w:color w:val="231F20"/>
                        <w:sz w:val="20"/>
                        <w:szCs w:val="20"/>
                      </w:rPr>
                      <w:t>展中心开幕。会议期间 ，</w:t>
                    </w:r>
                    <w:r>
                      <w:rPr>
                        <w:rFonts w:ascii="Times New Roman" w:hAnsi="Times New Roman" w:eastAsia="Times New Roman" w:cs="Times New Roman"/>
                        <w:color w:val="231F20"/>
                        <w:sz w:val="20"/>
                        <w:szCs w:val="20"/>
                      </w:rPr>
                      <w:t xml:space="preserve">8 </w:t>
                    </w:r>
                    <w:r>
                      <w:rPr>
                        <w:rFonts w:ascii="微软雅黑" w:hAnsi="微软雅黑" w:eastAsia="微软雅黑" w:cs="微软雅黑"/>
                        <w:color w:val="231F20"/>
                        <w:sz w:val="20"/>
                        <w:szCs w:val="20"/>
                      </w:rPr>
                      <w:t>个外资项目集</w:t>
                    </w:r>
                  </w:p>
                  <w:p>
                    <w:pPr>
                      <w:spacing w:line="202" w:lineRule="auto"/>
                      <w:ind w:left="116"/>
                      <w:rPr>
                        <w:rFonts w:ascii="微软雅黑" w:hAnsi="微软雅黑" w:eastAsia="微软雅黑" w:cs="微软雅黑"/>
                        <w:sz w:val="20"/>
                        <w:szCs w:val="20"/>
                      </w:rPr>
                    </w:pPr>
                    <w:r>
                      <w:rPr>
                        <w:rFonts w:ascii="微软雅黑" w:hAnsi="微软雅黑" w:eastAsia="微软雅黑" w:cs="微软雅黑"/>
                        <w:color w:val="231F20"/>
                        <w:spacing w:val="-8"/>
                        <w:sz w:val="20"/>
                        <w:szCs w:val="20"/>
                      </w:rPr>
                      <w:t>中签</w:t>
                    </w:r>
                    <w:r>
                      <w:rPr>
                        <w:rFonts w:ascii="微软雅黑" w:hAnsi="微软雅黑" w:eastAsia="微软雅黑" w:cs="微软雅黑"/>
                        <w:color w:val="231F20"/>
                        <w:spacing w:val="-7"/>
                        <w:sz w:val="20"/>
                        <w:szCs w:val="20"/>
                      </w:rPr>
                      <w:t>约</w:t>
                    </w:r>
                    <w:r>
                      <w:rPr>
                        <w:rFonts w:ascii="微软雅黑" w:hAnsi="微软雅黑" w:eastAsia="微软雅黑" w:cs="微软雅黑"/>
                        <w:color w:val="231F20"/>
                        <w:spacing w:val="-4"/>
                        <w:sz w:val="20"/>
                        <w:szCs w:val="20"/>
                      </w:rPr>
                      <w:t xml:space="preserve"> ，总投资 </w:t>
                    </w:r>
                    <w:r>
                      <w:rPr>
                        <w:rFonts w:ascii="Times New Roman" w:hAnsi="Times New Roman" w:eastAsia="Times New Roman" w:cs="Times New Roman"/>
                        <w:color w:val="231F20"/>
                        <w:spacing w:val="-4"/>
                        <w:sz w:val="20"/>
                        <w:szCs w:val="20"/>
                      </w:rPr>
                      <w:t xml:space="preserve">33.9 </w:t>
                    </w:r>
                    <w:r>
                      <w:rPr>
                        <w:rFonts w:ascii="微软雅黑" w:hAnsi="微软雅黑" w:eastAsia="微软雅黑" w:cs="微软雅黑"/>
                        <w:color w:val="231F20"/>
                        <w:spacing w:val="-4"/>
                        <w:sz w:val="20"/>
                        <w:szCs w:val="20"/>
                      </w:rPr>
                      <w:t>亿美元。</w:t>
                    </w:r>
                  </w:p>
                </w:txbxContent>
              </v:textbox>
            </v:shape>
            <w10:wrap type="none"/>
            <w10:anchorlock/>
          </v:group>
        </w:pic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8" w:line="323" w:lineRule="exact"/>
        <w:ind w:left="2462"/>
        <w:rPr>
          <w:rFonts w:ascii="SimHei" w:hAnsi="SimHei" w:eastAsia="SimHei" w:cs="SimHei"/>
          <w:sz w:val="24"/>
          <w:szCs w:val="24"/>
        </w:rPr>
      </w:pPr>
      <w:r>
        <w:rPr>
          <w:rFonts w:ascii="SimHei" w:hAnsi="SimHei" w:eastAsia="SimHei" w:cs="SimHei"/>
          <w:color w:val="015DAC"/>
          <w:spacing w:val="4"/>
          <w:position w:val="1"/>
          <w:sz w:val="24"/>
          <w:szCs w:val="24"/>
        </w:rPr>
        <w:t>(三)</w:t>
      </w:r>
      <w:r>
        <w:rPr>
          <w:rFonts w:ascii="SimHei" w:hAnsi="SimHei" w:eastAsia="SimHei" w:cs="SimHei"/>
          <w:color w:val="015DAC"/>
          <w:spacing w:val="3"/>
          <w:position w:val="1"/>
          <w:sz w:val="24"/>
          <w:szCs w:val="24"/>
        </w:rPr>
        <w:t xml:space="preserve"> </w:t>
      </w:r>
      <w:r>
        <w:rPr>
          <w:rFonts w:ascii="SimHei" w:hAnsi="SimHei" w:eastAsia="SimHei" w:cs="SimHei"/>
          <w:color w:val="015DAC"/>
          <w:spacing w:val="2"/>
          <w:position w:val="1"/>
          <w:sz w:val="24"/>
          <w:szCs w:val="24"/>
        </w:rPr>
        <w:t xml:space="preserve">强化投资合作平台建设，开展对口国别 </w:t>
      </w:r>
      <w:r>
        <w:rPr>
          <w:rFonts w:ascii="Times New Roman" w:hAnsi="Times New Roman" w:eastAsia="Times New Roman" w:cs="Times New Roman"/>
          <w:color w:val="015DAC"/>
          <w:spacing w:val="2"/>
          <w:position w:val="1"/>
          <w:sz w:val="24"/>
          <w:szCs w:val="24"/>
        </w:rPr>
        <w:t xml:space="preserve">/ </w:t>
      </w:r>
      <w:r>
        <w:rPr>
          <w:rFonts w:ascii="SimHei" w:hAnsi="SimHei" w:eastAsia="SimHei" w:cs="SimHei"/>
          <w:color w:val="015DAC"/>
          <w:spacing w:val="2"/>
          <w:position w:val="1"/>
          <w:sz w:val="24"/>
          <w:szCs w:val="24"/>
        </w:rPr>
        <w:t>地区招商</w:t>
      </w:r>
    </w:p>
    <w:p>
      <w:pPr>
        <w:spacing w:line="247" w:lineRule="auto"/>
        <w:rPr>
          <w:rFonts w:ascii="Arial"/>
          <w:sz w:val="21"/>
        </w:rPr>
      </w:pPr>
    </w:p>
    <w:p>
      <w:pPr>
        <w:spacing w:before="95" w:line="259" w:lineRule="auto"/>
        <w:ind w:left="1987" w:right="1982" w:firstLine="454"/>
        <w:rPr>
          <w:rFonts w:ascii="微软雅黑" w:hAnsi="微软雅黑" w:eastAsia="微软雅黑" w:cs="微软雅黑"/>
          <w:sz w:val="22"/>
          <w:szCs w:val="22"/>
        </w:rPr>
      </w:pP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年</w:t>
      </w:r>
      <w:r>
        <w:rPr>
          <w:rFonts w:ascii="微软雅黑" w:hAnsi="微软雅黑" w:eastAsia="微软雅黑" w:cs="微软雅黑"/>
          <w:color w:val="231F20"/>
          <w:spacing w:val="-3"/>
          <w:sz w:val="22"/>
          <w:szCs w:val="22"/>
        </w:rPr>
        <w:t xml:space="preserve"> </w:t>
      </w:r>
      <w:r>
        <w:rPr>
          <w:rFonts w:ascii="微软雅黑" w:hAnsi="微软雅黑" w:eastAsia="微软雅黑" w:cs="微软雅黑"/>
          <w:color w:val="231F20"/>
          <w:spacing w:val="-2"/>
          <w:sz w:val="22"/>
          <w:szCs w:val="22"/>
        </w:rPr>
        <w:t xml:space="preserve">，江苏省将 </w:t>
      </w:r>
      <w:r>
        <w:rPr>
          <w:rFonts w:ascii="Times New Roman" w:hAnsi="Times New Roman" w:eastAsia="Times New Roman" w:cs="Times New Roman"/>
          <w:color w:val="231F20"/>
          <w:spacing w:val="-2"/>
          <w:sz w:val="22"/>
          <w:szCs w:val="22"/>
        </w:rPr>
        <w:t xml:space="preserve">9 </w:t>
      </w:r>
      <w:r>
        <w:rPr>
          <w:rFonts w:ascii="微软雅黑" w:hAnsi="微软雅黑" w:eastAsia="微软雅黑" w:cs="微软雅黑"/>
          <w:color w:val="231F20"/>
          <w:spacing w:val="-2"/>
          <w:sz w:val="22"/>
          <w:szCs w:val="22"/>
        </w:rPr>
        <w:t>个国际合作园区和台港澳合作园区定为中国 ( 江苏 )  自 由贸</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易试验区联动创新发展区 ，全力打造江苏省高质量发展新增长极。江苏省指导</w:t>
      </w:r>
      <w:r>
        <w:rPr>
          <w:rFonts w:ascii="微软雅黑" w:hAnsi="微软雅黑" w:eastAsia="微软雅黑" w:cs="微软雅黑"/>
          <w:color w:val="231F20"/>
          <w:sz w:val="22"/>
          <w:szCs w:val="22"/>
        </w:rPr>
        <w:t xml:space="preserve">各地依 </w:t>
      </w:r>
      <w:r>
        <w:rPr>
          <w:rFonts w:ascii="微软雅黑" w:hAnsi="微软雅黑" w:eastAsia="微软雅黑" w:cs="微软雅黑"/>
          <w:color w:val="231F20"/>
          <w:spacing w:val="8"/>
          <w:sz w:val="22"/>
          <w:szCs w:val="22"/>
        </w:rPr>
        <w:t xml:space="preserve">托中欧 </w:t>
      </w:r>
      <w:r>
        <w:rPr>
          <w:rFonts w:ascii="微软雅黑" w:hAnsi="微软雅黑" w:eastAsia="微软雅黑" w:cs="微软雅黑"/>
          <w:color w:val="231F20"/>
          <w:spacing w:val="6"/>
          <w:sz w:val="22"/>
          <w:szCs w:val="22"/>
        </w:rPr>
        <w:t>(</w:t>
      </w:r>
      <w:r>
        <w:rPr>
          <w:rFonts w:ascii="微软雅黑" w:hAnsi="微软雅黑" w:eastAsia="微软雅黑" w:cs="微软雅黑"/>
          <w:color w:val="231F20"/>
          <w:spacing w:val="4"/>
          <w:sz w:val="22"/>
          <w:szCs w:val="22"/>
        </w:rPr>
        <w:t xml:space="preserve"> 常州 ) 检验检测认证国际合作产业园、中德 ( 常州 ) 创新产业园、无锡中韩</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集成电路产业园、中 日 ( 苏州 ) 地方发展合作示范区、中德 ( 太仓 ) 绿色低碳</w:t>
      </w:r>
      <w:r>
        <w:rPr>
          <w:rFonts w:ascii="微软雅黑" w:hAnsi="微软雅黑" w:eastAsia="微软雅黑" w:cs="微软雅黑"/>
          <w:color w:val="231F20"/>
          <w:spacing w:val="2"/>
          <w:sz w:val="22"/>
          <w:szCs w:val="22"/>
        </w:rPr>
        <w:t>合</w:t>
      </w:r>
      <w:r>
        <w:rPr>
          <w:rFonts w:ascii="微软雅黑" w:hAnsi="微软雅黑" w:eastAsia="微软雅黑" w:cs="微软雅黑"/>
          <w:color w:val="231F20"/>
          <w:sz w:val="22"/>
          <w:szCs w:val="22"/>
        </w:rPr>
        <w:t xml:space="preserve">作园 区等地方性投资合作平台 ，推动多双边机制下的地方合作 ，通过开展国际合作产业园 </w:t>
      </w:r>
      <w:r>
        <w:rPr>
          <w:rFonts w:ascii="微软雅黑" w:hAnsi="微软雅黑" w:eastAsia="微软雅黑" w:cs="微软雅黑"/>
          <w:color w:val="231F20"/>
          <w:spacing w:val="1"/>
          <w:sz w:val="22"/>
          <w:szCs w:val="22"/>
        </w:rPr>
        <w:t>和合作示范区交流会和推介会 ，完善投资合作机制等 ，深入开展对口国别 (</w:t>
      </w:r>
      <w:r>
        <w:rPr>
          <w:rFonts w:ascii="微软雅黑" w:hAnsi="微软雅黑" w:eastAsia="微软雅黑" w:cs="微软雅黑"/>
          <w:color w:val="231F20"/>
          <w:sz w:val="22"/>
          <w:szCs w:val="22"/>
        </w:rPr>
        <w:t xml:space="preserve"> 地区 ) 招 </w:t>
      </w:r>
      <w:r>
        <w:rPr>
          <w:rFonts w:ascii="微软雅黑" w:hAnsi="微软雅黑" w:eastAsia="微软雅黑" w:cs="微软雅黑"/>
          <w:color w:val="231F20"/>
          <w:spacing w:val="1"/>
          <w:sz w:val="22"/>
          <w:szCs w:val="22"/>
        </w:rPr>
        <w:t>商引资工作，促进投资项目精</w:t>
      </w:r>
      <w:r>
        <w:rPr>
          <w:rFonts w:ascii="微软雅黑" w:hAnsi="微软雅黑" w:eastAsia="微软雅黑" w:cs="微软雅黑"/>
          <w:color w:val="231F20"/>
          <w:sz w:val="22"/>
          <w:szCs w:val="22"/>
        </w:rPr>
        <w:t>准对接。</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4771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bookmarkStart w:id="85" w:name="_bookmark72"/>
      <w:bookmarkEnd w:id="85"/>
      <w:bookmarkStart w:id="86" w:name="_bookmark71"/>
      <w:bookmarkEnd w:id="86"/>
      <w:bookmarkStart w:id="87" w:name="_bookmark70"/>
      <w:bookmarkEnd w:id="87"/>
      <w:r>
        <w:rPr>
          <w:rFonts w:ascii="SimHei" w:hAnsi="SimHei" w:eastAsia="SimHei" w:cs="SimHei"/>
          <w:color w:val="1A67B3"/>
          <w:spacing w:val="36"/>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57" name="IM 357"/>
            <wp:cNvGraphicFramePr/>
            <a:graphic xmlns:a="http://schemas.openxmlformats.org/drawingml/2006/main">
              <a:graphicData uri="http://schemas.openxmlformats.org/drawingml/2006/picture">
                <pic:pic xmlns:pic="http://schemas.openxmlformats.org/drawingml/2006/picture">
                  <pic:nvPicPr>
                    <pic:cNvPr id="357" name="IM 357"/>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73</w:t>
      </w: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8306" w:lineRule="exact"/>
        <w:ind w:firstLine="1989"/>
        <w:textAlignment w:val="center"/>
      </w:pPr>
      <w:r>
        <w:pict>
          <v:group id="_x0000_s1476" o:spid="_x0000_s1476" o:spt="203" style="height:415.3pt;width:413.6pt;" coordsize="8272,8305">
            <o:lock v:ext="edit"/>
            <v:rect id="_x0000_s1477" o:spid="_x0000_s1477" o:spt="1" style="position:absolute;left:0;top:0;height:8305;width:8272;" fillcolor="#004876" filled="t" stroked="f" coordsize="21600,21600">
              <v:path/>
              <v:fill on="t" opacity="6425f" focussize="0,0"/>
              <v:stroke on="f"/>
              <v:imagedata o:title=""/>
              <o:lock v:ext="edit"/>
            </v:rect>
            <v:shape id="_x0000_s1478" o:spid="_x0000_s1478" o:spt="202" type="#_x0000_t202" style="position:absolute;left:377;top:376;height:7617;width:7504;" filled="f" stroked="f" coordsize="21600,21600">
              <v:path/>
              <v:fill on="f" focussize="0,0"/>
              <v:stroke on="f"/>
              <v:imagedata o:title=""/>
              <o:lock v:ext="edit" aspectratio="f"/>
              <v:textbox inset="0mm,0mm,0mm,0mm">
                <w:txbxContent>
                  <w:p>
                    <w:pPr>
                      <w:spacing w:before="20" w:line="40" w:lineRule="exact"/>
                      <w:ind w:firstLine="20"/>
                      <w:textAlignment w:val="center"/>
                    </w:pPr>
                    <w:r>
                      <w:drawing>
                        <wp:inline distT="0" distB="0" distL="0" distR="0">
                          <wp:extent cx="4739005" cy="25400"/>
                          <wp:effectExtent l="0" t="0" r="0" b="0"/>
                          <wp:docPr id="359" name="IM 359"/>
                          <wp:cNvGraphicFramePr/>
                          <a:graphic xmlns:a="http://schemas.openxmlformats.org/drawingml/2006/main">
                            <a:graphicData uri="http://schemas.openxmlformats.org/drawingml/2006/picture">
                              <pic:pic xmlns:pic="http://schemas.openxmlformats.org/drawingml/2006/picture">
                                <pic:nvPicPr>
                                  <pic:cNvPr id="359" name="IM 359"/>
                                  <pic:cNvPicPr/>
                                </pic:nvPicPr>
                                <pic:blipFill>
                                  <a:blip r:embed="rId151"/>
                                  <a:stretch>
                                    <a:fillRect/>
                                  </a:stretch>
                                </pic:blipFill>
                                <pic:spPr>
                                  <a:xfrm>
                                    <a:off x="0" y="0"/>
                                    <a:ext cx="4739119" cy="25400"/>
                                  </a:xfrm>
                                  <a:prstGeom prst="rect">
                                    <a:avLst/>
                                  </a:prstGeom>
                                </pic:spPr>
                              </pic:pic>
                            </a:graphicData>
                          </a:graphic>
                        </wp:inline>
                      </w:drawing>
                    </w:r>
                  </w:p>
                  <w:p>
                    <w:pPr>
                      <w:spacing w:before="134" w:line="205" w:lineRule="auto"/>
                      <w:ind w:left="148"/>
                      <w:rPr>
                        <w:rFonts w:ascii="Times New Roman" w:hAnsi="Times New Roman" w:eastAsia="Times New Roman" w:cs="Times New Roman"/>
                        <w:sz w:val="22"/>
                        <w:szCs w:val="22"/>
                      </w:rPr>
                    </w:pPr>
                    <w:r>
                      <w:rPr>
                        <w:rFonts w:ascii="SimHei" w:hAnsi="SimHei" w:eastAsia="SimHei" w:cs="SimHei"/>
                        <w:color w:val="015DAC"/>
                        <w:spacing w:val="-9"/>
                        <w:sz w:val="22"/>
                        <w:szCs w:val="22"/>
                      </w:rPr>
                      <w:t xml:space="preserve">专栏 </w:t>
                    </w:r>
                    <w:r>
                      <w:rPr>
                        <w:rFonts w:ascii="Times New Roman" w:hAnsi="Times New Roman" w:eastAsia="Times New Roman" w:cs="Times New Roman"/>
                        <w:color w:val="015DAC"/>
                        <w:spacing w:val="-9"/>
                        <w:sz w:val="22"/>
                        <w:szCs w:val="22"/>
                      </w:rPr>
                      <w:t>3-3</w:t>
                    </w:r>
                  </w:p>
                  <w:p>
                    <w:pPr>
                      <w:spacing w:line="370" w:lineRule="exact"/>
                      <w:ind w:left="1163"/>
                      <w:rPr>
                        <w:rFonts w:ascii="SimHei" w:hAnsi="SimHei" w:eastAsia="SimHei" w:cs="SimHei"/>
                        <w:sz w:val="28"/>
                        <w:szCs w:val="28"/>
                      </w:rPr>
                    </w:pPr>
                    <w:r>
                      <w:rPr>
                        <w:rFonts w:ascii="SimHei" w:hAnsi="SimHei" w:eastAsia="SimHei" w:cs="SimHei"/>
                        <w:color w:val="015DAC"/>
                        <w:spacing w:val="1"/>
                        <w:position w:val="1"/>
                        <w:sz w:val="28"/>
                        <w:szCs w:val="28"/>
                        <w14:textOutline w14:w="3175" w14:cap="flat" w14:cmpd="sng">
                          <w14:solidFill>
                            <w14:srgbClr w14:val="015DAC"/>
                          </w14:solidFill>
                          <w14:prstDash w14:val="solid"/>
                          <w14:miter w14:val="0"/>
                        </w14:textOutline>
                      </w:rPr>
                      <w:t>2021</w:t>
                    </w:r>
                    <w:r>
                      <w:rPr>
                        <w:rFonts w:ascii="SimHei" w:hAnsi="SimHei" w:eastAsia="SimHei" w:cs="SimHei"/>
                        <w:color w:val="015DAC"/>
                        <w:spacing w:val="1"/>
                        <w:position w:val="1"/>
                        <w:sz w:val="28"/>
                        <w:szCs w:val="28"/>
                      </w:rPr>
                      <w:t xml:space="preserve"> </w:t>
                    </w:r>
                    <w:r>
                      <w:rPr>
                        <w:rFonts w:ascii="SimHei" w:hAnsi="SimHei" w:eastAsia="SimHei" w:cs="SimHei"/>
                        <w:color w:val="015DAC"/>
                        <w:spacing w:val="1"/>
                        <w:position w:val="1"/>
                        <w:sz w:val="28"/>
                        <w:szCs w:val="28"/>
                        <w14:textOutline w14:w="3175" w14:cap="flat" w14:cmpd="sng">
                          <w14:solidFill>
                            <w14:srgbClr w14:val="015DAC"/>
                          </w14:solidFill>
                          <w14:prstDash w14:val="solid"/>
                          <w14:miter w14:val="0"/>
                        </w14:textOutline>
                      </w:rPr>
                      <w:t>年江苏省主要</w:t>
                    </w:r>
                    <w:r>
                      <w:rPr>
                        <w:rFonts w:ascii="SimHei" w:hAnsi="SimHei" w:eastAsia="SimHei" w:cs="SimHei"/>
                        <w:color w:val="015DAC"/>
                        <w:position w:val="1"/>
                        <w:sz w:val="28"/>
                        <w:szCs w:val="28"/>
                        <w14:textOutline w14:w="3175" w14:cap="flat" w14:cmpd="sng">
                          <w14:solidFill>
                            <w14:srgbClr w14:val="015DAC"/>
                          </w14:solidFill>
                          <w14:prstDash w14:val="solid"/>
                          <w14:miter w14:val="0"/>
                        </w14:textOutline>
                      </w:rPr>
                      <w:t>国际合作园区引资情况</w:t>
                    </w:r>
                  </w:p>
                  <w:p>
                    <w:pPr>
                      <w:spacing w:before="206" w:line="40" w:lineRule="exact"/>
                      <w:ind w:firstLine="20"/>
                      <w:textAlignment w:val="center"/>
                    </w:pPr>
                    <w:r>
                      <w:drawing>
                        <wp:inline distT="0" distB="0" distL="0" distR="0">
                          <wp:extent cx="4739005" cy="2540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52"/>
                                  <a:stretch>
                                    <a:fillRect/>
                                  </a:stretch>
                                </pic:blipFill>
                                <pic:spPr>
                                  <a:xfrm>
                                    <a:off x="0" y="0"/>
                                    <a:ext cx="4739119" cy="25400"/>
                                  </a:xfrm>
                                  <a:prstGeom prst="rect">
                                    <a:avLst/>
                                  </a:prstGeom>
                                </pic:spPr>
                              </pic:pic>
                            </a:graphicData>
                          </a:graphic>
                        </wp:inline>
                      </w:drawing>
                    </w:r>
                  </w:p>
                  <w:p>
                    <w:pPr>
                      <w:spacing w:line="303" w:lineRule="auto"/>
                      <w:rPr>
                        <w:rFonts w:ascii="Arial"/>
                        <w:sz w:val="21"/>
                      </w:rPr>
                    </w:pPr>
                  </w:p>
                  <w:p>
                    <w:pPr>
                      <w:spacing w:line="303" w:lineRule="auto"/>
                      <w:rPr>
                        <w:rFonts w:ascii="Arial"/>
                        <w:sz w:val="21"/>
                      </w:rPr>
                    </w:pPr>
                  </w:p>
                  <w:p>
                    <w:pPr>
                      <w:spacing w:line="304" w:lineRule="auto"/>
                      <w:rPr>
                        <w:rFonts w:ascii="Arial"/>
                        <w:sz w:val="21"/>
                      </w:rPr>
                    </w:pPr>
                  </w:p>
                  <w:p>
                    <w:pPr>
                      <w:spacing w:before="86" w:line="286" w:lineRule="auto"/>
                      <w:ind w:left="144" w:right="54" w:firstLine="428"/>
                      <w:rPr>
                        <w:rFonts w:ascii="微软雅黑" w:hAnsi="微软雅黑" w:eastAsia="微软雅黑" w:cs="微软雅黑"/>
                        <w:sz w:val="20"/>
                        <w:szCs w:val="20"/>
                      </w:rPr>
                    </w:pPr>
                    <w:r>
                      <w:rPr>
                        <w:rFonts w:ascii="SimHei" w:hAnsi="SimHei" w:eastAsia="SimHei" w:cs="SimHei"/>
                        <w:color w:val="231F20"/>
                        <w:spacing w:val="8"/>
                        <w:sz w:val="20"/>
                        <w:szCs w:val="20"/>
                      </w:rPr>
                      <w:t>中欧(常州) 检验检测认证国际合作产业园。</w:t>
                    </w:r>
                    <w:r>
                      <w:rPr>
                        <w:rFonts w:ascii="微软雅黑" w:hAnsi="微软雅黑" w:eastAsia="微软雅黑" w:cs="微软雅黑"/>
                        <w:color w:val="231F20"/>
                        <w:spacing w:val="8"/>
                        <w:sz w:val="20"/>
                        <w:szCs w:val="20"/>
                      </w:rPr>
                      <w:t xml:space="preserve">作为江苏省首批 </w:t>
                    </w:r>
                    <w:r>
                      <w:rPr>
                        <w:rFonts w:ascii="Times New Roman" w:hAnsi="Times New Roman" w:eastAsia="Times New Roman" w:cs="Times New Roman"/>
                        <w:color w:val="231F20"/>
                        <w:spacing w:val="8"/>
                        <w:sz w:val="20"/>
                        <w:szCs w:val="20"/>
                      </w:rPr>
                      <w:t xml:space="preserve">9 </w:t>
                    </w:r>
                    <w:r>
                      <w:rPr>
                        <w:rFonts w:ascii="微软雅黑" w:hAnsi="微软雅黑" w:eastAsia="微软雅黑" w:cs="微软雅黑"/>
                        <w:color w:val="231F20"/>
                        <w:spacing w:val="8"/>
                        <w:sz w:val="20"/>
                        <w:szCs w:val="20"/>
                      </w:rPr>
                      <w:t>家国际合</w:t>
                    </w:r>
                    <w:r>
                      <w:rPr>
                        <w:rFonts w:ascii="微软雅黑" w:hAnsi="微软雅黑" w:eastAsia="微软雅黑" w:cs="微软雅黑"/>
                        <w:color w:val="231F20"/>
                        <w:spacing w:val="6"/>
                        <w:sz w:val="20"/>
                        <w:szCs w:val="20"/>
                      </w:rPr>
                      <w:t>作</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0"/>
                        <w:sz w:val="20"/>
                        <w:szCs w:val="20"/>
                      </w:rPr>
                      <w:t>园</w:t>
                    </w:r>
                    <w:r>
                      <w:rPr>
                        <w:rFonts w:ascii="微软雅黑" w:hAnsi="微软雅黑" w:eastAsia="微软雅黑" w:cs="微软雅黑"/>
                        <w:color w:val="231F20"/>
                        <w:spacing w:val="8"/>
                        <w:sz w:val="20"/>
                        <w:szCs w:val="20"/>
                      </w:rPr>
                      <w:t>区</w:t>
                    </w:r>
                    <w:r>
                      <w:rPr>
                        <w:rFonts w:ascii="微软雅黑" w:hAnsi="微软雅黑" w:eastAsia="微软雅黑" w:cs="微软雅黑"/>
                        <w:color w:val="231F20"/>
                        <w:spacing w:val="5"/>
                        <w:sz w:val="20"/>
                        <w:szCs w:val="20"/>
                      </w:rPr>
                      <w:t xml:space="preserve">之一，  中欧 ( 常州 ) 检验检测认证国际合作产业园自 </w:t>
                    </w:r>
                    <w:r>
                      <w:rPr>
                        <w:rFonts w:ascii="Times New Roman" w:hAnsi="Times New Roman" w:eastAsia="Times New Roman" w:cs="Times New Roman"/>
                        <w:color w:val="231F20"/>
                        <w:spacing w:val="5"/>
                        <w:sz w:val="20"/>
                        <w:szCs w:val="20"/>
                      </w:rPr>
                      <w:t xml:space="preserve">2016 </w:t>
                    </w:r>
                    <w:r>
                      <w:rPr>
                        <w:rFonts w:ascii="微软雅黑" w:hAnsi="微软雅黑" w:eastAsia="微软雅黑" w:cs="微软雅黑"/>
                        <w:color w:val="231F20"/>
                        <w:spacing w:val="5"/>
                        <w:sz w:val="20"/>
                        <w:szCs w:val="20"/>
                      </w:rPr>
                      <w:t>年开园以来引进</w:t>
                    </w:r>
                    <w:r>
                      <w:rPr>
                        <w:rFonts w:ascii="微软雅黑" w:hAnsi="微软雅黑" w:eastAsia="微软雅黑" w:cs="微软雅黑"/>
                        <w:color w:val="231F20"/>
                        <w:sz w:val="20"/>
                        <w:szCs w:val="20"/>
                      </w:rPr>
                      <w:t xml:space="preserve"> </w:t>
                    </w:r>
                    <w:r>
                      <w:rPr>
                        <w:rFonts w:ascii="Times New Roman" w:hAnsi="Times New Roman" w:eastAsia="Times New Roman" w:cs="Times New Roman"/>
                        <w:color w:val="231F20"/>
                        <w:spacing w:val="-2"/>
                        <w:sz w:val="20"/>
                        <w:szCs w:val="20"/>
                      </w:rPr>
                      <w:t xml:space="preserve">130 </w:t>
                    </w:r>
                    <w:r>
                      <w:rPr>
                        <w:rFonts w:ascii="微软雅黑" w:hAnsi="微软雅黑" w:eastAsia="微软雅黑" w:cs="微软雅黑"/>
                        <w:color w:val="231F20"/>
                        <w:spacing w:val="-2"/>
                        <w:sz w:val="20"/>
                        <w:szCs w:val="20"/>
                      </w:rPr>
                      <w:t>多家国</w:t>
                    </w:r>
                    <w:r>
                      <w:rPr>
                        <w:rFonts w:ascii="微软雅黑" w:hAnsi="微软雅黑" w:eastAsia="微软雅黑" w:cs="微软雅黑"/>
                        <w:color w:val="231F20"/>
                        <w:spacing w:val="-1"/>
                        <w:sz w:val="20"/>
                        <w:szCs w:val="20"/>
                      </w:rPr>
                      <w:t>际检验检测认证及其上下游机构，形成了检验检测产业规模化、集群化、</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 xml:space="preserve">生态化 </w:t>
                    </w:r>
                    <w:r>
                      <w:rPr>
                        <w:rFonts w:ascii="微软雅黑" w:hAnsi="微软雅黑" w:eastAsia="微软雅黑" w:cs="微软雅黑"/>
                        <w:color w:val="231F20"/>
                        <w:spacing w:val="4"/>
                        <w:sz w:val="20"/>
                        <w:szCs w:val="20"/>
                      </w:rPr>
                      <w:t>、</w:t>
                    </w:r>
                    <w:r>
                      <w:rPr>
                        <w:rFonts w:ascii="微软雅黑" w:hAnsi="微软雅黑" w:eastAsia="微软雅黑" w:cs="微软雅黑"/>
                        <w:color w:val="231F20"/>
                        <w:spacing w:val="3"/>
                        <w:sz w:val="20"/>
                        <w:szCs w:val="20"/>
                      </w:rPr>
                      <w:t>国际化发展的崭新局面 ，为江苏省开展对口国别 ( 地区 ) 招商引资工作</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作出了</w:t>
                    </w:r>
                    <w:r>
                      <w:rPr>
                        <w:rFonts w:ascii="微软雅黑" w:hAnsi="微软雅黑" w:eastAsia="微软雅黑" w:cs="微软雅黑"/>
                        <w:color w:val="231F20"/>
                        <w:spacing w:val="2"/>
                        <w:sz w:val="20"/>
                        <w:szCs w:val="20"/>
                      </w:rPr>
                      <w:t>良好的示范。</w:t>
                    </w:r>
                  </w:p>
                  <w:p>
                    <w:pPr>
                      <w:spacing w:before="178" w:line="291" w:lineRule="auto"/>
                      <w:ind w:left="146" w:right="50" w:firstLine="426"/>
                      <w:rPr>
                        <w:rFonts w:ascii="微软雅黑" w:hAnsi="微软雅黑" w:eastAsia="微软雅黑" w:cs="微软雅黑"/>
                        <w:sz w:val="20"/>
                        <w:szCs w:val="20"/>
                      </w:rPr>
                    </w:pPr>
                    <w:r>
                      <w:rPr>
                        <w:rFonts w:ascii="SimHei" w:hAnsi="SimHei" w:eastAsia="SimHei" w:cs="SimHei"/>
                        <w:color w:val="231F20"/>
                        <w:spacing w:val="-4"/>
                        <w:sz w:val="20"/>
                        <w:szCs w:val="20"/>
                      </w:rPr>
                      <w:t>中</w:t>
                    </w:r>
                    <w:r>
                      <w:rPr>
                        <w:rFonts w:ascii="SimHei" w:hAnsi="SimHei" w:eastAsia="SimHei" w:cs="SimHei"/>
                        <w:color w:val="231F20"/>
                        <w:spacing w:val="-3"/>
                        <w:sz w:val="20"/>
                        <w:szCs w:val="20"/>
                      </w:rPr>
                      <w:t xml:space="preserve">德(常州) 创新产业园。 </w:t>
                    </w:r>
                    <w:r>
                      <w:rPr>
                        <w:rFonts w:ascii="Times New Roman" w:hAnsi="Times New Roman" w:eastAsia="Times New Roman" w:cs="Times New Roman"/>
                        <w:color w:val="231F20"/>
                        <w:spacing w:val="-3"/>
                        <w:sz w:val="20"/>
                        <w:szCs w:val="20"/>
                      </w:rPr>
                      <w:t xml:space="preserve">2020 </w:t>
                    </w:r>
                    <w:r>
                      <w:rPr>
                        <w:rFonts w:ascii="微软雅黑" w:hAnsi="微软雅黑" w:eastAsia="微软雅黑" w:cs="微软雅黑"/>
                        <w:color w:val="231F20"/>
                        <w:spacing w:val="-3"/>
                        <w:sz w:val="20"/>
                        <w:szCs w:val="20"/>
                      </w:rPr>
                      <w:t xml:space="preserve">年 </w:t>
                    </w:r>
                    <w:r>
                      <w:rPr>
                        <w:rFonts w:ascii="Times New Roman" w:hAnsi="Times New Roman" w:eastAsia="Times New Roman" w:cs="Times New Roman"/>
                        <w:color w:val="231F20"/>
                        <w:spacing w:val="-3"/>
                        <w:sz w:val="20"/>
                        <w:szCs w:val="20"/>
                      </w:rPr>
                      <w:t xml:space="preserve">9 </w:t>
                    </w:r>
                    <w:r>
                      <w:rPr>
                        <w:rFonts w:ascii="微软雅黑" w:hAnsi="微软雅黑" w:eastAsia="微软雅黑" w:cs="微软雅黑"/>
                        <w:color w:val="231F20"/>
                        <w:spacing w:val="-3"/>
                        <w:sz w:val="20"/>
                        <w:szCs w:val="20"/>
                      </w:rPr>
                      <w:t xml:space="preserve">月 </w:t>
                    </w:r>
                    <w:r>
                      <w:rPr>
                        <w:rFonts w:ascii="Times New Roman" w:hAnsi="Times New Roman" w:eastAsia="Times New Roman" w:cs="Times New Roman"/>
                        <w:color w:val="231F20"/>
                        <w:spacing w:val="-3"/>
                        <w:sz w:val="20"/>
                        <w:szCs w:val="20"/>
                      </w:rPr>
                      <w:t xml:space="preserve">28 </w:t>
                    </w:r>
                    <w:r>
                      <w:rPr>
                        <w:rFonts w:ascii="微软雅黑" w:hAnsi="微软雅黑" w:eastAsia="微软雅黑" w:cs="微软雅黑"/>
                        <w:color w:val="231F20"/>
                        <w:spacing w:val="-3"/>
                        <w:sz w:val="20"/>
                        <w:szCs w:val="20"/>
                      </w:rPr>
                      <w:t>日中德( 常州 )创新产业园开园开园，</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开园一年多来，产业园</w:t>
                    </w:r>
                    <w:r>
                      <w:rPr>
                        <w:rFonts w:ascii="微软雅黑" w:hAnsi="微软雅黑" w:eastAsia="微软雅黑" w:cs="微软雅黑"/>
                        <w:color w:val="231F20"/>
                        <w:spacing w:val="-3"/>
                        <w:sz w:val="20"/>
                        <w:szCs w:val="20"/>
                      </w:rPr>
                      <w:t>围</w:t>
                    </w:r>
                    <w:r>
                      <w:rPr>
                        <w:rFonts w:ascii="微软雅黑" w:hAnsi="微软雅黑" w:eastAsia="微软雅黑" w:cs="微软雅黑"/>
                        <w:color w:val="231F20"/>
                        <w:spacing w:val="-2"/>
                        <w:sz w:val="20"/>
                        <w:szCs w:val="20"/>
                      </w:rPr>
                      <w:t>绕“五新产业”开展招商，吸引了多家行业隐形冠军投资。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 xml:space="preserve">截至 </w:t>
                    </w:r>
                    <w:r>
                      <w:rPr>
                        <w:rFonts w:ascii="Times New Roman" w:hAnsi="Times New Roman" w:eastAsia="Times New Roman" w:cs="Times New Roman"/>
                        <w:color w:val="231F20"/>
                        <w:spacing w:val="-6"/>
                        <w:sz w:val="20"/>
                        <w:szCs w:val="20"/>
                      </w:rPr>
                      <w:t>2</w:t>
                    </w:r>
                    <w:r>
                      <w:rPr>
                        <w:rFonts w:ascii="Times New Roman" w:hAnsi="Times New Roman" w:eastAsia="Times New Roman" w:cs="Times New Roman"/>
                        <w:color w:val="231F20"/>
                        <w:spacing w:val="-5"/>
                        <w:sz w:val="20"/>
                        <w:szCs w:val="20"/>
                      </w:rPr>
                      <w:t>0</w:t>
                    </w:r>
                    <w:r>
                      <w:rPr>
                        <w:rFonts w:ascii="Times New Roman" w:hAnsi="Times New Roman" w:eastAsia="Times New Roman" w:cs="Times New Roman"/>
                        <w:color w:val="231F20"/>
                        <w:spacing w:val="-3"/>
                        <w:sz w:val="20"/>
                        <w:szCs w:val="20"/>
                      </w:rPr>
                      <w:t xml:space="preserve">22 </w:t>
                    </w:r>
                    <w:r>
                      <w:rPr>
                        <w:rFonts w:ascii="微软雅黑" w:hAnsi="微软雅黑" w:eastAsia="微软雅黑" w:cs="微软雅黑"/>
                        <w:color w:val="231F20"/>
                        <w:spacing w:val="-3"/>
                        <w:sz w:val="20"/>
                        <w:szCs w:val="20"/>
                      </w:rPr>
                      <w:t xml:space="preserve">年 </w:t>
                    </w:r>
                    <w:r>
                      <w:rPr>
                        <w:rFonts w:ascii="Times New Roman" w:hAnsi="Times New Roman" w:eastAsia="Times New Roman" w:cs="Times New Roman"/>
                        <w:color w:val="231F20"/>
                        <w:spacing w:val="-3"/>
                        <w:sz w:val="20"/>
                        <w:szCs w:val="20"/>
                      </w:rPr>
                      <w:t xml:space="preserve">6 </w:t>
                    </w:r>
                    <w:r>
                      <w:rPr>
                        <w:rFonts w:ascii="微软雅黑" w:hAnsi="微软雅黑" w:eastAsia="微软雅黑" w:cs="微软雅黑"/>
                        <w:color w:val="231F20"/>
                        <w:spacing w:val="-3"/>
                        <w:sz w:val="20"/>
                        <w:szCs w:val="20"/>
                      </w:rPr>
                      <w:t xml:space="preserve">月，  园区已集聚德资企业 </w:t>
                    </w:r>
                    <w:r>
                      <w:rPr>
                        <w:rFonts w:ascii="Times New Roman" w:hAnsi="Times New Roman" w:eastAsia="Times New Roman" w:cs="Times New Roman"/>
                        <w:color w:val="231F20"/>
                        <w:spacing w:val="-3"/>
                        <w:sz w:val="20"/>
                        <w:szCs w:val="20"/>
                      </w:rPr>
                      <w:t xml:space="preserve">40 </w:t>
                    </w:r>
                    <w:r>
                      <w:rPr>
                        <w:rFonts w:ascii="微软雅黑" w:hAnsi="微软雅黑" w:eastAsia="微软雅黑" w:cs="微软雅黑"/>
                        <w:color w:val="231F20"/>
                        <w:spacing w:val="-3"/>
                        <w:sz w:val="20"/>
                        <w:szCs w:val="20"/>
                      </w:rPr>
                      <w:t xml:space="preserve">家 ，总投资超 </w:t>
                    </w:r>
                    <w:r>
                      <w:rPr>
                        <w:rFonts w:ascii="Times New Roman" w:hAnsi="Times New Roman" w:eastAsia="Times New Roman" w:cs="Times New Roman"/>
                        <w:color w:val="231F20"/>
                        <w:spacing w:val="-3"/>
                        <w:sz w:val="20"/>
                        <w:szCs w:val="20"/>
                      </w:rPr>
                      <w:t>9</w:t>
                    </w:r>
                    <w:r>
                      <w:rPr>
                        <w:rFonts w:ascii="微软雅黑" w:hAnsi="微软雅黑" w:eastAsia="微软雅黑" w:cs="微软雅黑"/>
                        <w:color w:val="231F20"/>
                        <w:spacing w:val="-3"/>
                        <w:sz w:val="20"/>
                        <w:szCs w:val="20"/>
                      </w:rPr>
                      <w:t>亿欧元。</w:t>
                    </w:r>
                  </w:p>
                  <w:p>
                    <w:pPr>
                      <w:spacing w:before="179" w:line="280" w:lineRule="auto"/>
                      <w:ind w:left="148" w:right="131" w:firstLine="424"/>
                      <w:rPr>
                        <w:rFonts w:ascii="微软雅黑" w:hAnsi="微软雅黑" w:eastAsia="微软雅黑" w:cs="微软雅黑"/>
                        <w:sz w:val="20"/>
                        <w:szCs w:val="20"/>
                      </w:rPr>
                    </w:pPr>
                    <w:r>
                      <w:rPr>
                        <w:rFonts w:ascii="SimHei" w:hAnsi="SimHei" w:eastAsia="SimHei" w:cs="SimHei"/>
                        <w:color w:val="231F20"/>
                        <w:spacing w:val="4"/>
                        <w:sz w:val="20"/>
                        <w:szCs w:val="20"/>
                      </w:rPr>
                      <w:t>中日(苏州)地方发展合作示范区。</w:t>
                    </w:r>
                    <w:r>
                      <w:rPr>
                        <w:rFonts w:ascii="Times New Roman" w:hAnsi="Times New Roman" w:eastAsia="Times New Roman" w:cs="Times New Roman"/>
                        <w:color w:val="231F20"/>
                        <w:spacing w:val="4"/>
                        <w:sz w:val="20"/>
                        <w:szCs w:val="20"/>
                      </w:rPr>
                      <w:t xml:space="preserve">2021 </w:t>
                    </w:r>
                    <w:r>
                      <w:rPr>
                        <w:rFonts w:ascii="微软雅黑" w:hAnsi="微软雅黑" w:eastAsia="微软雅黑" w:cs="微软雅黑"/>
                        <w:color w:val="231F20"/>
                        <w:spacing w:val="4"/>
                        <w:sz w:val="20"/>
                        <w:szCs w:val="20"/>
                      </w:rPr>
                      <w:t xml:space="preserve">年 </w:t>
                    </w:r>
                    <w:r>
                      <w:rPr>
                        <w:rFonts w:ascii="Times New Roman" w:hAnsi="Times New Roman" w:eastAsia="Times New Roman" w:cs="Times New Roman"/>
                        <w:color w:val="231F20"/>
                        <w:spacing w:val="4"/>
                        <w:sz w:val="20"/>
                        <w:szCs w:val="20"/>
                      </w:rPr>
                      <w:t xml:space="preserve">9 </w:t>
                    </w:r>
                    <w:r>
                      <w:rPr>
                        <w:rFonts w:ascii="微软雅黑" w:hAnsi="微软雅黑" w:eastAsia="微软雅黑" w:cs="微软雅黑"/>
                        <w:color w:val="231F20"/>
                        <w:spacing w:val="4"/>
                        <w:sz w:val="20"/>
                        <w:szCs w:val="20"/>
                      </w:rPr>
                      <w:t xml:space="preserve">月 </w:t>
                    </w:r>
                    <w:r>
                      <w:rPr>
                        <w:rFonts w:ascii="Times New Roman" w:hAnsi="Times New Roman" w:eastAsia="Times New Roman" w:cs="Times New Roman"/>
                        <w:color w:val="231F20"/>
                        <w:spacing w:val="4"/>
                        <w:sz w:val="20"/>
                        <w:szCs w:val="20"/>
                      </w:rPr>
                      <w:t xml:space="preserve">6 </w:t>
                    </w:r>
                    <w:r>
                      <w:rPr>
                        <w:rFonts w:ascii="微软雅黑" w:hAnsi="微软雅黑" w:eastAsia="微软雅黑" w:cs="微软雅黑"/>
                        <w:color w:val="231F20"/>
                        <w:spacing w:val="4"/>
                        <w:sz w:val="20"/>
                        <w:szCs w:val="20"/>
                      </w:rPr>
                      <w:t>日，  中 日 ( 苏州 ) 地</w:t>
                    </w:r>
                    <w:r>
                      <w:rPr>
                        <w:rFonts w:ascii="微软雅黑" w:hAnsi="微软雅黑" w:eastAsia="微软雅黑" w:cs="微软雅黑"/>
                        <w:color w:val="231F20"/>
                        <w:sz w:val="20"/>
                        <w:szCs w:val="20"/>
                      </w:rPr>
                      <w:t xml:space="preserve">方发 </w:t>
                    </w:r>
                    <w:r>
                      <w:rPr>
                        <w:rFonts w:ascii="微软雅黑" w:hAnsi="微软雅黑" w:eastAsia="微软雅黑" w:cs="微软雅黑"/>
                        <w:color w:val="231F20"/>
                        <w:spacing w:val="1"/>
                        <w:sz w:val="20"/>
                        <w:szCs w:val="20"/>
                      </w:rPr>
                      <w:t>展合作示</w:t>
                    </w:r>
                    <w:r>
                      <w:rPr>
                        <w:rFonts w:ascii="微软雅黑" w:hAnsi="微软雅黑" w:eastAsia="微软雅黑" w:cs="微软雅黑"/>
                        <w:color w:val="231F20"/>
                        <w:sz w:val="20"/>
                        <w:szCs w:val="20"/>
                      </w:rPr>
                      <w:t xml:space="preserve">范区设立一周年 ，累计集聚日资企业及中日合作项目、平台等超 </w:t>
                    </w:r>
                    <w:r>
                      <w:rPr>
                        <w:rFonts w:ascii="Times New Roman" w:hAnsi="Times New Roman" w:eastAsia="Times New Roman" w:cs="Times New Roman"/>
                        <w:color w:val="231F20"/>
                        <w:sz w:val="20"/>
                        <w:szCs w:val="20"/>
                      </w:rPr>
                      <w:t>200</w:t>
                    </w:r>
                    <w:r>
                      <w:rPr>
                        <w:rFonts w:ascii="微软雅黑" w:hAnsi="微软雅黑" w:eastAsia="微软雅黑" w:cs="微软雅黑"/>
                        <w:color w:val="231F20"/>
                        <w:sz w:val="20"/>
                        <w:szCs w:val="20"/>
                      </w:rPr>
                      <w:t xml:space="preserve">个， </w:t>
                    </w:r>
                    <w:r>
                      <w:rPr>
                        <w:rFonts w:ascii="微软雅黑" w:hAnsi="微软雅黑" w:eastAsia="微软雅黑" w:cs="微软雅黑"/>
                        <w:color w:val="231F20"/>
                        <w:spacing w:val="-1"/>
                        <w:sz w:val="20"/>
                        <w:szCs w:val="20"/>
                      </w:rPr>
                      <w:t xml:space="preserve">签约日资项目 </w:t>
                    </w:r>
                    <w:r>
                      <w:rPr>
                        <w:rFonts w:ascii="Times New Roman" w:hAnsi="Times New Roman" w:eastAsia="Times New Roman" w:cs="Times New Roman"/>
                        <w:color w:val="231F20"/>
                        <w:spacing w:val="-1"/>
                        <w:sz w:val="20"/>
                        <w:szCs w:val="20"/>
                      </w:rPr>
                      <w:t xml:space="preserve">92 </w:t>
                    </w:r>
                    <w:r>
                      <w:rPr>
                        <w:rFonts w:ascii="微软雅黑" w:hAnsi="微软雅黑" w:eastAsia="微软雅黑" w:cs="微软雅黑"/>
                        <w:color w:val="231F20"/>
                        <w:spacing w:val="-1"/>
                        <w:sz w:val="20"/>
                        <w:szCs w:val="20"/>
                      </w:rPr>
                      <w:t>个 ，总投资</w:t>
                    </w:r>
                    <w:r>
                      <w:rPr>
                        <w:rFonts w:ascii="微软雅黑" w:hAnsi="微软雅黑" w:eastAsia="微软雅黑" w:cs="微软雅黑"/>
                        <w:color w:val="231F20"/>
                        <w:sz w:val="20"/>
                        <w:szCs w:val="20"/>
                      </w:rPr>
                      <w:t xml:space="preserve">额超 </w:t>
                    </w:r>
                    <w:r>
                      <w:rPr>
                        <w:rFonts w:ascii="Times New Roman" w:hAnsi="Times New Roman" w:eastAsia="Times New Roman" w:cs="Times New Roman"/>
                        <w:color w:val="231F20"/>
                        <w:sz w:val="20"/>
                        <w:szCs w:val="20"/>
                      </w:rPr>
                      <w:t>45</w:t>
                    </w:r>
                    <w:r>
                      <w:rPr>
                        <w:rFonts w:ascii="微软雅黑" w:hAnsi="微软雅黑" w:eastAsia="微软雅黑" w:cs="微软雅黑"/>
                        <w:color w:val="231F20"/>
                        <w:sz w:val="20"/>
                        <w:szCs w:val="20"/>
                      </w:rPr>
                      <w:t xml:space="preserve">亿美元。活动中，合作示范区 </w:t>
                    </w:r>
                    <w:r>
                      <w:rPr>
                        <w:rFonts w:ascii="Times New Roman" w:hAnsi="Times New Roman" w:eastAsia="Times New Roman" w:cs="Times New Roman"/>
                        <w:color w:val="231F20"/>
                        <w:sz w:val="20"/>
                        <w:szCs w:val="20"/>
                      </w:rPr>
                      <w:t xml:space="preserve">210 </w:t>
                    </w:r>
                    <w:r>
                      <w:rPr>
                        <w:rFonts w:ascii="微软雅黑" w:hAnsi="微软雅黑" w:eastAsia="微软雅黑" w:cs="微软雅黑"/>
                        <w:color w:val="231F20"/>
                        <w:sz w:val="20"/>
                        <w:szCs w:val="20"/>
                      </w:rPr>
                      <w:t xml:space="preserve">个重点项目 </w:t>
                    </w:r>
                    <w:r>
                      <w:rPr>
                        <w:rFonts w:ascii="微软雅黑" w:hAnsi="微软雅黑" w:eastAsia="微软雅黑" w:cs="微软雅黑"/>
                        <w:color w:val="231F20"/>
                        <w:spacing w:val="-4"/>
                        <w:sz w:val="20"/>
                        <w:szCs w:val="20"/>
                      </w:rPr>
                      <w:t xml:space="preserve">集中签约 ，总投资额达 </w:t>
                    </w:r>
                    <w:r>
                      <w:rPr>
                        <w:rFonts w:ascii="Times New Roman" w:hAnsi="Times New Roman" w:eastAsia="Times New Roman" w:cs="Times New Roman"/>
                        <w:color w:val="231F20"/>
                        <w:spacing w:val="-4"/>
                        <w:sz w:val="20"/>
                        <w:szCs w:val="20"/>
                      </w:rPr>
                      <w:t xml:space="preserve">427.8 </w:t>
                    </w:r>
                    <w:r>
                      <w:rPr>
                        <w:rFonts w:ascii="微软雅黑" w:hAnsi="微软雅黑" w:eastAsia="微软雅黑" w:cs="微软雅黑"/>
                        <w:color w:val="231F20"/>
                        <w:spacing w:val="-4"/>
                        <w:sz w:val="20"/>
                        <w:szCs w:val="20"/>
                      </w:rPr>
                      <w:t xml:space="preserve">亿元。其中，  引进日资项目 </w:t>
                    </w:r>
                    <w:r>
                      <w:rPr>
                        <w:rFonts w:ascii="Times New Roman" w:hAnsi="Times New Roman" w:eastAsia="Times New Roman" w:cs="Times New Roman"/>
                        <w:color w:val="231F20"/>
                        <w:spacing w:val="-4"/>
                        <w:sz w:val="20"/>
                        <w:szCs w:val="20"/>
                      </w:rPr>
                      <w:t xml:space="preserve">31 </w:t>
                    </w:r>
                    <w:r>
                      <w:rPr>
                        <w:rFonts w:ascii="微软雅黑" w:hAnsi="微软雅黑" w:eastAsia="微软雅黑" w:cs="微软雅黑"/>
                        <w:color w:val="231F20"/>
                        <w:spacing w:val="-4"/>
                        <w:sz w:val="20"/>
                        <w:szCs w:val="20"/>
                      </w:rPr>
                      <w:t xml:space="preserve">个 ，总投资额近 </w:t>
                    </w:r>
                    <w:r>
                      <w:rPr>
                        <w:rFonts w:ascii="Times New Roman" w:hAnsi="Times New Roman" w:eastAsia="Times New Roman" w:cs="Times New Roman"/>
                        <w:color w:val="231F20"/>
                        <w:spacing w:val="-4"/>
                        <w:sz w:val="20"/>
                        <w:szCs w:val="20"/>
                      </w:rPr>
                      <w:t xml:space="preserve">18 </w:t>
                    </w:r>
                    <w:r>
                      <w:rPr>
                        <w:rFonts w:ascii="微软雅黑" w:hAnsi="微软雅黑" w:eastAsia="微软雅黑" w:cs="微软雅黑"/>
                        <w:color w:val="231F20"/>
                        <w:sz w:val="20"/>
                        <w:szCs w:val="20"/>
                      </w:rPr>
                      <w:t>亿</w:t>
                    </w:r>
                  </w:p>
                  <w:p>
                    <w:pPr>
                      <w:spacing w:line="202" w:lineRule="auto"/>
                      <w:ind w:left="154"/>
                      <w:rPr>
                        <w:rFonts w:ascii="微软雅黑" w:hAnsi="微软雅黑" w:eastAsia="微软雅黑" w:cs="微软雅黑"/>
                        <w:sz w:val="20"/>
                        <w:szCs w:val="20"/>
                      </w:rPr>
                    </w:pPr>
                    <w:r>
                      <w:rPr>
                        <w:rFonts w:ascii="微软雅黑" w:hAnsi="微软雅黑" w:eastAsia="微软雅黑" w:cs="微软雅黑"/>
                        <w:color w:val="231F20"/>
                        <w:spacing w:val="-5"/>
                        <w:sz w:val="20"/>
                        <w:szCs w:val="20"/>
                      </w:rPr>
                      <w:t>美</w:t>
                    </w:r>
                    <w:r>
                      <w:rPr>
                        <w:rFonts w:ascii="微软雅黑" w:hAnsi="微软雅黑" w:eastAsia="微软雅黑" w:cs="微软雅黑"/>
                        <w:color w:val="231F20"/>
                        <w:spacing w:val="-3"/>
                        <w:sz w:val="20"/>
                        <w:szCs w:val="20"/>
                      </w:rPr>
                      <w:t>元。</w:t>
                    </w:r>
                  </w:p>
                </w:txbxContent>
              </v:textbox>
            </v:shape>
            <w10:wrap type="none"/>
            <w10:anchorlock/>
          </v:group>
        </w:pic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8" w:line="222" w:lineRule="auto"/>
        <w:ind w:left="2462"/>
        <w:rPr>
          <w:rFonts w:ascii="SimHei" w:hAnsi="SimHei" w:eastAsia="SimHei" w:cs="SimHei"/>
          <w:sz w:val="24"/>
          <w:szCs w:val="24"/>
        </w:rPr>
      </w:pPr>
      <w:r>
        <w:rPr>
          <w:rFonts w:ascii="SimHei" w:hAnsi="SimHei" w:eastAsia="SimHei" w:cs="SimHei"/>
          <w:color w:val="015DAC"/>
          <w:spacing w:val="9"/>
          <w:sz w:val="24"/>
          <w:szCs w:val="24"/>
        </w:rPr>
        <w:t>(</w:t>
      </w:r>
      <w:r>
        <w:rPr>
          <w:rFonts w:ascii="SimHei" w:hAnsi="SimHei" w:eastAsia="SimHei" w:cs="SimHei"/>
          <w:color w:val="015DAC"/>
          <w:spacing w:val="5"/>
          <w:sz w:val="24"/>
          <w:szCs w:val="24"/>
        </w:rPr>
        <w:t>四) 优化投资促进合作机制，精准服务招商引资</w:t>
      </w:r>
    </w:p>
    <w:p>
      <w:pPr>
        <w:spacing w:before="331" w:line="272" w:lineRule="auto"/>
        <w:ind w:left="1998" w:right="1985" w:firstLine="451"/>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江苏省积极发挥投</w:t>
      </w:r>
      <w:r>
        <w:rPr>
          <w:rFonts w:ascii="微软雅黑" w:hAnsi="微软雅黑" w:eastAsia="微软雅黑" w:cs="微软雅黑"/>
          <w:color w:val="231F20"/>
          <w:spacing w:val="1"/>
          <w:sz w:val="22"/>
          <w:szCs w:val="22"/>
        </w:rPr>
        <w:t>资促进合作机制作用 ，设立海外经贸代表处，积极探索建立投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资促进常态化合作机</w:t>
      </w:r>
      <w:r>
        <w:rPr>
          <w:rFonts w:ascii="微软雅黑" w:hAnsi="微软雅黑" w:eastAsia="微软雅黑" w:cs="微软雅黑"/>
          <w:color w:val="231F20"/>
          <w:sz w:val="22"/>
          <w:szCs w:val="22"/>
        </w:rPr>
        <w:t>制，促进江苏省利用外资提质增效。</w:t>
      </w:r>
    </w:p>
    <w:p>
      <w:pPr>
        <w:spacing w:before="173" w:line="261" w:lineRule="auto"/>
        <w:ind w:left="1992" w:right="1982" w:firstLine="450"/>
        <w:rPr>
          <w:rFonts w:ascii="微软雅黑" w:hAnsi="微软雅黑" w:eastAsia="微软雅黑" w:cs="微软雅黑"/>
          <w:sz w:val="22"/>
          <w:szCs w:val="22"/>
        </w:rPr>
      </w:pPr>
      <w:r>
        <w:rPr>
          <w:rFonts w:ascii="SimHei" w:hAnsi="SimHei" w:eastAsia="SimHei" w:cs="SimHei"/>
          <w:color w:val="231F20"/>
          <w:spacing w:val="8"/>
          <w:sz w:val="22"/>
          <w:szCs w:val="22"/>
        </w:rPr>
        <w:t>推动驻外机构开展投资促进活动。</w:t>
      </w:r>
      <w:r>
        <w:rPr>
          <w:rFonts w:ascii="Times New Roman" w:hAnsi="Times New Roman" w:eastAsia="Times New Roman" w:cs="Times New Roman"/>
          <w:color w:val="231F20"/>
          <w:spacing w:val="8"/>
          <w:sz w:val="22"/>
          <w:szCs w:val="22"/>
        </w:rPr>
        <w:t xml:space="preserve">2021 </w:t>
      </w:r>
      <w:r>
        <w:rPr>
          <w:rFonts w:ascii="微软雅黑" w:hAnsi="微软雅黑" w:eastAsia="微软雅黑" w:cs="微软雅黑"/>
          <w:color w:val="231F20"/>
          <w:spacing w:val="8"/>
          <w:sz w:val="22"/>
          <w:szCs w:val="22"/>
        </w:rPr>
        <w:t xml:space="preserve">年，  江苏省商务厅驻外经贸代表处 </w:t>
      </w:r>
      <w:r>
        <w:rPr>
          <w:rFonts w:ascii="微软雅黑" w:hAnsi="微软雅黑" w:eastAsia="微软雅黑" w:cs="微软雅黑"/>
          <w:color w:val="231F20"/>
          <w:spacing w:val="5"/>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江苏省海外经</w:t>
      </w:r>
      <w:r>
        <w:rPr>
          <w:rFonts w:ascii="微软雅黑" w:hAnsi="微软雅黑" w:eastAsia="微软雅黑" w:cs="微软雅黑"/>
          <w:color w:val="231F20"/>
          <w:spacing w:val="5"/>
          <w:sz w:val="22"/>
          <w:szCs w:val="22"/>
        </w:rPr>
        <w:t>贸代表处以线上线下相结合的形式组织开展“云上参访 投资江苏”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“连线</w:t>
      </w:r>
      <w:r>
        <w:rPr>
          <w:rFonts w:ascii="微软雅黑" w:hAnsi="微软雅黑" w:eastAsia="微软雅黑" w:cs="微软雅黑"/>
          <w:color w:val="231F20"/>
          <w:spacing w:val="5"/>
          <w:sz w:val="22"/>
          <w:szCs w:val="22"/>
        </w:rPr>
        <w:t>全</w:t>
      </w:r>
      <w:r>
        <w:rPr>
          <w:rFonts w:ascii="微软雅黑" w:hAnsi="微软雅黑" w:eastAsia="微软雅黑" w:cs="微软雅黑"/>
          <w:color w:val="231F20"/>
          <w:spacing w:val="3"/>
          <w:sz w:val="22"/>
          <w:szCs w:val="22"/>
        </w:rPr>
        <w:t xml:space="preserve">球”等系列招商促进活动，通过“抢抓 </w:t>
      </w:r>
      <w:r>
        <w:rPr>
          <w:rFonts w:ascii="Times New Roman" w:hAnsi="Times New Roman" w:eastAsia="Times New Roman" w:cs="Times New Roman"/>
          <w:color w:val="231F20"/>
          <w:sz w:val="22"/>
          <w:szCs w:val="22"/>
        </w:rPr>
        <w:t>RCEP</w:t>
      </w:r>
      <w:r>
        <w:rPr>
          <w:rFonts w:ascii="Times New Roman" w:hAnsi="Times New Roman" w:eastAsia="Times New Roman" w:cs="Times New Roman"/>
          <w:color w:val="231F20"/>
          <w:spacing w:val="3"/>
          <w:sz w:val="22"/>
          <w:szCs w:val="22"/>
        </w:rPr>
        <w:t xml:space="preserve"> </w:t>
      </w:r>
      <w:r>
        <w:rPr>
          <w:rFonts w:ascii="微软雅黑" w:hAnsi="微软雅黑" w:eastAsia="微软雅黑" w:cs="微软雅黑"/>
          <w:color w:val="231F20"/>
          <w:spacing w:val="3"/>
          <w:sz w:val="22"/>
          <w:szCs w:val="22"/>
        </w:rPr>
        <w:t>机遇促进双向投资交流会”、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w:t>
      </w:r>
      <w:r>
        <w:rPr>
          <w:rFonts w:ascii="微软雅黑" w:hAnsi="微软雅黑" w:eastAsia="微软雅黑" w:cs="微软雅黑"/>
          <w:color w:val="231F20"/>
          <w:spacing w:val="3"/>
          <w:sz w:val="22"/>
          <w:szCs w:val="22"/>
        </w:rPr>
        <w:t>江苏— 日本新能源产业合作交流会” 、“荷兰北布拉邦省— 江苏省可持续的畜牧</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养殖及加工技</w:t>
      </w:r>
      <w:r>
        <w:rPr>
          <w:rFonts w:ascii="微软雅黑" w:hAnsi="微软雅黑" w:eastAsia="微软雅黑" w:cs="微软雅黑"/>
          <w:color w:val="231F20"/>
          <w:spacing w:val="5"/>
          <w:sz w:val="22"/>
          <w:szCs w:val="22"/>
        </w:rPr>
        <w:t>术交流会”等 ，深化与重点开发区挂钩联系工作机制 ，发挥好内外联</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4873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61" name="IM 361"/>
            <wp:cNvGraphicFramePr/>
            <a:graphic xmlns:a="http://schemas.openxmlformats.org/drawingml/2006/main">
              <a:graphicData uri="http://schemas.openxmlformats.org/drawingml/2006/picture">
                <pic:pic xmlns:pic="http://schemas.openxmlformats.org/drawingml/2006/picture">
                  <pic:nvPicPr>
                    <pic:cNvPr id="361" name="IM 361"/>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6"/>
        <w:rPr>
          <w:rFonts w:ascii="SimHei" w:hAnsi="SimHei" w:eastAsia="SimHei" w:cs="SimHei"/>
          <w:sz w:val="21"/>
          <w:szCs w:val="21"/>
        </w:rPr>
      </w:pPr>
      <w:bookmarkStart w:id="88" w:name="_bookmark74"/>
      <w:bookmarkEnd w:id="88"/>
      <w:bookmarkStart w:id="89" w:name="_bookmark73"/>
      <w:bookmarkEnd w:id="89"/>
      <w:r>
        <w:rPr>
          <w:rFonts w:ascii="Arial" w:hAnsi="Arial" w:eastAsia="Arial" w:cs="Arial"/>
          <w:color w:val="231F20"/>
          <w:spacing w:val="39"/>
          <w:sz w:val="20"/>
          <w:szCs w:val="20"/>
        </w:rPr>
        <w:t>7</w:t>
      </w:r>
      <w:r>
        <w:rPr>
          <w:rFonts w:ascii="Arial" w:hAnsi="Arial" w:eastAsia="Arial" w:cs="Arial"/>
          <w:color w:val="231F20"/>
          <w:spacing w:val="21"/>
          <w:sz w:val="20"/>
          <w:szCs w:val="20"/>
        </w:rPr>
        <w:t xml:space="preserve">4  </w:t>
      </w:r>
      <w:r>
        <w:rPr>
          <w:position w:val="-5"/>
          <w:sz w:val="20"/>
          <w:szCs w:val="20"/>
        </w:rPr>
        <w:drawing>
          <wp:inline distT="0" distB="0" distL="0" distR="0">
            <wp:extent cx="3175" cy="147320"/>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363" name="IM 363"/>
            <wp:cNvGraphicFramePr/>
            <a:graphic xmlns:a="http://schemas.openxmlformats.org/drawingml/2006/main">
              <a:graphicData uri="http://schemas.openxmlformats.org/drawingml/2006/picture">
                <pic:pic xmlns:pic="http://schemas.openxmlformats.org/drawingml/2006/picture">
                  <pic:nvPicPr>
                    <pic:cNvPr id="363" name="IM 363"/>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95" w:line="266" w:lineRule="auto"/>
        <w:ind w:left="1993" w:right="1985" w:firstLine="6"/>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动双重功效 ，促进</w:t>
      </w:r>
      <w:r>
        <w:rPr>
          <w:rFonts w:ascii="微软雅黑" w:hAnsi="微软雅黑" w:eastAsia="微软雅黑" w:cs="微软雅黑"/>
          <w:color w:val="231F20"/>
          <w:spacing w:val="-1"/>
          <w:sz w:val="22"/>
          <w:szCs w:val="22"/>
        </w:rPr>
        <w:t>江苏与新加坡 、马来西亚 、  日本 、荷兰等国家双向投资合作深入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对接 ，搭建多方沟通交流合作平台 ，更加精准地服务江苏招商引资 ，推动利用</w:t>
      </w:r>
      <w:r>
        <w:rPr>
          <w:rFonts w:ascii="微软雅黑" w:hAnsi="微软雅黑" w:eastAsia="微软雅黑" w:cs="微软雅黑"/>
          <w:color w:val="231F20"/>
          <w:spacing w:val="3"/>
          <w:sz w:val="22"/>
          <w:szCs w:val="22"/>
        </w:rPr>
        <w:t>外</w:t>
      </w:r>
      <w:r>
        <w:rPr>
          <w:rFonts w:ascii="微软雅黑" w:hAnsi="微软雅黑" w:eastAsia="微软雅黑" w:cs="微软雅黑"/>
          <w:color w:val="231F20"/>
          <w:sz w:val="22"/>
          <w:szCs w:val="22"/>
        </w:rPr>
        <w:t xml:space="preserve">资 </w:t>
      </w:r>
      <w:r>
        <w:rPr>
          <w:rFonts w:ascii="微软雅黑" w:hAnsi="微软雅黑" w:eastAsia="微软雅黑" w:cs="微软雅黑"/>
          <w:color w:val="231F20"/>
          <w:spacing w:val="5"/>
          <w:sz w:val="22"/>
          <w:szCs w:val="22"/>
        </w:rPr>
        <w:t>高</w:t>
      </w:r>
      <w:r>
        <w:rPr>
          <w:rFonts w:ascii="微软雅黑" w:hAnsi="微软雅黑" w:eastAsia="微软雅黑" w:cs="微软雅黑"/>
          <w:color w:val="231F20"/>
          <w:spacing w:val="4"/>
          <w:sz w:val="22"/>
          <w:szCs w:val="22"/>
        </w:rPr>
        <w:t>质量发展。</w:t>
      </w:r>
    </w:p>
    <w:p>
      <w:pPr>
        <w:spacing w:before="174" w:line="259" w:lineRule="auto"/>
        <w:ind w:left="1991" w:right="1980" w:firstLine="453"/>
        <w:rPr>
          <w:rFonts w:ascii="微软雅黑" w:hAnsi="微软雅黑" w:eastAsia="微软雅黑" w:cs="微软雅黑"/>
          <w:sz w:val="22"/>
          <w:szCs w:val="22"/>
        </w:rPr>
      </w:pPr>
      <w:r>
        <w:rPr>
          <w:rFonts w:ascii="SimHei" w:hAnsi="SimHei" w:eastAsia="SimHei" w:cs="SimHei"/>
          <w:color w:val="231F20"/>
          <w:spacing w:val="6"/>
          <w:sz w:val="22"/>
          <w:szCs w:val="22"/>
        </w:rPr>
        <w:t>建立线上国</w:t>
      </w:r>
      <w:r>
        <w:rPr>
          <w:rFonts w:ascii="SimHei" w:hAnsi="SimHei" w:eastAsia="SimHei" w:cs="SimHei"/>
          <w:color w:val="231F20"/>
          <w:spacing w:val="4"/>
          <w:sz w:val="22"/>
          <w:szCs w:val="22"/>
        </w:rPr>
        <w:t>际</w:t>
      </w:r>
      <w:r>
        <w:rPr>
          <w:rFonts w:ascii="SimHei" w:hAnsi="SimHei" w:eastAsia="SimHei" w:cs="SimHei"/>
          <w:color w:val="231F20"/>
          <w:spacing w:val="3"/>
          <w:sz w:val="22"/>
          <w:szCs w:val="22"/>
        </w:rPr>
        <w:t>经贸合作联席会议机制。</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年 ，江苏— 韩国经贸合作联席会议</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第一次会议 、江苏省— 德国</w:t>
      </w:r>
      <w:r>
        <w:rPr>
          <w:rFonts w:ascii="微软雅黑" w:hAnsi="微软雅黑" w:eastAsia="微软雅黑" w:cs="微软雅黑"/>
          <w:color w:val="231F20"/>
          <w:spacing w:val="1"/>
          <w:sz w:val="22"/>
          <w:szCs w:val="22"/>
        </w:rPr>
        <w:t>北威州合作联委会第二次会议 、江苏— 法国经贸合作交</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流会以线上</w:t>
      </w:r>
      <w:r>
        <w:rPr>
          <w:rFonts w:ascii="微软雅黑" w:hAnsi="微软雅黑" w:eastAsia="微软雅黑" w:cs="微软雅黑"/>
          <w:color w:val="231F20"/>
          <w:spacing w:val="3"/>
          <w:sz w:val="22"/>
          <w:szCs w:val="22"/>
        </w:rPr>
        <w:t>形</w:t>
      </w:r>
      <w:r>
        <w:rPr>
          <w:rFonts w:ascii="微软雅黑" w:hAnsi="微软雅黑" w:eastAsia="微软雅黑" w:cs="微软雅黑"/>
          <w:color w:val="231F20"/>
          <w:spacing w:val="2"/>
          <w:sz w:val="22"/>
          <w:szCs w:val="22"/>
        </w:rPr>
        <w:t>式召开 ，进一步深化江苏省与韩国 、德国 、法国的双向投资合作 ，探</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索建立投资促进常态化合作机制，加强在新一代信</w:t>
      </w:r>
      <w:r>
        <w:rPr>
          <w:rFonts w:ascii="微软雅黑" w:hAnsi="微软雅黑" w:eastAsia="微软雅黑" w:cs="微软雅黑"/>
          <w:color w:val="231F20"/>
          <w:spacing w:val="-1"/>
          <w:sz w:val="22"/>
          <w:szCs w:val="22"/>
        </w:rPr>
        <w:t>息技术 、高端装备制造 、新材料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数字经</w:t>
      </w:r>
      <w:r>
        <w:rPr>
          <w:rFonts w:ascii="微软雅黑" w:hAnsi="微软雅黑" w:eastAsia="微软雅黑" w:cs="微软雅黑"/>
          <w:color w:val="231F20"/>
          <w:sz w:val="22"/>
          <w:szCs w:val="22"/>
        </w:rPr>
        <w:t xml:space="preserve">济等高新技术产业和现代服务业领域交流，稳步推进在投资贸易 、技术创新 、 </w:t>
      </w:r>
      <w:r>
        <w:rPr>
          <w:rFonts w:ascii="微软雅黑" w:hAnsi="微软雅黑" w:eastAsia="微软雅黑" w:cs="微软雅黑"/>
          <w:color w:val="231F20"/>
          <w:spacing w:val="4"/>
          <w:sz w:val="22"/>
          <w:szCs w:val="22"/>
        </w:rPr>
        <w:t>人才培养等领</w:t>
      </w:r>
      <w:r>
        <w:rPr>
          <w:rFonts w:ascii="微软雅黑" w:hAnsi="微软雅黑" w:eastAsia="微软雅黑" w:cs="微软雅黑"/>
          <w:color w:val="231F20"/>
          <w:spacing w:val="3"/>
          <w:sz w:val="22"/>
          <w:szCs w:val="22"/>
        </w:rPr>
        <w:t>域</w:t>
      </w:r>
      <w:r>
        <w:rPr>
          <w:rFonts w:ascii="微软雅黑" w:hAnsi="微软雅黑" w:eastAsia="微软雅黑" w:cs="微软雅黑"/>
          <w:color w:val="231F20"/>
          <w:spacing w:val="2"/>
          <w:sz w:val="22"/>
          <w:szCs w:val="22"/>
        </w:rPr>
        <w:t>合作 ，不断拓展合作领域 ，把双碳 、节能 、环保等新领域的合作纳</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入联委会议机制 ，推动</w:t>
      </w:r>
      <w:r>
        <w:rPr>
          <w:rFonts w:ascii="微软雅黑" w:hAnsi="微软雅黑" w:eastAsia="微软雅黑" w:cs="微软雅黑"/>
          <w:color w:val="231F20"/>
          <w:sz w:val="22"/>
          <w:szCs w:val="22"/>
        </w:rPr>
        <w:t>外商企业参与江苏“碳达峰 、碳中和”工作。</w:t>
      </w:r>
    </w:p>
    <w:p>
      <w:pPr>
        <w:spacing w:line="256" w:lineRule="auto"/>
        <w:rPr>
          <w:rFonts w:ascii="Arial"/>
          <w:sz w:val="21"/>
        </w:rPr>
      </w:pPr>
    </w:p>
    <w:p>
      <w:pPr>
        <w:spacing w:before="91" w:line="227" w:lineRule="auto"/>
        <w:ind w:left="2578"/>
        <w:rPr>
          <w:rFonts w:ascii="SimHei" w:hAnsi="SimHei" w:eastAsia="SimHei" w:cs="SimHei"/>
          <w:sz w:val="28"/>
          <w:szCs w:val="28"/>
        </w:rPr>
      </w:pPr>
      <w:r>
        <w:rPr>
          <w:rFonts w:ascii="SimHei" w:hAnsi="SimHei" w:eastAsia="SimHei" w:cs="SimHei"/>
          <w:color w:val="015DAC"/>
          <w:spacing w:val="-6"/>
          <w:sz w:val="28"/>
          <w:szCs w:val="28"/>
        </w:rPr>
        <w:t>四</w:t>
      </w:r>
      <w:r>
        <w:rPr>
          <w:rFonts w:ascii="SimHei" w:hAnsi="SimHei" w:eastAsia="SimHei" w:cs="SimHei"/>
          <w:color w:val="015DAC"/>
          <w:spacing w:val="-4"/>
          <w:sz w:val="28"/>
          <w:szCs w:val="28"/>
        </w:rPr>
        <w:t>、浙江省</w:t>
      </w:r>
    </w:p>
    <w:p>
      <w:pPr>
        <w:spacing w:line="350" w:lineRule="auto"/>
        <w:rPr>
          <w:rFonts w:ascii="Arial"/>
          <w:sz w:val="21"/>
        </w:rPr>
      </w:pPr>
    </w:p>
    <w:p>
      <w:pPr>
        <w:spacing w:before="95" w:line="272" w:lineRule="auto"/>
        <w:ind w:left="1999" w:right="1982" w:firstLine="442"/>
        <w:rPr>
          <w:rFonts w:ascii="微软雅黑" w:hAnsi="微软雅黑" w:eastAsia="微软雅黑" w:cs="微软雅黑"/>
          <w:sz w:val="22"/>
          <w:szCs w:val="22"/>
        </w:rPr>
      </w:pP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 xml:space="preserve">年 ，浙江省深入贯彻落实《外商投资法》，积极拓宽招商渠道、提升服务水 </w:t>
      </w:r>
      <w:r>
        <w:rPr>
          <w:rFonts w:ascii="微软雅黑" w:hAnsi="微软雅黑" w:eastAsia="微软雅黑" w:cs="微软雅黑"/>
          <w:color w:val="231F20"/>
          <w:spacing w:val="1"/>
          <w:sz w:val="22"/>
          <w:szCs w:val="22"/>
        </w:rPr>
        <w:t>平、优化营商环</w:t>
      </w:r>
      <w:r>
        <w:rPr>
          <w:rFonts w:ascii="微软雅黑" w:hAnsi="微软雅黑" w:eastAsia="微软雅黑" w:cs="微软雅黑"/>
          <w:color w:val="231F20"/>
          <w:sz w:val="22"/>
          <w:szCs w:val="22"/>
        </w:rPr>
        <w:t>境，稳外资工作取得积极成效。</w:t>
      </w:r>
    </w:p>
    <w:p>
      <w:pPr>
        <w:spacing w:before="176" w:line="221" w:lineRule="auto"/>
        <w:ind w:left="2462"/>
        <w:rPr>
          <w:rFonts w:ascii="SimHei" w:hAnsi="SimHei" w:eastAsia="SimHei" w:cs="SimHei"/>
          <w:sz w:val="24"/>
          <w:szCs w:val="24"/>
        </w:rPr>
      </w:pPr>
      <w:r>
        <w:rPr>
          <w:rFonts w:ascii="SimHei" w:hAnsi="SimHei" w:eastAsia="SimHei" w:cs="SimHei"/>
          <w:color w:val="015DAC"/>
          <w:spacing w:val="7"/>
          <w:sz w:val="24"/>
          <w:szCs w:val="24"/>
        </w:rPr>
        <w:t>(一) 开展金融服务拓展融资渠</w:t>
      </w:r>
      <w:r>
        <w:rPr>
          <w:rFonts w:ascii="SimHei" w:hAnsi="SimHei" w:eastAsia="SimHei" w:cs="SimHei"/>
          <w:color w:val="015DAC"/>
          <w:spacing w:val="6"/>
          <w:sz w:val="24"/>
          <w:szCs w:val="24"/>
        </w:rPr>
        <w:t>道</w:t>
      </w:r>
    </w:p>
    <w:p>
      <w:pPr>
        <w:tabs>
          <w:tab w:val="left" w:pos="2086"/>
        </w:tabs>
        <w:spacing w:before="329" w:line="262" w:lineRule="auto"/>
        <w:ind w:left="1977" w:right="1984" w:firstLine="470"/>
        <w:rPr>
          <w:rFonts w:ascii="微软雅黑" w:hAnsi="微软雅黑" w:eastAsia="微软雅黑" w:cs="微软雅黑"/>
          <w:sz w:val="22"/>
          <w:szCs w:val="22"/>
        </w:rPr>
      </w:pPr>
      <w:r>
        <w:rPr>
          <w:rFonts w:ascii="微软雅黑" w:hAnsi="微软雅黑" w:eastAsia="微软雅黑" w:cs="微软雅黑"/>
          <w:color w:val="231F20"/>
          <w:spacing w:val="10"/>
          <w:sz w:val="22"/>
          <w:szCs w:val="22"/>
        </w:rPr>
        <w:t>浙江优化</w:t>
      </w:r>
      <w:r>
        <w:rPr>
          <w:rFonts w:ascii="微软雅黑" w:hAnsi="微软雅黑" w:eastAsia="微软雅黑" w:cs="微软雅黑"/>
          <w:color w:val="231F20"/>
          <w:spacing w:val="6"/>
          <w:sz w:val="22"/>
          <w:szCs w:val="22"/>
        </w:rPr>
        <w:t>跨</w:t>
      </w:r>
      <w:r>
        <w:rPr>
          <w:rFonts w:ascii="微软雅黑" w:hAnsi="微软雅黑" w:eastAsia="微软雅黑" w:cs="微软雅黑"/>
          <w:color w:val="231F20"/>
          <w:spacing w:val="5"/>
          <w:sz w:val="22"/>
          <w:szCs w:val="22"/>
        </w:rPr>
        <w:t>境金融服务 ，将本外币合一银行账户体系试点范围扩大至全省 ，提</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升外汇收支便利化水平，</w:t>
      </w:r>
      <w:r>
        <w:rPr>
          <w:rFonts w:ascii="微软雅黑" w:hAnsi="微软雅黑" w:eastAsia="微软雅黑" w:cs="微软雅黑"/>
          <w:color w:val="231F20"/>
          <w:spacing w:val="3"/>
          <w:sz w:val="22"/>
          <w:szCs w:val="22"/>
        </w:rPr>
        <w:t xml:space="preserve"> </w:t>
      </w:r>
      <w:r>
        <w:rPr>
          <w:rFonts w:ascii="微软雅黑" w:hAnsi="微软雅黑" w:eastAsia="微软雅黑" w:cs="微软雅黑"/>
          <w:color w:val="231F20"/>
          <w:spacing w:val="2"/>
          <w:sz w:val="22"/>
          <w:szCs w:val="22"/>
        </w:rPr>
        <w:t xml:space="preserve"> 降低准入门槛 ，提升数字贸易服务 、跨境电商等重点领域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7"/>
          <w:sz w:val="22"/>
          <w:szCs w:val="22"/>
        </w:rPr>
        <w:t>跨</w:t>
      </w:r>
      <w:r>
        <w:rPr>
          <w:rFonts w:ascii="微软雅黑" w:hAnsi="微软雅黑" w:eastAsia="微软雅黑" w:cs="微软雅黑"/>
          <w:color w:val="231F20"/>
          <w:spacing w:val="10"/>
          <w:sz w:val="22"/>
          <w:szCs w:val="22"/>
        </w:rPr>
        <w:t>境人民币贸易投资便利性，  激发市场主体活力 。推动开展合格境外有限合伙人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z w:val="22"/>
          <w:szCs w:val="22"/>
        </w:rPr>
        <w:tab/>
      </w:r>
      <w:r>
        <w:rPr>
          <w:rFonts w:ascii="微软雅黑" w:hAnsi="微软雅黑" w:eastAsia="微软雅黑" w:cs="微软雅黑"/>
          <w:color w:val="231F20"/>
          <w:spacing w:val="-1"/>
          <w:sz w:val="22"/>
          <w:szCs w:val="22"/>
        </w:rPr>
        <w:t xml:space="preserve">( </w:t>
      </w:r>
      <w:r>
        <w:rPr>
          <w:rFonts w:ascii="Times New Roman" w:hAnsi="Times New Roman" w:eastAsia="Times New Roman" w:cs="Times New Roman"/>
          <w:color w:val="231F20"/>
          <w:sz w:val="22"/>
          <w:szCs w:val="22"/>
        </w:rPr>
        <w:t>QFLP</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 试点 、产</w:t>
      </w:r>
      <w:r>
        <w:rPr>
          <w:rFonts w:ascii="微软雅黑" w:hAnsi="微软雅黑" w:eastAsia="微软雅黑" w:cs="微软雅黑"/>
          <w:color w:val="231F20"/>
          <w:sz w:val="22"/>
          <w:szCs w:val="22"/>
        </w:rPr>
        <w:t xml:space="preserve">业基金等新方式吸引外资，  已落户 </w:t>
      </w:r>
      <w:r>
        <w:rPr>
          <w:rFonts w:ascii="Times New Roman" w:hAnsi="Times New Roman" w:eastAsia="Times New Roman" w:cs="Times New Roman"/>
          <w:color w:val="231F20"/>
          <w:sz w:val="22"/>
          <w:szCs w:val="22"/>
        </w:rPr>
        <w:t xml:space="preserve">3 </w:t>
      </w:r>
      <w:r>
        <w:rPr>
          <w:rFonts w:ascii="微软雅黑" w:hAnsi="微软雅黑" w:eastAsia="微软雅黑" w:cs="微软雅黑"/>
          <w:color w:val="231F20"/>
          <w:sz w:val="22"/>
          <w:szCs w:val="22"/>
        </w:rPr>
        <w:t xml:space="preserve">家投资基金 ，注册资本合计 </w:t>
      </w:r>
      <w:r>
        <w:rPr>
          <w:rFonts w:ascii="Times New Roman" w:hAnsi="Times New Roman" w:eastAsia="Times New Roman" w:cs="Times New Roman"/>
          <w:color w:val="231F20"/>
          <w:spacing w:val="4"/>
          <w:sz w:val="22"/>
          <w:szCs w:val="22"/>
        </w:rPr>
        <w:t xml:space="preserve">35 </w:t>
      </w:r>
      <w:r>
        <w:rPr>
          <w:rFonts w:ascii="微软雅黑" w:hAnsi="微软雅黑" w:eastAsia="微软雅黑" w:cs="微软雅黑"/>
          <w:color w:val="231F20"/>
          <w:spacing w:val="4"/>
          <w:sz w:val="22"/>
          <w:szCs w:val="22"/>
        </w:rPr>
        <w:t>亿元</w:t>
      </w:r>
      <w:r>
        <w:rPr>
          <w:rFonts w:ascii="微软雅黑" w:hAnsi="微软雅黑" w:eastAsia="微软雅黑" w:cs="微软雅黑"/>
          <w:color w:val="231F20"/>
          <w:spacing w:val="3"/>
          <w:sz w:val="22"/>
          <w:szCs w:val="22"/>
        </w:rPr>
        <w:t>。</w:t>
      </w:r>
    </w:p>
    <w:p>
      <w:pPr>
        <w:spacing w:before="177" w:line="221" w:lineRule="auto"/>
        <w:ind w:left="2462"/>
        <w:rPr>
          <w:rFonts w:ascii="SimHei" w:hAnsi="SimHei" w:eastAsia="SimHei" w:cs="SimHei"/>
          <w:sz w:val="24"/>
          <w:szCs w:val="24"/>
        </w:rPr>
      </w:pPr>
      <w:r>
        <w:rPr>
          <w:rFonts w:ascii="SimHei" w:hAnsi="SimHei" w:eastAsia="SimHei" w:cs="SimHei"/>
          <w:color w:val="015DAC"/>
          <w:spacing w:val="7"/>
          <w:sz w:val="24"/>
          <w:szCs w:val="24"/>
        </w:rPr>
        <w:t>(二) 支持外资研发中心集聚发</w:t>
      </w:r>
      <w:r>
        <w:rPr>
          <w:rFonts w:ascii="SimHei" w:hAnsi="SimHei" w:eastAsia="SimHei" w:cs="SimHei"/>
          <w:color w:val="015DAC"/>
          <w:spacing w:val="6"/>
          <w:sz w:val="24"/>
          <w:szCs w:val="24"/>
        </w:rPr>
        <w:t>展</w:t>
      </w:r>
    </w:p>
    <w:p>
      <w:pPr>
        <w:tabs>
          <w:tab w:val="left" w:pos="2086"/>
        </w:tabs>
        <w:spacing w:before="334" w:line="260" w:lineRule="auto"/>
        <w:ind w:left="1977" w:right="1970" w:firstLine="470"/>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浙江省商务厅等</w:t>
      </w:r>
      <w:r>
        <w:rPr>
          <w:rFonts w:ascii="微软雅黑" w:hAnsi="微软雅黑" w:eastAsia="微软雅黑" w:cs="微软雅黑"/>
          <w:color w:val="231F20"/>
          <w:spacing w:val="3"/>
          <w:sz w:val="22"/>
          <w:szCs w:val="22"/>
        </w:rPr>
        <w:t>四部门印发《关于执行外资研发中心享受进口税收政策的通知》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z w:val="22"/>
          <w:szCs w:val="22"/>
        </w:rPr>
        <w:tab/>
      </w:r>
      <w:r>
        <w:rPr>
          <w:rFonts w:ascii="微软雅黑" w:hAnsi="微软雅黑" w:eastAsia="微软雅黑" w:cs="微软雅黑"/>
          <w:color w:val="231F20"/>
          <w:spacing w:val="-1"/>
          <w:sz w:val="22"/>
          <w:szCs w:val="22"/>
        </w:rPr>
        <w:t>(</w:t>
      </w:r>
      <w:r>
        <w:rPr>
          <w:rFonts w:ascii="微软雅黑" w:hAnsi="微软雅黑" w:eastAsia="微软雅黑" w:cs="微软雅黑"/>
          <w:color w:val="231F20"/>
          <w:sz w:val="22"/>
          <w:szCs w:val="22"/>
        </w:rPr>
        <w:t xml:space="preserve"> 浙商务联发〔 </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w:t>
      </w:r>
      <w:r>
        <w:rPr>
          <w:rFonts w:ascii="Times New Roman" w:hAnsi="Times New Roman" w:eastAsia="Times New Roman" w:cs="Times New Roman"/>
          <w:color w:val="231F20"/>
          <w:sz w:val="22"/>
          <w:szCs w:val="22"/>
        </w:rPr>
        <w:t xml:space="preserve">161 </w:t>
      </w:r>
      <w:r>
        <w:rPr>
          <w:rFonts w:ascii="微软雅黑" w:hAnsi="微软雅黑" w:eastAsia="微软雅黑" w:cs="微软雅黑"/>
          <w:color w:val="231F20"/>
          <w:sz w:val="22"/>
          <w:szCs w:val="22"/>
        </w:rPr>
        <w:t xml:space="preserve">号 )  ，对外资科学研究机构、技术开发机构进口部分科研 </w:t>
      </w:r>
      <w:r>
        <w:rPr>
          <w:rFonts w:ascii="微软雅黑" w:hAnsi="微软雅黑" w:eastAsia="微软雅黑" w:cs="微软雅黑"/>
          <w:color w:val="231F20"/>
          <w:spacing w:val="2"/>
          <w:sz w:val="22"/>
          <w:szCs w:val="22"/>
        </w:rPr>
        <w:t>教学用品 ，免征进口关税和进口环节增值税、消费税。从申报条件、申报材料、</w:t>
      </w:r>
      <w:r>
        <w:rPr>
          <w:rFonts w:ascii="微软雅黑" w:hAnsi="微软雅黑" w:eastAsia="微软雅黑" w:cs="微软雅黑"/>
          <w:color w:val="231F20"/>
          <w:spacing w:val="1"/>
          <w:sz w:val="22"/>
          <w:szCs w:val="22"/>
        </w:rPr>
        <w:t>申</w:t>
      </w:r>
      <w:r>
        <w:rPr>
          <w:rFonts w:ascii="微软雅黑" w:hAnsi="微软雅黑" w:eastAsia="微软雅黑" w:cs="微软雅黑"/>
          <w:color w:val="231F20"/>
          <w:sz w:val="22"/>
          <w:szCs w:val="22"/>
        </w:rPr>
        <w:t xml:space="preserve">报 </w:t>
      </w:r>
      <w:r>
        <w:rPr>
          <w:rFonts w:ascii="微软雅黑" w:hAnsi="微软雅黑" w:eastAsia="微软雅黑" w:cs="微软雅黑"/>
          <w:color w:val="231F20"/>
          <w:spacing w:val="-2"/>
          <w:sz w:val="22"/>
          <w:szCs w:val="22"/>
        </w:rPr>
        <w:t>和审核流程、审核方式、监督管理五个方</w:t>
      </w:r>
      <w:r>
        <w:rPr>
          <w:rFonts w:ascii="微软雅黑" w:hAnsi="微软雅黑" w:eastAsia="微软雅黑" w:cs="微软雅黑"/>
          <w:color w:val="231F20"/>
          <w:spacing w:val="-1"/>
          <w:sz w:val="22"/>
          <w:szCs w:val="22"/>
        </w:rPr>
        <w:t>面明确了外资企业享受进口税收优惠的   “路</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径” </w:t>
      </w:r>
      <w:r>
        <w:rPr>
          <w:rFonts w:ascii="微软雅黑" w:hAnsi="微软雅黑" w:eastAsia="微软雅黑" w:cs="微软雅黑"/>
          <w:color w:val="231F20"/>
          <w:spacing w:val="2"/>
          <w:sz w:val="22"/>
          <w:szCs w:val="22"/>
        </w:rPr>
        <w:t xml:space="preserve">，使得外资研发中心享受到切实优惠。截至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年底 ，浙江省共有 </w:t>
      </w:r>
      <w:r>
        <w:rPr>
          <w:rFonts w:ascii="Times New Roman" w:hAnsi="Times New Roman" w:eastAsia="Times New Roman" w:cs="Times New Roman"/>
          <w:color w:val="231F20"/>
          <w:spacing w:val="2"/>
          <w:sz w:val="22"/>
          <w:szCs w:val="22"/>
        </w:rPr>
        <w:t xml:space="preserve">220 </w:t>
      </w:r>
      <w:r>
        <w:rPr>
          <w:rFonts w:ascii="微软雅黑" w:hAnsi="微软雅黑" w:eastAsia="微软雅黑" w:cs="微软雅黑"/>
          <w:color w:val="231F20"/>
          <w:spacing w:val="2"/>
          <w:sz w:val="22"/>
          <w:szCs w:val="22"/>
        </w:rPr>
        <w:t>家各类</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外资研发机构，相关进口税收政策将推动外资研发中心进一步集聚。</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4976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r>
        <w:rPr>
          <w:rFonts w:ascii="SimHei" w:hAnsi="SimHei" w:eastAsia="SimHei" w:cs="SimHei"/>
          <w:color w:val="1A67B3"/>
          <w:spacing w:val="36"/>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65" name="IM 365"/>
            <wp:cNvGraphicFramePr/>
            <a:graphic xmlns:a="http://schemas.openxmlformats.org/drawingml/2006/main">
              <a:graphicData uri="http://schemas.openxmlformats.org/drawingml/2006/picture">
                <pic:pic xmlns:pic="http://schemas.openxmlformats.org/drawingml/2006/picture">
                  <pic:nvPicPr>
                    <pic:cNvPr id="365" name="IM 365"/>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75</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8" w:line="222" w:lineRule="auto"/>
        <w:ind w:left="2462"/>
        <w:rPr>
          <w:rFonts w:ascii="SimHei" w:hAnsi="SimHei" w:eastAsia="SimHei" w:cs="SimHei"/>
          <w:sz w:val="24"/>
          <w:szCs w:val="24"/>
        </w:rPr>
      </w:pPr>
      <w:r>
        <w:rPr>
          <w:rFonts w:ascii="SimHei" w:hAnsi="SimHei" w:eastAsia="SimHei" w:cs="SimHei"/>
          <w:color w:val="015DAC"/>
          <w:spacing w:val="7"/>
          <w:sz w:val="24"/>
          <w:szCs w:val="24"/>
        </w:rPr>
        <w:t>(三) 提升对外开放平台引资水</w:t>
      </w:r>
      <w:r>
        <w:rPr>
          <w:rFonts w:ascii="SimHei" w:hAnsi="SimHei" w:eastAsia="SimHei" w:cs="SimHei"/>
          <w:color w:val="015DAC"/>
          <w:spacing w:val="6"/>
          <w:sz w:val="24"/>
          <w:szCs w:val="24"/>
        </w:rPr>
        <w:t>平</w:t>
      </w:r>
    </w:p>
    <w:p>
      <w:pPr>
        <w:spacing w:before="334" w:line="259" w:lineRule="auto"/>
        <w:ind w:left="1994" w:right="1764" w:firstLine="453"/>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浙</w:t>
      </w:r>
      <w:r>
        <w:rPr>
          <w:rFonts w:ascii="微软雅黑" w:hAnsi="微软雅黑" w:eastAsia="微软雅黑" w:cs="微软雅黑"/>
          <w:color w:val="231F20"/>
          <w:spacing w:val="5"/>
          <w:sz w:val="22"/>
          <w:szCs w:val="22"/>
        </w:rPr>
        <w:t>江</w:t>
      </w:r>
      <w:r>
        <w:rPr>
          <w:rFonts w:ascii="微软雅黑" w:hAnsi="微软雅黑" w:eastAsia="微软雅黑" w:cs="微软雅黑"/>
          <w:color w:val="231F20"/>
          <w:spacing w:val="3"/>
          <w:sz w:val="22"/>
          <w:szCs w:val="22"/>
        </w:rPr>
        <w:t>完善各类特殊区域布局，对省级开发区开展综合考核挖潜，采取“有进有退”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方式提升</w:t>
      </w:r>
      <w:r>
        <w:rPr>
          <w:rFonts w:ascii="微软雅黑" w:hAnsi="微软雅黑" w:eastAsia="微软雅黑" w:cs="微软雅黑"/>
          <w:color w:val="231F20"/>
          <w:sz w:val="22"/>
          <w:szCs w:val="22"/>
        </w:rPr>
        <w:t xml:space="preserve">开发区建设水平 ，发挥自贸试验区制度创新优势 ，进一步增强对外开放平台   </w:t>
      </w:r>
      <w:r>
        <w:rPr>
          <w:rFonts w:ascii="微软雅黑" w:hAnsi="微软雅黑" w:eastAsia="微软雅黑" w:cs="微软雅黑"/>
          <w:color w:val="231F20"/>
          <w:spacing w:val="1"/>
          <w:sz w:val="22"/>
          <w:szCs w:val="22"/>
        </w:rPr>
        <w:t>能级。</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 </w:t>
      </w:r>
      <w:r>
        <w:rPr>
          <w:rFonts w:ascii="Times New Roman" w:hAnsi="Times New Roman" w:eastAsia="Times New Roman" w:cs="Times New Roman"/>
          <w:color w:val="231F20"/>
          <w:spacing w:val="1"/>
          <w:sz w:val="22"/>
          <w:szCs w:val="22"/>
        </w:rPr>
        <w:t xml:space="preserve">12 </w:t>
      </w:r>
      <w:r>
        <w:rPr>
          <w:rFonts w:ascii="微软雅黑" w:hAnsi="微软雅黑" w:eastAsia="微软雅黑" w:cs="微软雅黑"/>
          <w:color w:val="231F20"/>
          <w:spacing w:val="1"/>
          <w:sz w:val="22"/>
          <w:szCs w:val="22"/>
        </w:rPr>
        <w:t xml:space="preserve">月 </w:t>
      </w:r>
      <w:r>
        <w:rPr>
          <w:rFonts w:ascii="Times New Roman" w:hAnsi="Times New Roman" w:eastAsia="Times New Roman" w:cs="Times New Roman"/>
          <w:color w:val="231F20"/>
          <w:spacing w:val="1"/>
          <w:sz w:val="22"/>
          <w:szCs w:val="22"/>
        </w:rPr>
        <w:t xml:space="preserve">30 </w:t>
      </w:r>
      <w:r>
        <w:rPr>
          <w:rFonts w:ascii="微软雅黑" w:hAnsi="微软雅黑" w:eastAsia="微软雅黑" w:cs="微软雅黑"/>
          <w:color w:val="231F20"/>
          <w:spacing w:val="1"/>
          <w:sz w:val="22"/>
          <w:szCs w:val="22"/>
        </w:rPr>
        <w:t>日 ，浙</w:t>
      </w:r>
      <w:r>
        <w:rPr>
          <w:rFonts w:ascii="微软雅黑" w:hAnsi="微软雅黑" w:eastAsia="微软雅黑" w:cs="微软雅黑"/>
          <w:color w:val="231F20"/>
          <w:sz w:val="22"/>
          <w:szCs w:val="22"/>
        </w:rPr>
        <w:t xml:space="preserve">江增设文成经济开发区等 </w:t>
      </w:r>
      <w:r>
        <w:rPr>
          <w:rFonts w:ascii="Times New Roman" w:hAnsi="Times New Roman" w:eastAsia="Times New Roman" w:cs="Times New Roman"/>
          <w:color w:val="231F20"/>
          <w:sz w:val="22"/>
          <w:szCs w:val="22"/>
        </w:rPr>
        <w:t xml:space="preserve">13 </w:t>
      </w:r>
      <w:r>
        <w:rPr>
          <w:rFonts w:ascii="微软雅黑" w:hAnsi="微软雅黑" w:eastAsia="微软雅黑" w:cs="微软雅黑"/>
          <w:color w:val="231F20"/>
          <w:sz w:val="22"/>
          <w:szCs w:val="22"/>
        </w:rPr>
        <w:t xml:space="preserve">家省级开发区 ，共设立各   </w:t>
      </w:r>
      <w:r>
        <w:rPr>
          <w:rFonts w:ascii="微软雅黑" w:hAnsi="微软雅黑" w:eastAsia="微软雅黑" w:cs="微软雅黑"/>
          <w:color w:val="231F20"/>
          <w:spacing w:val="-1"/>
          <w:sz w:val="22"/>
          <w:szCs w:val="22"/>
        </w:rPr>
        <w:t xml:space="preserve">级开发区 </w:t>
      </w:r>
      <w:r>
        <w:rPr>
          <w:rFonts w:ascii="Times New Roman" w:hAnsi="Times New Roman" w:eastAsia="Times New Roman" w:cs="Times New Roman"/>
          <w:color w:val="231F20"/>
          <w:spacing w:val="-1"/>
          <w:sz w:val="22"/>
          <w:szCs w:val="22"/>
        </w:rPr>
        <w:t>99</w:t>
      </w:r>
      <w:r>
        <w:rPr>
          <w:rFonts w:ascii="微软雅黑" w:hAnsi="微软雅黑" w:eastAsia="微软雅黑" w:cs="微软雅黑"/>
          <w:color w:val="231F20"/>
          <w:spacing w:val="-1"/>
          <w:sz w:val="22"/>
          <w:szCs w:val="22"/>
        </w:rPr>
        <w:t xml:space="preserve">个、海关特殊监管区 </w:t>
      </w:r>
      <w:r>
        <w:rPr>
          <w:rFonts w:ascii="Times New Roman" w:hAnsi="Times New Roman" w:eastAsia="Times New Roman" w:cs="Times New Roman"/>
          <w:color w:val="231F20"/>
          <w:spacing w:val="-1"/>
          <w:sz w:val="22"/>
          <w:szCs w:val="22"/>
        </w:rPr>
        <w:t xml:space="preserve">12 </w:t>
      </w:r>
      <w:r>
        <w:rPr>
          <w:rFonts w:ascii="微软雅黑" w:hAnsi="微软雅黑" w:eastAsia="微软雅黑" w:cs="微软雅黑"/>
          <w:color w:val="231F20"/>
          <w:spacing w:val="-1"/>
          <w:sz w:val="22"/>
          <w:szCs w:val="22"/>
        </w:rPr>
        <w:t>个及自贸试验区( 含扩展区域 ) ，形成了分层配合</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系统完善的对外开放平台格局。</w:t>
      </w:r>
      <w:r>
        <w:rPr>
          <w:rFonts w:ascii="微软雅黑" w:hAnsi="微软雅黑" w:eastAsia="微软雅黑" w:cs="微软雅黑"/>
          <w:color w:val="231F20"/>
          <w:spacing w:val="-1"/>
          <w:sz w:val="22"/>
          <w:szCs w:val="22"/>
        </w:rPr>
        <w:t xml:space="preserve">  自贸试验区发挥油气产业链招商优势，</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年召开第</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7"/>
          <w:sz w:val="22"/>
          <w:szCs w:val="22"/>
        </w:rPr>
        <w:t>四</w:t>
      </w:r>
      <w:r>
        <w:rPr>
          <w:rFonts w:ascii="微软雅黑" w:hAnsi="微软雅黑" w:eastAsia="微软雅黑" w:cs="微软雅黑"/>
          <w:color w:val="231F20"/>
          <w:spacing w:val="4"/>
          <w:sz w:val="22"/>
          <w:szCs w:val="22"/>
        </w:rPr>
        <w:t xml:space="preserve">届世界油商大会集聚一批外资企业等参与自贸试验区建设 ，促成了 </w:t>
      </w:r>
      <w:r>
        <w:rPr>
          <w:rFonts w:ascii="Times New Roman" w:hAnsi="Times New Roman" w:eastAsia="Times New Roman" w:cs="Times New Roman"/>
          <w:color w:val="231F20"/>
          <w:spacing w:val="4"/>
          <w:sz w:val="22"/>
          <w:szCs w:val="22"/>
        </w:rPr>
        <w:t xml:space="preserve">20 </w:t>
      </w:r>
      <w:r>
        <w:rPr>
          <w:rFonts w:ascii="微软雅黑" w:hAnsi="微软雅黑" w:eastAsia="微软雅黑" w:cs="微软雅黑"/>
          <w:color w:val="231F20"/>
          <w:spacing w:val="4"/>
          <w:sz w:val="22"/>
          <w:szCs w:val="22"/>
        </w:rPr>
        <w:t>个油气及相</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关产</w:t>
      </w:r>
      <w:r>
        <w:rPr>
          <w:rFonts w:ascii="微软雅黑" w:hAnsi="微软雅黑" w:eastAsia="微软雅黑" w:cs="微软雅黑"/>
          <w:color w:val="231F20"/>
          <w:sz w:val="22"/>
          <w:szCs w:val="22"/>
        </w:rPr>
        <w:t>业合作项目。</w:t>
      </w:r>
    </w:p>
    <w:p>
      <w:pPr>
        <w:spacing w:before="179" w:line="221" w:lineRule="auto"/>
        <w:ind w:left="2462"/>
        <w:rPr>
          <w:rFonts w:ascii="SimHei" w:hAnsi="SimHei" w:eastAsia="SimHei" w:cs="SimHei"/>
          <w:sz w:val="24"/>
          <w:szCs w:val="24"/>
        </w:rPr>
      </w:pPr>
      <w:r>
        <w:rPr>
          <w:rFonts w:ascii="SimHei" w:hAnsi="SimHei" w:eastAsia="SimHei" w:cs="SimHei"/>
          <w:color w:val="015DAC"/>
          <w:spacing w:val="7"/>
          <w:sz w:val="24"/>
          <w:szCs w:val="24"/>
        </w:rPr>
        <w:t>(四) 强化外资企业服务机制创</w:t>
      </w:r>
      <w:r>
        <w:rPr>
          <w:rFonts w:ascii="SimHei" w:hAnsi="SimHei" w:eastAsia="SimHei" w:cs="SimHei"/>
          <w:color w:val="015DAC"/>
          <w:spacing w:val="6"/>
          <w:sz w:val="24"/>
          <w:szCs w:val="24"/>
        </w:rPr>
        <w:t>新</w:t>
      </w:r>
    </w:p>
    <w:p>
      <w:pPr>
        <w:spacing w:line="241" w:lineRule="auto"/>
        <w:rPr>
          <w:rFonts w:ascii="Arial"/>
          <w:sz w:val="21"/>
        </w:rPr>
      </w:pPr>
    </w:p>
    <w:p>
      <w:pPr>
        <w:spacing w:before="95" w:line="259" w:lineRule="auto"/>
        <w:ind w:left="1995" w:right="1983" w:firstLine="450"/>
        <w:rPr>
          <w:rFonts w:ascii="微软雅黑" w:hAnsi="微软雅黑" w:eastAsia="微软雅黑" w:cs="微软雅黑"/>
          <w:sz w:val="22"/>
          <w:szCs w:val="22"/>
        </w:rPr>
      </w:pPr>
      <w:r>
        <w:rPr>
          <w:rFonts w:ascii="SimHei" w:hAnsi="SimHei" w:eastAsia="SimHei" w:cs="SimHei"/>
          <w:color w:val="231F20"/>
          <w:spacing w:val="10"/>
          <w:sz w:val="22"/>
          <w:szCs w:val="22"/>
        </w:rPr>
        <w:t>建立健全外商投资企业服务体系。</w:t>
      </w:r>
      <w:r>
        <w:rPr>
          <w:rFonts w:ascii="微软雅黑" w:hAnsi="微软雅黑" w:eastAsia="微软雅黑" w:cs="微软雅黑"/>
          <w:color w:val="231F20"/>
          <w:spacing w:val="10"/>
          <w:sz w:val="22"/>
          <w:szCs w:val="22"/>
        </w:rPr>
        <w:t>杭州定期举办外资企业情感连接交流活动</w:t>
      </w:r>
      <w:r>
        <w:rPr>
          <w:rFonts w:ascii="微软雅黑" w:hAnsi="微软雅黑" w:eastAsia="微软雅黑" w:cs="微软雅黑"/>
          <w:color w:val="231F20"/>
          <w:spacing w:val="5"/>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以定期</w:t>
      </w:r>
      <w:r>
        <w:rPr>
          <w:rFonts w:ascii="微软雅黑" w:hAnsi="微软雅黑" w:eastAsia="微软雅黑" w:cs="微软雅黑"/>
          <w:color w:val="231F20"/>
          <w:spacing w:val="2"/>
          <w:sz w:val="22"/>
          <w:szCs w:val="22"/>
        </w:rPr>
        <w:t>到外资企业走访 、实施问卷调查 、分国别开展企业恳谈会等形式，  创新政企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交流路径 ，增进政企工作互信 ，在外</w:t>
      </w:r>
      <w:r>
        <w:rPr>
          <w:rFonts w:ascii="微软雅黑" w:hAnsi="微软雅黑" w:eastAsia="微软雅黑" w:cs="微软雅黑"/>
          <w:color w:val="231F20"/>
          <w:sz w:val="22"/>
          <w:szCs w:val="22"/>
        </w:rPr>
        <w:t xml:space="preserve">资企业设立 、生存 、发展的全流程中 ，提供及 </w:t>
      </w:r>
      <w:r>
        <w:rPr>
          <w:rFonts w:ascii="微软雅黑" w:hAnsi="微软雅黑" w:eastAsia="微软雅黑" w:cs="微软雅黑"/>
          <w:color w:val="231F20"/>
          <w:spacing w:val="1"/>
          <w:sz w:val="22"/>
          <w:szCs w:val="22"/>
        </w:rPr>
        <w:t>时的服务 ，增强对外资吸引力 。</w:t>
      </w:r>
      <w:r>
        <w:rPr>
          <w:rFonts w:ascii="微软雅黑" w:hAnsi="微软雅黑" w:eastAsia="微软雅黑" w:cs="微软雅黑"/>
          <w:color w:val="231F20"/>
          <w:sz w:val="22"/>
          <w:szCs w:val="22"/>
        </w:rPr>
        <w:t xml:space="preserve">宁波市落实“ 一把手”招商引资责任，  强化项目谋 </w:t>
      </w:r>
      <w:r>
        <w:rPr>
          <w:rFonts w:ascii="微软雅黑" w:hAnsi="微软雅黑" w:eastAsia="微软雅黑" w:cs="微软雅黑"/>
          <w:color w:val="231F20"/>
          <w:spacing w:val="4"/>
          <w:sz w:val="22"/>
          <w:szCs w:val="22"/>
        </w:rPr>
        <w:t xml:space="preserve">划招引，  抓好产业链招商，  </w:t>
      </w:r>
      <w:r>
        <w:rPr>
          <w:rFonts w:ascii="微软雅黑" w:hAnsi="微软雅黑" w:eastAsia="微软雅黑" w:cs="微软雅黑"/>
          <w:color w:val="231F20"/>
          <w:spacing w:val="2"/>
          <w:sz w:val="22"/>
          <w:szCs w:val="22"/>
        </w:rPr>
        <w:t xml:space="preserve">推动现有外资企业增资扩股 。嘉兴组织实施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年利</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用外资百日</w:t>
      </w:r>
      <w:r>
        <w:rPr>
          <w:rFonts w:ascii="微软雅黑" w:hAnsi="微软雅黑" w:eastAsia="微软雅黑" w:cs="微软雅黑"/>
          <w:color w:val="231F20"/>
          <w:spacing w:val="3"/>
          <w:sz w:val="22"/>
          <w:szCs w:val="22"/>
        </w:rPr>
        <w:t>攻坚活动，组织开展全员大招商、企业大走访、项目大提速活动，以“店</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小二”精神服务外资企业发展，  营造更好的营商环境。</w:t>
      </w:r>
    </w:p>
    <w:p>
      <w:pPr>
        <w:spacing w:before="166" w:line="259" w:lineRule="auto"/>
        <w:ind w:left="1995" w:right="1761" w:firstLine="457"/>
        <w:rPr>
          <w:rFonts w:ascii="微软雅黑" w:hAnsi="微软雅黑" w:eastAsia="微软雅黑" w:cs="微软雅黑"/>
          <w:sz w:val="22"/>
          <w:szCs w:val="22"/>
        </w:rPr>
      </w:pPr>
      <w:r>
        <w:rPr>
          <w:rFonts w:ascii="SimHei" w:hAnsi="SimHei" w:eastAsia="SimHei" w:cs="SimHei"/>
          <w:color w:val="231F20"/>
          <w:spacing w:val="14"/>
          <w:sz w:val="22"/>
          <w:szCs w:val="22"/>
        </w:rPr>
        <w:t>实施国</w:t>
      </w:r>
      <w:r>
        <w:rPr>
          <w:rFonts w:ascii="SimHei" w:hAnsi="SimHei" w:eastAsia="SimHei" w:cs="SimHei"/>
          <w:color w:val="231F20"/>
          <w:spacing w:val="13"/>
          <w:sz w:val="22"/>
          <w:szCs w:val="22"/>
        </w:rPr>
        <w:t>际</w:t>
      </w:r>
      <w:r>
        <w:rPr>
          <w:rFonts w:ascii="SimHei" w:hAnsi="SimHei" w:eastAsia="SimHei" w:cs="SimHei"/>
          <w:color w:val="231F20"/>
          <w:spacing w:val="7"/>
          <w:sz w:val="22"/>
          <w:szCs w:val="22"/>
        </w:rPr>
        <w:t>投资单一窗口制度。</w:t>
      </w:r>
      <w:r>
        <w:rPr>
          <w:rFonts w:ascii="微软雅黑" w:hAnsi="微软雅黑" w:eastAsia="微软雅黑" w:cs="微软雅黑"/>
          <w:color w:val="231F20"/>
          <w:spacing w:val="7"/>
          <w:sz w:val="22"/>
          <w:szCs w:val="22"/>
        </w:rPr>
        <w:t xml:space="preserve">浙江在 </w:t>
      </w:r>
      <w:r>
        <w:rPr>
          <w:rFonts w:ascii="Times New Roman" w:hAnsi="Times New Roman" w:eastAsia="Times New Roman" w:cs="Times New Roman"/>
          <w:color w:val="231F20"/>
          <w:spacing w:val="7"/>
          <w:sz w:val="22"/>
          <w:szCs w:val="22"/>
        </w:rPr>
        <w:t xml:space="preserve">2021 </w:t>
      </w:r>
      <w:r>
        <w:rPr>
          <w:rFonts w:ascii="微软雅黑" w:hAnsi="微软雅黑" w:eastAsia="微软雅黑" w:cs="微软雅黑"/>
          <w:color w:val="231F20"/>
          <w:spacing w:val="7"/>
          <w:sz w:val="22"/>
          <w:szCs w:val="22"/>
        </w:rPr>
        <w:t>年第四届进口博览会期间，  上线国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际</w:t>
      </w:r>
      <w:r>
        <w:rPr>
          <w:rFonts w:ascii="微软雅黑" w:hAnsi="微软雅黑" w:eastAsia="微软雅黑" w:cs="微软雅黑"/>
          <w:color w:val="231F20"/>
          <w:spacing w:val="-4"/>
          <w:sz w:val="22"/>
          <w:szCs w:val="22"/>
        </w:rPr>
        <w:t xml:space="preserve">投资单一 窗 口 </w:t>
      </w:r>
      <w:r>
        <w:rPr>
          <w:rFonts w:ascii="Times New Roman" w:hAnsi="Times New Roman" w:eastAsia="Times New Roman" w:cs="Times New Roman"/>
          <w:color w:val="231F20"/>
          <w:spacing w:val="-4"/>
          <w:sz w:val="22"/>
          <w:szCs w:val="22"/>
        </w:rPr>
        <w:t xml:space="preserve">, </w:t>
      </w:r>
      <w:r>
        <w:rPr>
          <w:rFonts w:ascii="微软雅黑" w:hAnsi="微软雅黑" w:eastAsia="微软雅黑" w:cs="微软雅黑"/>
          <w:color w:val="231F20"/>
          <w:spacing w:val="-4"/>
          <w:sz w:val="22"/>
          <w:szCs w:val="22"/>
        </w:rPr>
        <w:t>以“ 一 窗 、一脑 、一服务”为外资企业提供全方位服务 。“ 一 窗”</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是指为跨国企业到浙江投资提供产业地图，  涵盖经济技术开发区 、国际产业合作</w:t>
      </w:r>
      <w:r>
        <w:rPr>
          <w:rFonts w:ascii="微软雅黑" w:hAnsi="微软雅黑" w:eastAsia="微软雅黑" w:cs="微软雅黑"/>
          <w:color w:val="231F20"/>
          <w:spacing w:val="2"/>
          <w:sz w:val="22"/>
          <w:szCs w:val="22"/>
        </w:rPr>
        <w:t>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等近百个产业平台，引导产业优化布局，促进产业要素集聚 </w:t>
      </w:r>
      <w:r>
        <w:rPr>
          <w:rFonts w:ascii="微软雅黑" w:hAnsi="微软雅黑" w:eastAsia="微软雅黑" w:cs="微软雅黑"/>
          <w:color w:val="231F20"/>
          <w:spacing w:val="1"/>
          <w:sz w:val="22"/>
          <w:szCs w:val="22"/>
        </w:rPr>
        <w:t>。“一脑”是指通过“外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商投资大</w:t>
      </w:r>
      <w:r>
        <w:rPr>
          <w:rFonts w:ascii="微软雅黑" w:hAnsi="微软雅黑" w:eastAsia="微软雅黑" w:cs="微软雅黑"/>
          <w:color w:val="231F20"/>
          <w:spacing w:val="3"/>
          <w:sz w:val="22"/>
          <w:szCs w:val="22"/>
        </w:rPr>
        <w:t>脑</w:t>
      </w:r>
      <w:r>
        <w:rPr>
          <w:rFonts w:ascii="微软雅黑" w:hAnsi="微软雅黑" w:eastAsia="微软雅黑" w:cs="微软雅黑"/>
          <w:color w:val="231F20"/>
          <w:spacing w:val="2"/>
          <w:sz w:val="22"/>
          <w:szCs w:val="22"/>
        </w:rPr>
        <w:t>” ，整合浙江产业链信息数据 ，对产业链精准分析，  为地方推荐靶向招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商企业 。“ 一服务”是指为外资企业来浙江洽谈 、落地</w:t>
      </w:r>
      <w:r>
        <w:rPr>
          <w:rFonts w:ascii="微软雅黑" w:hAnsi="微软雅黑" w:eastAsia="微软雅黑" w:cs="微软雅黑"/>
          <w:color w:val="231F20"/>
          <w:sz w:val="22"/>
          <w:szCs w:val="22"/>
        </w:rPr>
        <w:t xml:space="preserve"> 、建设 、投产提供全流程的   </w:t>
      </w:r>
      <w:r>
        <w:rPr>
          <w:rFonts w:ascii="微软雅黑" w:hAnsi="微软雅黑" w:eastAsia="微软雅黑" w:cs="微软雅黑"/>
          <w:color w:val="231F20"/>
          <w:spacing w:val="1"/>
          <w:sz w:val="22"/>
          <w:szCs w:val="22"/>
        </w:rPr>
        <w:t>跟踪服务 。</w:t>
      </w:r>
      <w:r>
        <w:rPr>
          <w:rFonts w:ascii="微软雅黑" w:hAnsi="微软雅黑" w:eastAsia="微软雅黑" w:cs="微软雅黑"/>
          <w:color w:val="231F20"/>
          <w:sz w:val="22"/>
          <w:szCs w:val="22"/>
        </w:rPr>
        <w:t xml:space="preserve">通过对落地外资企业服务进行集成，让企业快速了解政策 、投资 、用工 、  </w:t>
      </w:r>
      <w:r>
        <w:rPr>
          <w:rFonts w:ascii="微软雅黑" w:hAnsi="微软雅黑" w:eastAsia="微软雅黑" w:cs="微软雅黑"/>
          <w:color w:val="231F20"/>
          <w:spacing w:val="-1"/>
          <w:sz w:val="22"/>
          <w:szCs w:val="22"/>
        </w:rPr>
        <w:t>法律 、金融信息，  享受便利化服务 ，真正感受到“浙</w:t>
      </w:r>
      <w:r>
        <w:rPr>
          <w:rFonts w:ascii="微软雅黑" w:hAnsi="微软雅黑" w:eastAsia="微软雅黑" w:cs="微软雅黑"/>
          <w:color w:val="231F20"/>
          <w:sz w:val="22"/>
          <w:szCs w:val="22"/>
        </w:rPr>
        <w:t>是你的家”。</w:t>
      </w:r>
    </w:p>
    <w:p>
      <w:pPr>
        <w:spacing w:before="180" w:line="220" w:lineRule="auto"/>
        <w:ind w:left="2462"/>
        <w:rPr>
          <w:rFonts w:ascii="SimHei" w:hAnsi="SimHei" w:eastAsia="SimHei" w:cs="SimHei"/>
          <w:sz w:val="24"/>
          <w:szCs w:val="24"/>
        </w:rPr>
      </w:pPr>
      <w:r>
        <w:rPr>
          <w:rFonts w:ascii="SimHei" w:hAnsi="SimHei" w:eastAsia="SimHei" w:cs="SimHei"/>
          <w:color w:val="015DAC"/>
          <w:spacing w:val="7"/>
          <w:sz w:val="24"/>
          <w:szCs w:val="24"/>
        </w:rPr>
        <w:t>(五) 完善外资企业投诉处理机</w:t>
      </w:r>
      <w:r>
        <w:rPr>
          <w:rFonts w:ascii="SimHei" w:hAnsi="SimHei" w:eastAsia="SimHei" w:cs="SimHei"/>
          <w:color w:val="015DAC"/>
          <w:spacing w:val="6"/>
          <w:sz w:val="24"/>
          <w:szCs w:val="24"/>
        </w:rPr>
        <w:t>制</w:t>
      </w:r>
    </w:p>
    <w:p>
      <w:pPr>
        <w:spacing w:before="335" w:line="266" w:lineRule="auto"/>
        <w:ind w:left="1994" w:right="1981" w:firstLine="448"/>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2 </w:t>
      </w:r>
      <w:r>
        <w:rPr>
          <w:rFonts w:ascii="微软雅黑" w:hAnsi="微软雅黑" w:eastAsia="微软雅黑" w:cs="微软雅黑"/>
          <w:color w:val="231F20"/>
          <w:spacing w:val="-2"/>
          <w:sz w:val="22"/>
          <w:szCs w:val="22"/>
        </w:rPr>
        <w:t xml:space="preserve">月 </w:t>
      </w:r>
      <w:r>
        <w:rPr>
          <w:rFonts w:ascii="Times New Roman" w:hAnsi="Times New Roman" w:eastAsia="Times New Roman" w:cs="Times New Roman"/>
          <w:color w:val="231F20"/>
          <w:spacing w:val="-2"/>
          <w:sz w:val="22"/>
          <w:szCs w:val="22"/>
        </w:rPr>
        <w:t xml:space="preserve">1 </w:t>
      </w:r>
      <w:r>
        <w:rPr>
          <w:rFonts w:ascii="微软雅黑" w:hAnsi="微软雅黑" w:eastAsia="微软雅黑" w:cs="微软雅黑"/>
          <w:color w:val="231F20"/>
          <w:spacing w:val="-2"/>
          <w:sz w:val="22"/>
          <w:szCs w:val="22"/>
        </w:rPr>
        <w:t>日 ，浙江出台外商投资企业投诉工作办法 ，指定省商务厅作为省</w:t>
      </w:r>
      <w:r>
        <w:rPr>
          <w:rFonts w:ascii="微软雅黑" w:hAnsi="微软雅黑" w:eastAsia="微软雅黑" w:cs="微软雅黑"/>
          <w:color w:val="231F20"/>
          <w:sz w:val="22"/>
          <w:szCs w:val="22"/>
        </w:rPr>
        <w:t xml:space="preserve">级 </w:t>
      </w:r>
      <w:r>
        <w:rPr>
          <w:rFonts w:ascii="微软雅黑" w:hAnsi="微软雅黑" w:eastAsia="微软雅黑" w:cs="微软雅黑"/>
          <w:color w:val="231F20"/>
          <w:spacing w:val="6"/>
          <w:sz w:val="22"/>
          <w:szCs w:val="22"/>
        </w:rPr>
        <w:t>投诉工作部门</w:t>
      </w:r>
      <w:r>
        <w:rPr>
          <w:rFonts w:ascii="微软雅黑" w:hAnsi="微软雅黑" w:eastAsia="微软雅黑" w:cs="微软雅黑"/>
          <w:color w:val="231F20"/>
          <w:spacing w:val="4"/>
          <w:sz w:val="22"/>
          <w:szCs w:val="22"/>
        </w:rPr>
        <w:t>。</w:t>
      </w:r>
      <w:r>
        <w:rPr>
          <w:rFonts w:ascii="微软雅黑" w:hAnsi="微软雅黑" w:eastAsia="微软雅黑" w:cs="微软雅黑"/>
          <w:color w:val="231F20"/>
          <w:spacing w:val="3"/>
          <w:sz w:val="22"/>
          <w:szCs w:val="22"/>
        </w:rPr>
        <w:t>各县级以上地方政府指定的负责受理外商投资企业投诉的部门或者机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构，承担本行</w:t>
      </w:r>
      <w:r>
        <w:rPr>
          <w:rFonts w:ascii="微软雅黑" w:hAnsi="微软雅黑" w:eastAsia="微软雅黑" w:cs="微软雅黑"/>
          <w:color w:val="231F20"/>
          <w:spacing w:val="4"/>
          <w:sz w:val="22"/>
          <w:szCs w:val="22"/>
        </w:rPr>
        <w:t>政</w:t>
      </w:r>
      <w:r>
        <w:rPr>
          <w:rFonts w:ascii="微软雅黑" w:hAnsi="微软雅黑" w:eastAsia="微软雅黑" w:cs="微软雅黑"/>
          <w:color w:val="231F20"/>
          <w:spacing w:val="3"/>
          <w:sz w:val="22"/>
          <w:szCs w:val="22"/>
        </w:rPr>
        <w:t>区域外商投资企业投诉处理工作。投诉工作机构接到完整齐备的投诉</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5078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67" name="IM 367"/>
            <wp:cNvGraphicFramePr/>
            <a:graphic xmlns:a="http://schemas.openxmlformats.org/drawingml/2006/main">
              <a:graphicData uri="http://schemas.openxmlformats.org/drawingml/2006/picture">
                <pic:pic xmlns:pic="http://schemas.openxmlformats.org/drawingml/2006/picture">
                  <pic:nvPicPr>
                    <pic:cNvPr id="367" name="IM 367"/>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6"/>
        <w:rPr>
          <w:rFonts w:ascii="SimHei" w:hAnsi="SimHei" w:eastAsia="SimHei" w:cs="SimHei"/>
          <w:sz w:val="21"/>
          <w:szCs w:val="21"/>
        </w:rPr>
      </w:pPr>
      <w:bookmarkStart w:id="90" w:name="_bookmark76"/>
      <w:bookmarkEnd w:id="90"/>
      <w:bookmarkStart w:id="91" w:name="_bookmark75"/>
      <w:bookmarkEnd w:id="91"/>
      <w:bookmarkStart w:id="92" w:name="_bookmark77"/>
      <w:bookmarkEnd w:id="92"/>
      <w:bookmarkStart w:id="93" w:name="_bookmark78"/>
      <w:bookmarkEnd w:id="93"/>
      <w:r>
        <w:rPr>
          <w:rFonts w:ascii="Arial" w:hAnsi="Arial" w:eastAsia="Arial" w:cs="Arial"/>
          <w:color w:val="231F20"/>
          <w:spacing w:val="39"/>
          <w:sz w:val="20"/>
          <w:szCs w:val="20"/>
        </w:rPr>
        <w:t>7</w:t>
      </w:r>
      <w:r>
        <w:rPr>
          <w:rFonts w:ascii="Arial" w:hAnsi="Arial" w:eastAsia="Arial" w:cs="Arial"/>
          <w:color w:val="231F20"/>
          <w:spacing w:val="21"/>
          <w:sz w:val="20"/>
          <w:szCs w:val="20"/>
        </w:rPr>
        <w:t xml:space="preserve">6  </w:t>
      </w:r>
      <w:r>
        <w:rPr>
          <w:position w:val="-5"/>
          <w:sz w:val="20"/>
          <w:szCs w:val="20"/>
        </w:rPr>
        <w:drawing>
          <wp:inline distT="0" distB="0" distL="0" distR="0">
            <wp:extent cx="3175" cy="147320"/>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369" name="IM 369"/>
            <wp:cNvGraphicFramePr/>
            <a:graphic xmlns:a="http://schemas.openxmlformats.org/drawingml/2006/main">
              <a:graphicData uri="http://schemas.openxmlformats.org/drawingml/2006/picture">
                <pic:pic xmlns:pic="http://schemas.openxmlformats.org/drawingml/2006/picture">
                  <pic:nvPicPr>
                    <pic:cNvPr id="369" name="IM 369"/>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94" w:line="259" w:lineRule="auto"/>
        <w:ind w:left="1993" w:right="1977" w:hanging="3"/>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 xml:space="preserve">材料 ，应当在 </w:t>
      </w:r>
      <w:r>
        <w:rPr>
          <w:rFonts w:ascii="Times New Roman" w:hAnsi="Times New Roman" w:eastAsia="Times New Roman" w:cs="Times New Roman"/>
          <w:color w:val="231F20"/>
          <w:spacing w:val="1"/>
          <w:sz w:val="22"/>
          <w:szCs w:val="22"/>
        </w:rPr>
        <w:t xml:space="preserve">7 </w:t>
      </w:r>
      <w:r>
        <w:rPr>
          <w:rFonts w:ascii="微软雅黑" w:hAnsi="微软雅黑" w:eastAsia="微软雅黑" w:cs="微软雅黑"/>
          <w:color w:val="231F20"/>
          <w:spacing w:val="1"/>
          <w:sz w:val="22"/>
          <w:szCs w:val="22"/>
        </w:rPr>
        <w:t xml:space="preserve">个工作日内作出是否受理的决定；  </w:t>
      </w:r>
      <w:r>
        <w:rPr>
          <w:rFonts w:ascii="微软雅黑" w:hAnsi="微软雅黑" w:eastAsia="微软雅黑" w:cs="微软雅黑"/>
          <w:color w:val="231F20"/>
          <w:sz w:val="22"/>
          <w:szCs w:val="22"/>
        </w:rPr>
        <w:t>并在受理投诉之日起 ，</w:t>
      </w:r>
      <w:r>
        <w:rPr>
          <w:rFonts w:ascii="Times New Roman" w:hAnsi="Times New Roman" w:eastAsia="Times New Roman" w:cs="Times New Roman"/>
          <w:color w:val="231F20"/>
          <w:sz w:val="22"/>
          <w:szCs w:val="22"/>
        </w:rPr>
        <w:t xml:space="preserve">60 </w:t>
      </w:r>
      <w:r>
        <w:rPr>
          <w:rFonts w:ascii="微软雅黑" w:hAnsi="微软雅黑" w:eastAsia="微软雅黑" w:cs="微软雅黑"/>
          <w:color w:val="231F20"/>
          <w:sz w:val="22"/>
          <w:szCs w:val="22"/>
        </w:rPr>
        <w:t xml:space="preserve">个工作 </w:t>
      </w:r>
      <w:r>
        <w:rPr>
          <w:rFonts w:ascii="微软雅黑" w:hAnsi="微软雅黑" w:eastAsia="微软雅黑" w:cs="微软雅黑"/>
          <w:color w:val="231F20"/>
          <w:spacing w:val="6"/>
          <w:sz w:val="22"/>
          <w:szCs w:val="22"/>
        </w:rPr>
        <w:t>日 内办结受</w:t>
      </w:r>
      <w:r>
        <w:rPr>
          <w:rFonts w:ascii="微软雅黑" w:hAnsi="微软雅黑" w:eastAsia="微软雅黑" w:cs="微软雅黑"/>
          <w:color w:val="231F20"/>
          <w:spacing w:val="4"/>
          <w:sz w:val="22"/>
          <w:szCs w:val="22"/>
        </w:rPr>
        <w:t>理</w:t>
      </w:r>
      <w:r>
        <w:rPr>
          <w:rFonts w:ascii="微软雅黑" w:hAnsi="微软雅黑" w:eastAsia="微软雅黑" w:cs="微软雅黑"/>
          <w:color w:val="231F20"/>
          <w:spacing w:val="3"/>
          <w:sz w:val="22"/>
          <w:szCs w:val="22"/>
        </w:rPr>
        <w:t xml:space="preserve">的投诉事项。浙江省共设立了 </w:t>
      </w:r>
      <w:r>
        <w:rPr>
          <w:rFonts w:ascii="Times New Roman" w:hAnsi="Times New Roman" w:eastAsia="Times New Roman" w:cs="Times New Roman"/>
          <w:color w:val="231F20"/>
          <w:spacing w:val="3"/>
          <w:sz w:val="22"/>
          <w:szCs w:val="22"/>
        </w:rPr>
        <w:t xml:space="preserve">113 </w:t>
      </w:r>
      <w:r>
        <w:rPr>
          <w:rFonts w:ascii="微软雅黑" w:hAnsi="微软雅黑" w:eastAsia="微软雅黑" w:cs="微软雅黑"/>
          <w:color w:val="231F20"/>
          <w:spacing w:val="3"/>
          <w:sz w:val="22"/>
          <w:szCs w:val="22"/>
        </w:rPr>
        <w:t>个外商投资企业投诉工作机构，  实</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 xml:space="preserve">现了全省县级以上地区全覆盖。通过网络公布全部外资企业投诉工作机构的级别 </w:t>
      </w:r>
      <w:r>
        <w:rPr>
          <w:rFonts w:ascii="微软雅黑" w:hAnsi="微软雅黑" w:eastAsia="微软雅黑" w:cs="微软雅黑"/>
          <w:color w:val="231F20"/>
          <w:spacing w:val="1"/>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地址 、联络方式 、主要负责人等 ，进一步畅通了投诉渠</w:t>
      </w:r>
      <w:r>
        <w:rPr>
          <w:rFonts w:ascii="微软雅黑" w:hAnsi="微软雅黑" w:eastAsia="微软雅黑" w:cs="微软雅黑"/>
          <w:color w:val="231F20"/>
          <w:sz w:val="22"/>
          <w:szCs w:val="22"/>
        </w:rPr>
        <w:t xml:space="preserve">道。相关办法的出台，  能够 </w:t>
      </w:r>
      <w:r>
        <w:rPr>
          <w:rFonts w:ascii="微软雅黑" w:hAnsi="微软雅黑" w:eastAsia="微软雅黑" w:cs="微软雅黑"/>
          <w:color w:val="231F20"/>
          <w:spacing w:val="6"/>
          <w:sz w:val="22"/>
          <w:szCs w:val="22"/>
        </w:rPr>
        <w:t>及</w:t>
      </w:r>
      <w:r>
        <w:rPr>
          <w:rFonts w:ascii="微软雅黑" w:hAnsi="微软雅黑" w:eastAsia="微软雅黑" w:cs="微软雅黑"/>
          <w:color w:val="231F20"/>
          <w:spacing w:val="4"/>
          <w:sz w:val="22"/>
          <w:szCs w:val="22"/>
        </w:rPr>
        <w:t>时 、公正 、有效地处理外商投资企业投诉 ，保护在浙外商投资企业和外国投资者</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合法权益 ，持</w:t>
      </w:r>
      <w:r>
        <w:rPr>
          <w:rFonts w:ascii="微软雅黑" w:hAnsi="微软雅黑" w:eastAsia="微软雅黑" w:cs="微软雅黑"/>
          <w:color w:val="231F20"/>
          <w:spacing w:val="2"/>
          <w:sz w:val="22"/>
          <w:szCs w:val="22"/>
        </w:rPr>
        <w:t>续优化外商投资环境，  为推动在浙外资企业更加稳定健康发展 、促进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稳</w:t>
      </w:r>
      <w:r>
        <w:rPr>
          <w:rFonts w:ascii="微软雅黑" w:hAnsi="微软雅黑" w:eastAsia="微软雅黑" w:cs="微软雅黑"/>
          <w:color w:val="231F20"/>
          <w:spacing w:val="3"/>
          <w:sz w:val="22"/>
          <w:szCs w:val="22"/>
        </w:rPr>
        <w:t>外资工作提供保障。</w:t>
      </w:r>
    </w:p>
    <w:p>
      <w:pPr>
        <w:spacing w:line="255" w:lineRule="auto"/>
        <w:rPr>
          <w:rFonts w:ascii="Arial"/>
          <w:sz w:val="21"/>
        </w:rPr>
      </w:pPr>
    </w:p>
    <w:p>
      <w:pPr>
        <w:spacing w:before="91" w:line="235" w:lineRule="auto"/>
        <w:ind w:left="2569"/>
        <w:rPr>
          <w:rFonts w:ascii="SimHei" w:hAnsi="SimHei" w:eastAsia="SimHei" w:cs="SimHei"/>
          <w:sz w:val="28"/>
          <w:szCs w:val="28"/>
        </w:rPr>
      </w:pPr>
      <w:r>
        <w:rPr>
          <w:rFonts w:ascii="SimHei" w:hAnsi="SimHei" w:eastAsia="SimHei" w:cs="SimHei"/>
          <w:color w:val="015DAC"/>
          <w:spacing w:val="-4"/>
          <w:sz w:val="28"/>
          <w:szCs w:val="28"/>
        </w:rPr>
        <w:t>五</w:t>
      </w:r>
      <w:r>
        <w:rPr>
          <w:rFonts w:ascii="SimHei" w:hAnsi="SimHei" w:eastAsia="SimHei" w:cs="SimHei"/>
          <w:color w:val="015DAC"/>
          <w:spacing w:val="-3"/>
          <w:sz w:val="28"/>
          <w:szCs w:val="28"/>
        </w:rPr>
        <w:t>、</w:t>
      </w:r>
      <w:r>
        <w:rPr>
          <w:rFonts w:ascii="SimHei" w:hAnsi="SimHei" w:eastAsia="SimHei" w:cs="SimHei"/>
          <w:color w:val="015DAC"/>
          <w:spacing w:val="-2"/>
          <w:sz w:val="28"/>
          <w:szCs w:val="28"/>
        </w:rPr>
        <w:t>山东省</w:t>
      </w:r>
    </w:p>
    <w:p>
      <w:pPr>
        <w:spacing w:line="337" w:lineRule="auto"/>
        <w:rPr>
          <w:rFonts w:ascii="Arial"/>
          <w:sz w:val="21"/>
        </w:rPr>
      </w:pPr>
    </w:p>
    <w:p>
      <w:pPr>
        <w:spacing w:before="94" w:line="202" w:lineRule="auto"/>
        <w:ind w:left="2442"/>
        <w:rPr>
          <w:rFonts w:ascii="微软雅黑" w:hAnsi="微软雅黑" w:eastAsia="微软雅黑" w:cs="微软雅黑"/>
          <w:sz w:val="22"/>
          <w:szCs w:val="22"/>
        </w:rPr>
      </w:pPr>
      <w:r>
        <w:rPr>
          <w:rFonts w:ascii="Times New Roman" w:hAnsi="Times New Roman" w:eastAsia="Times New Roman" w:cs="Times New Roman"/>
          <w:color w:val="231F20"/>
          <w:spacing w:val="-8"/>
          <w:sz w:val="22"/>
          <w:szCs w:val="22"/>
        </w:rPr>
        <w:t xml:space="preserve">2021 </w:t>
      </w:r>
      <w:r>
        <w:rPr>
          <w:rFonts w:ascii="微软雅黑" w:hAnsi="微软雅黑" w:eastAsia="微软雅黑" w:cs="微软雅黑"/>
          <w:color w:val="231F20"/>
          <w:spacing w:val="-8"/>
          <w:sz w:val="22"/>
          <w:szCs w:val="22"/>
        </w:rPr>
        <w:t>年</w:t>
      </w:r>
      <w:r>
        <w:rPr>
          <w:rFonts w:ascii="微软雅黑" w:hAnsi="微软雅黑" w:eastAsia="微软雅黑" w:cs="微软雅黑"/>
          <w:color w:val="231F20"/>
          <w:spacing w:val="-6"/>
          <w:sz w:val="22"/>
          <w:szCs w:val="22"/>
        </w:rPr>
        <w:t>，</w:t>
      </w:r>
      <w:r>
        <w:rPr>
          <w:rFonts w:ascii="微软雅黑" w:hAnsi="微软雅黑" w:eastAsia="微软雅黑" w:cs="微软雅黑"/>
          <w:color w:val="231F20"/>
          <w:spacing w:val="-4"/>
          <w:sz w:val="22"/>
          <w:szCs w:val="22"/>
        </w:rPr>
        <w:t xml:space="preserve">  山东持续打造国际一流营商环境 ，不断强化政策供给 ，推动形成优化营</w:t>
      </w:r>
    </w:p>
    <w:p>
      <w:pPr>
        <w:spacing w:before="82" w:line="272" w:lineRule="auto"/>
        <w:ind w:left="2001" w:right="1983" w:hanging="2"/>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 xml:space="preserve">商环境的“清单化”“目录化”政策体系 </w:t>
      </w:r>
      <w:r>
        <w:rPr>
          <w:rFonts w:ascii="微软雅黑" w:hAnsi="微软雅黑" w:eastAsia="微软雅黑" w:cs="微软雅黑"/>
          <w:color w:val="231F20"/>
          <w:spacing w:val="1"/>
          <w:sz w:val="22"/>
          <w:szCs w:val="22"/>
        </w:rPr>
        <w:t>，吸引了越来越多的跨国公司选择山东、投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资山东、创业山东。</w:t>
      </w:r>
    </w:p>
    <w:p>
      <w:pPr>
        <w:spacing w:before="178" w:line="222" w:lineRule="auto"/>
        <w:ind w:left="2462"/>
        <w:rPr>
          <w:rFonts w:ascii="SimHei" w:hAnsi="SimHei" w:eastAsia="SimHei" w:cs="SimHei"/>
          <w:sz w:val="24"/>
          <w:szCs w:val="24"/>
        </w:rPr>
      </w:pPr>
      <w:r>
        <w:rPr>
          <w:rFonts w:ascii="SimHei" w:hAnsi="SimHei" w:eastAsia="SimHei" w:cs="SimHei"/>
          <w:color w:val="015DAC"/>
          <w:spacing w:val="10"/>
          <w:sz w:val="24"/>
          <w:szCs w:val="24"/>
        </w:rPr>
        <w:t>(一</w:t>
      </w:r>
      <w:r>
        <w:rPr>
          <w:rFonts w:ascii="SimHei" w:hAnsi="SimHei" w:eastAsia="SimHei" w:cs="SimHei"/>
          <w:color w:val="015DAC"/>
          <w:spacing w:val="7"/>
          <w:sz w:val="24"/>
          <w:szCs w:val="24"/>
        </w:rPr>
        <w:t>)</w:t>
      </w:r>
      <w:r>
        <w:rPr>
          <w:rFonts w:ascii="SimHei" w:hAnsi="SimHei" w:eastAsia="SimHei" w:cs="SimHei"/>
          <w:color w:val="015DAC"/>
          <w:spacing w:val="5"/>
          <w:sz w:val="24"/>
          <w:szCs w:val="24"/>
        </w:rPr>
        <w:t xml:space="preserve"> 加强政策供给，助力外资企业纾困复苏</w:t>
      </w:r>
    </w:p>
    <w:p>
      <w:pPr>
        <w:spacing w:before="335" w:line="261" w:lineRule="auto"/>
        <w:ind w:left="1989" w:right="1983" w:firstLine="457"/>
        <w:rPr>
          <w:rFonts w:ascii="微软雅黑" w:hAnsi="微软雅黑" w:eastAsia="微软雅黑" w:cs="微软雅黑"/>
          <w:sz w:val="22"/>
          <w:szCs w:val="22"/>
        </w:rPr>
      </w:pPr>
      <w:r>
        <w:rPr>
          <w:rFonts w:ascii="SimHei" w:hAnsi="SimHei" w:eastAsia="SimHei" w:cs="SimHei"/>
          <w:color w:val="231F20"/>
          <w:spacing w:val="-2"/>
          <w:sz w:val="22"/>
          <w:szCs w:val="22"/>
        </w:rPr>
        <w:t>加快稳外资政策落实，让企业尽快享受实惠。</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  山东</w:t>
      </w:r>
      <w:r>
        <w:rPr>
          <w:rFonts w:ascii="微软雅黑" w:hAnsi="微软雅黑" w:eastAsia="微软雅黑" w:cs="微软雅黑"/>
          <w:color w:val="231F20"/>
          <w:spacing w:val="-1"/>
          <w:sz w:val="22"/>
          <w:szCs w:val="22"/>
        </w:rPr>
        <w:t>省在前期出台稳外贸</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4"/>
          <w:sz w:val="22"/>
          <w:szCs w:val="22"/>
        </w:rPr>
        <w:t>稳外</w:t>
      </w:r>
      <w:r>
        <w:rPr>
          <w:rFonts w:ascii="微软雅黑" w:hAnsi="微软雅黑" w:eastAsia="微软雅黑" w:cs="微软雅黑"/>
          <w:color w:val="231F20"/>
          <w:spacing w:val="-12"/>
          <w:sz w:val="22"/>
          <w:szCs w:val="22"/>
        </w:rPr>
        <w:t>资“</w:t>
      </w:r>
      <w:r>
        <w:rPr>
          <w:rFonts w:ascii="Times New Roman" w:hAnsi="Times New Roman" w:eastAsia="Times New Roman" w:cs="Times New Roman"/>
          <w:color w:val="231F20"/>
          <w:spacing w:val="-12"/>
          <w:sz w:val="22"/>
          <w:szCs w:val="22"/>
        </w:rPr>
        <w:t>32</w:t>
      </w:r>
      <w:r>
        <w:rPr>
          <w:rFonts w:ascii="微软雅黑" w:hAnsi="微软雅黑" w:eastAsia="微软雅黑" w:cs="微软雅黑"/>
          <w:color w:val="231F20"/>
          <w:spacing w:val="-12"/>
          <w:sz w:val="22"/>
          <w:szCs w:val="22"/>
        </w:rPr>
        <w:t>条”、高水平利用外资“</w:t>
      </w:r>
      <w:r>
        <w:rPr>
          <w:rFonts w:ascii="Times New Roman" w:hAnsi="Times New Roman" w:eastAsia="Times New Roman" w:cs="Times New Roman"/>
          <w:color w:val="231F20"/>
          <w:spacing w:val="-12"/>
          <w:sz w:val="22"/>
          <w:szCs w:val="22"/>
        </w:rPr>
        <w:t>20</w:t>
      </w:r>
      <w:r>
        <w:rPr>
          <w:rFonts w:ascii="微软雅黑" w:hAnsi="微软雅黑" w:eastAsia="微软雅黑" w:cs="微软雅黑"/>
          <w:color w:val="231F20"/>
          <w:spacing w:val="-12"/>
          <w:sz w:val="22"/>
          <w:szCs w:val="22"/>
        </w:rPr>
        <w:t>条”等政策措施的基础上，印发《落实“六稳”“六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保”促进高质量发展政</w:t>
      </w:r>
      <w:r>
        <w:rPr>
          <w:rFonts w:ascii="微软雅黑" w:hAnsi="微软雅黑" w:eastAsia="微软雅黑" w:cs="微软雅黑"/>
          <w:color w:val="231F20"/>
          <w:spacing w:val="-1"/>
          <w:sz w:val="22"/>
          <w:szCs w:val="22"/>
        </w:rPr>
        <w:t xml:space="preserve">策清单 ( 第二批 )  》   ( 鲁政发〔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w:t>
      </w:r>
      <w:r>
        <w:rPr>
          <w:rFonts w:ascii="Times New Roman" w:hAnsi="Times New Roman" w:eastAsia="Times New Roman" w:cs="Times New Roman"/>
          <w:color w:val="231F20"/>
          <w:spacing w:val="-1"/>
          <w:sz w:val="22"/>
          <w:szCs w:val="22"/>
        </w:rPr>
        <w:t xml:space="preserve">4 </w:t>
      </w:r>
      <w:r>
        <w:rPr>
          <w:rFonts w:ascii="微软雅黑" w:hAnsi="微软雅黑" w:eastAsia="微软雅黑" w:cs="微软雅黑"/>
          <w:color w:val="231F20"/>
          <w:spacing w:val="-1"/>
          <w:sz w:val="22"/>
          <w:szCs w:val="22"/>
        </w:rPr>
        <w:t>号 ) 、《补充完善全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省 </w:t>
      </w:r>
      <w:r>
        <w:rPr>
          <w:rFonts w:ascii="Times New Roman" w:hAnsi="Times New Roman" w:eastAsia="Times New Roman" w:cs="Times New Roman"/>
          <w:color w:val="231F20"/>
          <w:spacing w:val="-6"/>
          <w:sz w:val="22"/>
          <w:szCs w:val="22"/>
        </w:rPr>
        <w:t>2</w:t>
      </w:r>
      <w:r>
        <w:rPr>
          <w:rFonts w:ascii="Times New Roman" w:hAnsi="Times New Roman" w:eastAsia="Times New Roman" w:cs="Times New Roman"/>
          <w:color w:val="231F20"/>
          <w:spacing w:val="-4"/>
          <w:sz w:val="22"/>
          <w:szCs w:val="22"/>
        </w:rPr>
        <w:t>0</w:t>
      </w:r>
      <w:r>
        <w:rPr>
          <w:rFonts w:ascii="Times New Roman" w:hAnsi="Times New Roman" w:eastAsia="Times New Roman" w:cs="Times New Roman"/>
          <w:color w:val="231F20"/>
          <w:spacing w:val="-3"/>
          <w:sz w:val="22"/>
          <w:szCs w:val="22"/>
        </w:rPr>
        <w:t xml:space="preserve">21 </w:t>
      </w:r>
      <w:r>
        <w:rPr>
          <w:rFonts w:ascii="微软雅黑" w:hAnsi="微软雅黑" w:eastAsia="微软雅黑" w:cs="微软雅黑"/>
          <w:color w:val="231F20"/>
          <w:spacing w:val="-3"/>
          <w:sz w:val="22"/>
          <w:szCs w:val="22"/>
        </w:rPr>
        <w:t xml:space="preserve">年工作部署若干措施》   ( 鲁政字〔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w:t>
      </w:r>
      <w:r>
        <w:rPr>
          <w:rFonts w:ascii="Times New Roman" w:hAnsi="Times New Roman" w:eastAsia="Times New Roman" w:cs="Times New Roman"/>
          <w:color w:val="231F20"/>
          <w:spacing w:val="-3"/>
          <w:sz w:val="22"/>
          <w:szCs w:val="22"/>
        </w:rPr>
        <w:t xml:space="preserve">54 </w:t>
      </w:r>
      <w:r>
        <w:rPr>
          <w:rFonts w:ascii="微软雅黑" w:hAnsi="微软雅黑" w:eastAsia="微软雅黑" w:cs="微软雅黑"/>
          <w:color w:val="231F20"/>
          <w:spacing w:val="-3"/>
          <w:sz w:val="22"/>
          <w:szCs w:val="22"/>
        </w:rPr>
        <w:t>号 )  ，进一步细化实施细则 ，推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动形成“清单</w:t>
      </w:r>
      <w:r>
        <w:rPr>
          <w:rFonts w:ascii="微软雅黑" w:hAnsi="微软雅黑" w:eastAsia="微软雅黑" w:cs="微软雅黑"/>
          <w:color w:val="231F20"/>
          <w:sz w:val="22"/>
          <w:szCs w:val="22"/>
        </w:rPr>
        <w:t>化”“目录化”政策体系。</w:t>
      </w:r>
    </w:p>
    <w:p>
      <w:pPr>
        <w:spacing w:before="172" w:line="260" w:lineRule="auto"/>
        <w:ind w:left="1994" w:right="1912" w:firstLine="451"/>
        <w:rPr>
          <w:rFonts w:ascii="微软雅黑" w:hAnsi="微软雅黑" w:eastAsia="微软雅黑" w:cs="微软雅黑"/>
          <w:sz w:val="22"/>
          <w:szCs w:val="22"/>
        </w:rPr>
      </w:pPr>
      <w:r>
        <w:rPr>
          <w:rFonts w:ascii="SimHei" w:hAnsi="SimHei" w:eastAsia="SimHei" w:cs="SimHei"/>
          <w:color w:val="231F20"/>
          <w:spacing w:val="1"/>
          <w:sz w:val="22"/>
          <w:szCs w:val="22"/>
        </w:rPr>
        <w:t>加快助企措</w:t>
      </w:r>
      <w:r>
        <w:rPr>
          <w:rFonts w:ascii="SimHei" w:hAnsi="SimHei" w:eastAsia="SimHei" w:cs="SimHei"/>
          <w:color w:val="231F20"/>
          <w:sz w:val="22"/>
          <w:szCs w:val="22"/>
        </w:rPr>
        <w:t xml:space="preserve">施落地，帮助企业解决难点痛点问题。 </w:t>
      </w:r>
      <w:r>
        <w:rPr>
          <w:rFonts w:ascii="微软雅黑" w:hAnsi="微软雅黑" w:eastAsia="微软雅黑" w:cs="微软雅黑"/>
          <w:color w:val="231F20"/>
          <w:sz w:val="22"/>
          <w:szCs w:val="22"/>
        </w:rPr>
        <w:t xml:space="preserve">山东根据行业发展需求、企业 </w:t>
      </w:r>
      <w:r>
        <w:rPr>
          <w:rFonts w:ascii="微软雅黑" w:hAnsi="微软雅黑" w:eastAsia="微软雅黑" w:cs="微软雅黑"/>
          <w:color w:val="231F20"/>
          <w:spacing w:val="-2"/>
          <w:sz w:val="22"/>
          <w:szCs w:val="22"/>
        </w:rPr>
        <w:t>诉求和疫情中遇到的难题，  出台具体举措 ，攻破难点、堵</w:t>
      </w:r>
      <w:r>
        <w:rPr>
          <w:rFonts w:ascii="微软雅黑" w:hAnsi="微软雅黑" w:eastAsia="微软雅黑" w:cs="微软雅黑"/>
          <w:color w:val="231F20"/>
          <w:spacing w:val="-1"/>
          <w:sz w:val="22"/>
          <w:szCs w:val="22"/>
        </w:rPr>
        <w:t>点。制定产业链重大外资企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业专项支持政策， </w:t>
      </w:r>
      <w:r>
        <w:rPr>
          <w:rFonts w:ascii="微软雅黑" w:hAnsi="微软雅黑" w:eastAsia="微软雅黑" w:cs="微软雅黑"/>
          <w:color w:val="231F20"/>
          <w:spacing w:val="2"/>
          <w:sz w:val="22"/>
          <w:szCs w:val="22"/>
        </w:rPr>
        <w:t xml:space="preserve"> 主动为 </w:t>
      </w:r>
      <w:r>
        <w:rPr>
          <w:rFonts w:ascii="Times New Roman" w:hAnsi="Times New Roman" w:eastAsia="Times New Roman" w:cs="Times New Roman"/>
          <w:color w:val="231F20"/>
          <w:spacing w:val="2"/>
          <w:sz w:val="22"/>
          <w:szCs w:val="22"/>
        </w:rPr>
        <w:t xml:space="preserve">18 </w:t>
      </w:r>
      <w:r>
        <w:rPr>
          <w:rFonts w:ascii="微软雅黑" w:hAnsi="微软雅黑" w:eastAsia="微软雅黑" w:cs="微软雅黑"/>
          <w:color w:val="231F20"/>
          <w:spacing w:val="2"/>
          <w:sz w:val="22"/>
          <w:szCs w:val="22"/>
        </w:rPr>
        <w:t>家重点外资企业解决“急难愁盼”问题。“山东省稳外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贸稳外资服务平台”第一时间推送惠企政策措施，</w:t>
      </w:r>
      <w:r>
        <w:rPr>
          <w:rFonts w:ascii="微软雅黑" w:hAnsi="微软雅黑" w:eastAsia="微软雅黑" w:cs="微软雅黑"/>
          <w:color w:val="231F20"/>
          <w:sz w:val="22"/>
          <w:szCs w:val="22"/>
        </w:rPr>
        <w:t xml:space="preserve">加大宣传力度，推动企业上线问策， </w:t>
      </w:r>
      <w:r>
        <w:rPr>
          <w:rFonts w:ascii="微软雅黑" w:hAnsi="微软雅黑" w:eastAsia="微软雅黑" w:cs="微软雅黑"/>
          <w:color w:val="231F20"/>
          <w:spacing w:val="1"/>
          <w:sz w:val="22"/>
          <w:szCs w:val="22"/>
        </w:rPr>
        <w:t xml:space="preserve">上线企业数量增长 </w:t>
      </w:r>
      <w:r>
        <w:rPr>
          <w:rFonts w:ascii="Times New Roman" w:hAnsi="Times New Roman" w:eastAsia="Times New Roman" w:cs="Times New Roman"/>
          <w:color w:val="231F20"/>
          <w:spacing w:val="1"/>
          <w:sz w:val="22"/>
          <w:szCs w:val="22"/>
        </w:rPr>
        <w:t xml:space="preserve">13 </w:t>
      </w:r>
      <w:r>
        <w:rPr>
          <w:rFonts w:ascii="微软雅黑" w:hAnsi="微软雅黑" w:eastAsia="微软雅黑" w:cs="微软雅黑"/>
          <w:color w:val="231F20"/>
          <w:spacing w:val="1"/>
          <w:sz w:val="22"/>
          <w:szCs w:val="22"/>
        </w:rPr>
        <w:t xml:space="preserve">倍 ，达 </w:t>
      </w:r>
      <w:r>
        <w:rPr>
          <w:rFonts w:ascii="Times New Roman" w:hAnsi="Times New Roman" w:eastAsia="Times New Roman" w:cs="Times New Roman"/>
          <w:color w:val="231F20"/>
          <w:spacing w:val="1"/>
          <w:sz w:val="22"/>
          <w:szCs w:val="22"/>
        </w:rPr>
        <w:t xml:space="preserve">14800 </w:t>
      </w:r>
      <w:r>
        <w:rPr>
          <w:rFonts w:ascii="微软雅黑" w:hAnsi="微软雅黑" w:eastAsia="微软雅黑" w:cs="微软雅黑"/>
          <w:color w:val="231F20"/>
          <w:spacing w:val="1"/>
          <w:sz w:val="22"/>
          <w:szCs w:val="22"/>
        </w:rPr>
        <w:t>余家。</w:t>
      </w:r>
      <w:r>
        <w:rPr>
          <w:rFonts w:ascii="微软雅黑" w:hAnsi="微软雅黑" w:eastAsia="微软雅黑" w:cs="微软雅黑"/>
          <w:color w:val="231F20"/>
          <w:sz w:val="22"/>
          <w:szCs w:val="22"/>
        </w:rPr>
        <w:t xml:space="preserve">按照“ 一企一策”的工作要求 ，精准解决 </w:t>
      </w:r>
      <w:r>
        <w:rPr>
          <w:rFonts w:ascii="微软雅黑" w:hAnsi="微软雅黑" w:eastAsia="微软雅黑" w:cs="微软雅黑"/>
          <w:color w:val="231F20"/>
          <w:spacing w:val="3"/>
          <w:sz w:val="22"/>
          <w:szCs w:val="22"/>
        </w:rPr>
        <w:t>了</w:t>
      </w:r>
      <w:r>
        <w:rPr>
          <w:rFonts w:ascii="微软雅黑" w:hAnsi="微软雅黑" w:eastAsia="微软雅黑" w:cs="微软雅黑"/>
          <w:color w:val="231F20"/>
          <w:spacing w:val="2"/>
          <w:sz w:val="22"/>
          <w:szCs w:val="22"/>
        </w:rPr>
        <w:t xml:space="preserve">外资企业在用工、能耗指标、融资贷款、外籍人员入境等方面相关问题 </w:t>
      </w:r>
      <w:r>
        <w:rPr>
          <w:rFonts w:ascii="Times New Roman" w:hAnsi="Times New Roman" w:eastAsia="Times New Roman" w:cs="Times New Roman"/>
          <w:color w:val="231F20"/>
          <w:spacing w:val="2"/>
          <w:sz w:val="22"/>
          <w:szCs w:val="22"/>
        </w:rPr>
        <w:t>900</w:t>
      </w:r>
      <w:r>
        <w:rPr>
          <w:rFonts w:ascii="微软雅黑" w:hAnsi="微软雅黑" w:eastAsia="微软雅黑" w:cs="微软雅黑"/>
          <w:color w:val="231F20"/>
          <w:spacing w:val="2"/>
          <w:sz w:val="22"/>
          <w:szCs w:val="22"/>
        </w:rPr>
        <w:t>余个。</w:t>
      </w:r>
    </w:p>
    <w:p>
      <w:pPr>
        <w:spacing w:before="179" w:line="221" w:lineRule="auto"/>
        <w:ind w:left="2462"/>
        <w:rPr>
          <w:rFonts w:ascii="SimHei" w:hAnsi="SimHei" w:eastAsia="SimHei" w:cs="SimHei"/>
          <w:sz w:val="24"/>
          <w:szCs w:val="24"/>
        </w:rPr>
      </w:pPr>
      <w:r>
        <w:rPr>
          <w:rFonts w:ascii="SimHei" w:hAnsi="SimHei" w:eastAsia="SimHei" w:cs="SimHei"/>
          <w:color w:val="015DAC"/>
          <w:spacing w:val="10"/>
          <w:sz w:val="24"/>
          <w:szCs w:val="24"/>
        </w:rPr>
        <w:t>(二</w:t>
      </w:r>
      <w:r>
        <w:rPr>
          <w:rFonts w:ascii="SimHei" w:hAnsi="SimHei" w:eastAsia="SimHei" w:cs="SimHei"/>
          <w:color w:val="015DAC"/>
          <w:spacing w:val="7"/>
          <w:sz w:val="24"/>
          <w:szCs w:val="24"/>
        </w:rPr>
        <w:t>)</w:t>
      </w:r>
      <w:r>
        <w:rPr>
          <w:rFonts w:ascii="SimHei" w:hAnsi="SimHei" w:eastAsia="SimHei" w:cs="SimHei"/>
          <w:color w:val="015DAC"/>
          <w:spacing w:val="5"/>
          <w:sz w:val="24"/>
          <w:szCs w:val="24"/>
        </w:rPr>
        <w:t xml:space="preserve"> 加强服务保障，推动外资企业稳定发展</w:t>
      </w:r>
    </w:p>
    <w:p>
      <w:pPr>
        <w:spacing w:before="333" w:line="266" w:lineRule="auto"/>
        <w:ind w:left="1993" w:right="1916" w:firstLine="450"/>
        <w:rPr>
          <w:rFonts w:ascii="微软雅黑" w:hAnsi="微软雅黑" w:eastAsia="微软雅黑" w:cs="微软雅黑"/>
          <w:sz w:val="22"/>
          <w:szCs w:val="22"/>
        </w:rPr>
      </w:pPr>
      <w:r>
        <w:rPr>
          <w:rFonts w:ascii="SimHei" w:hAnsi="SimHei" w:eastAsia="SimHei" w:cs="SimHei"/>
          <w:color w:val="231F20"/>
          <w:spacing w:val="2"/>
          <w:sz w:val="22"/>
          <w:szCs w:val="22"/>
        </w:rPr>
        <w:t>提供全流程滚动式跟踪服务。</w:t>
      </w:r>
      <w:r>
        <w:rPr>
          <w:rFonts w:ascii="微软雅黑" w:hAnsi="微软雅黑" w:eastAsia="微软雅黑" w:cs="微软雅黑"/>
          <w:color w:val="231F20"/>
          <w:spacing w:val="2"/>
          <w:sz w:val="22"/>
          <w:szCs w:val="22"/>
        </w:rPr>
        <w:t>建</w:t>
      </w:r>
      <w:r>
        <w:rPr>
          <w:rFonts w:ascii="微软雅黑" w:hAnsi="微软雅黑" w:eastAsia="微软雅黑" w:cs="微软雅黑"/>
          <w:color w:val="231F20"/>
          <w:spacing w:val="1"/>
          <w:sz w:val="22"/>
          <w:szCs w:val="22"/>
        </w:rPr>
        <w:t>立全省重点外资项目跟踪推进机制 ，完善客户数</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2"/>
          <w:sz w:val="22"/>
          <w:szCs w:val="22"/>
        </w:rPr>
        <w:t>据</w:t>
      </w:r>
      <w:r>
        <w:rPr>
          <w:rFonts w:ascii="微软雅黑" w:hAnsi="微软雅黑" w:eastAsia="微软雅黑" w:cs="微软雅黑"/>
          <w:color w:val="231F20"/>
          <w:spacing w:val="-11"/>
          <w:sz w:val="22"/>
          <w:szCs w:val="22"/>
        </w:rPr>
        <w:t>库</w:t>
      </w:r>
      <w:r>
        <w:rPr>
          <w:rFonts w:ascii="微软雅黑" w:hAnsi="微软雅黑" w:eastAsia="微软雅黑" w:cs="微软雅黑"/>
          <w:color w:val="231F20"/>
          <w:spacing w:val="-6"/>
          <w:sz w:val="22"/>
          <w:szCs w:val="22"/>
        </w:rPr>
        <w:t>、外资项目信息库和对外推介项目库，分类分级管理。按照“三个一批”滚动推进，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即推动一批</w:t>
      </w:r>
      <w:r>
        <w:rPr>
          <w:rFonts w:ascii="微软雅黑" w:hAnsi="微软雅黑" w:eastAsia="微软雅黑" w:cs="微软雅黑"/>
          <w:color w:val="231F20"/>
          <w:sz w:val="22"/>
          <w:szCs w:val="22"/>
        </w:rPr>
        <w:t>在谈项目早签约 ，推进一批签约项目早落地 ，推进一批落地项目早到资。</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5180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bookmarkStart w:id="94" w:name="_bookmark80"/>
      <w:bookmarkEnd w:id="94"/>
      <w:bookmarkStart w:id="95" w:name="_bookmark79"/>
      <w:bookmarkEnd w:id="95"/>
      <w:r>
        <w:rPr>
          <w:rFonts w:ascii="SimHei" w:hAnsi="SimHei" w:eastAsia="SimHei" w:cs="SimHei"/>
          <w:color w:val="1A67B3"/>
          <w:spacing w:val="36"/>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71" name="IM 371"/>
            <wp:cNvGraphicFramePr/>
            <a:graphic xmlns:a="http://schemas.openxmlformats.org/drawingml/2006/main">
              <a:graphicData uri="http://schemas.openxmlformats.org/drawingml/2006/picture">
                <pic:pic xmlns:pic="http://schemas.openxmlformats.org/drawingml/2006/picture">
                  <pic:nvPicPr>
                    <pic:cNvPr id="371" name="IM 371"/>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77</w:t>
      </w:r>
    </w:p>
    <w:p>
      <w:pPr>
        <w:spacing w:line="352" w:lineRule="auto"/>
        <w:rPr>
          <w:rFonts w:ascii="Arial"/>
          <w:sz w:val="21"/>
        </w:rPr>
      </w:pPr>
    </w:p>
    <w:p>
      <w:pPr>
        <w:spacing w:line="353" w:lineRule="auto"/>
        <w:rPr>
          <w:rFonts w:ascii="Arial"/>
          <w:sz w:val="21"/>
        </w:rPr>
      </w:pPr>
    </w:p>
    <w:p>
      <w:pPr>
        <w:spacing w:before="94" w:line="273" w:lineRule="auto"/>
        <w:ind w:left="2000" w:right="1983" w:hanging="10"/>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 xml:space="preserve">截至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 xml:space="preserve">年底 ，全省 </w:t>
      </w:r>
      <w:r>
        <w:rPr>
          <w:rFonts w:ascii="Times New Roman" w:hAnsi="Times New Roman" w:eastAsia="Times New Roman" w:cs="Times New Roman"/>
          <w:color w:val="231F20"/>
          <w:spacing w:val="1"/>
          <w:sz w:val="22"/>
          <w:szCs w:val="22"/>
        </w:rPr>
        <w:t>68</w:t>
      </w:r>
      <w:r>
        <w:rPr>
          <w:rFonts w:ascii="Times New Roman" w:hAnsi="Times New Roman" w:eastAsia="Times New Roman" w:cs="Times New Roman"/>
          <w:color w:val="231F20"/>
          <w:sz w:val="22"/>
          <w:szCs w:val="22"/>
        </w:rPr>
        <w:t xml:space="preserve">8 </w:t>
      </w:r>
      <w:r>
        <w:rPr>
          <w:rFonts w:ascii="微软雅黑" w:hAnsi="微软雅黑" w:eastAsia="微软雅黑" w:cs="微软雅黑"/>
          <w:color w:val="231F20"/>
          <w:sz w:val="22"/>
          <w:szCs w:val="22"/>
        </w:rPr>
        <w:t xml:space="preserve">个重点在谈项目签约率 </w:t>
      </w:r>
      <w:r>
        <w:rPr>
          <w:rFonts w:ascii="Times New Roman" w:hAnsi="Times New Roman" w:eastAsia="Times New Roman" w:cs="Times New Roman"/>
          <w:color w:val="231F20"/>
          <w:sz w:val="22"/>
          <w:szCs w:val="22"/>
        </w:rPr>
        <w:t>79.2%</w:t>
      </w:r>
      <w:r>
        <w:rPr>
          <w:rFonts w:ascii="微软雅黑" w:hAnsi="微软雅黑" w:eastAsia="微软雅黑" w:cs="微软雅黑"/>
          <w:color w:val="231F20"/>
          <w:sz w:val="22"/>
          <w:szCs w:val="22"/>
        </w:rPr>
        <w:t>，</w:t>
      </w:r>
      <w:r>
        <w:rPr>
          <w:rFonts w:ascii="Times New Roman" w:hAnsi="Times New Roman" w:eastAsia="Times New Roman" w:cs="Times New Roman"/>
          <w:color w:val="231F20"/>
          <w:sz w:val="22"/>
          <w:szCs w:val="22"/>
        </w:rPr>
        <w:t xml:space="preserve">487 </w:t>
      </w:r>
      <w:r>
        <w:rPr>
          <w:rFonts w:ascii="微软雅黑" w:hAnsi="微软雅黑" w:eastAsia="微软雅黑" w:cs="微软雅黑"/>
          <w:color w:val="231F20"/>
          <w:sz w:val="22"/>
          <w:szCs w:val="22"/>
        </w:rPr>
        <w:t xml:space="preserve">个重大经贸活动签约外 </w:t>
      </w:r>
      <w:r>
        <w:rPr>
          <w:rFonts w:ascii="微软雅黑" w:hAnsi="微软雅黑" w:eastAsia="微软雅黑" w:cs="微软雅黑"/>
          <w:color w:val="231F20"/>
          <w:spacing w:val="-2"/>
          <w:sz w:val="22"/>
          <w:szCs w:val="22"/>
        </w:rPr>
        <w:t xml:space="preserve">资项目落地率、外资到账率分别达 </w:t>
      </w:r>
      <w:r>
        <w:rPr>
          <w:rFonts w:ascii="Times New Roman" w:hAnsi="Times New Roman" w:eastAsia="Times New Roman" w:cs="Times New Roman"/>
          <w:color w:val="231F20"/>
          <w:spacing w:val="-2"/>
          <w:sz w:val="22"/>
          <w:szCs w:val="22"/>
        </w:rPr>
        <w:t xml:space="preserve">61.2% </w:t>
      </w:r>
      <w:r>
        <w:rPr>
          <w:rFonts w:ascii="微软雅黑" w:hAnsi="微软雅黑" w:eastAsia="微软雅黑" w:cs="微软雅黑"/>
          <w:color w:val="231F20"/>
          <w:spacing w:val="-2"/>
          <w:sz w:val="22"/>
          <w:szCs w:val="22"/>
        </w:rPr>
        <w:t>、</w:t>
      </w:r>
      <w:r>
        <w:rPr>
          <w:rFonts w:ascii="Times New Roman" w:hAnsi="Times New Roman" w:eastAsia="Times New Roman" w:cs="Times New Roman"/>
          <w:color w:val="231F20"/>
          <w:spacing w:val="-2"/>
          <w:sz w:val="22"/>
          <w:szCs w:val="22"/>
        </w:rPr>
        <w:t>63.7</w:t>
      </w:r>
      <w:r>
        <w:rPr>
          <w:rFonts w:ascii="Times New Roman" w:hAnsi="Times New Roman" w:eastAsia="Times New Roman" w:cs="Times New Roman"/>
          <w:color w:val="231F20"/>
          <w:sz w:val="22"/>
          <w:szCs w:val="22"/>
        </w:rPr>
        <w:t>%</w:t>
      </w:r>
      <w:r>
        <w:rPr>
          <w:rFonts w:ascii="微软雅黑" w:hAnsi="微软雅黑" w:eastAsia="微软雅黑" w:cs="微软雅黑"/>
          <w:color w:val="231F20"/>
          <w:sz w:val="22"/>
          <w:szCs w:val="22"/>
        </w:rPr>
        <w:t>。</w:t>
      </w:r>
    </w:p>
    <w:p>
      <w:pPr>
        <w:spacing w:before="205" w:line="259" w:lineRule="auto"/>
        <w:ind w:left="1989" w:right="1915" w:firstLine="455"/>
        <w:rPr>
          <w:rFonts w:ascii="微软雅黑" w:hAnsi="微软雅黑" w:eastAsia="微软雅黑" w:cs="微软雅黑"/>
          <w:sz w:val="22"/>
          <w:szCs w:val="22"/>
        </w:rPr>
      </w:pPr>
      <w:r>
        <w:rPr>
          <w:rFonts w:ascii="SimHei" w:hAnsi="SimHei" w:eastAsia="SimHei" w:cs="SimHei"/>
          <w:color w:val="231F20"/>
          <w:spacing w:val="-7"/>
          <w:sz w:val="22"/>
          <w:szCs w:val="22"/>
        </w:rPr>
        <w:t>提供重点生产要素保障服务。</w:t>
      </w:r>
      <w:r>
        <w:rPr>
          <w:rFonts w:ascii="微软雅黑" w:hAnsi="微软雅黑" w:eastAsia="微软雅黑" w:cs="微软雅黑"/>
          <w:color w:val="231F20"/>
          <w:spacing w:val="-7"/>
          <w:sz w:val="22"/>
          <w:szCs w:val="22"/>
        </w:rPr>
        <w:t>深入实施《山东省重点外资项目要素保障实施细则》</w:t>
      </w:r>
      <w:r>
        <w:rPr>
          <w:rFonts w:ascii="微软雅黑" w:hAnsi="微软雅黑" w:eastAsia="微软雅黑" w:cs="微软雅黑"/>
          <w:color w:val="231F20"/>
          <w:spacing w:val="-4"/>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对符</w:t>
      </w:r>
      <w:r>
        <w:rPr>
          <w:rFonts w:ascii="微软雅黑" w:hAnsi="微软雅黑" w:eastAsia="微软雅黑" w:cs="微软雅黑"/>
          <w:color w:val="231F20"/>
          <w:sz w:val="22"/>
          <w:szCs w:val="22"/>
        </w:rPr>
        <w:t xml:space="preserve">合山东产业发展方向和国家鼓励外商投资 规定的外资企业 ，予以生产要素重点保 </w:t>
      </w:r>
      <w:r>
        <w:rPr>
          <w:rFonts w:ascii="微软雅黑" w:hAnsi="微软雅黑" w:eastAsia="微软雅黑" w:cs="微软雅黑"/>
          <w:color w:val="231F20"/>
          <w:spacing w:val="2"/>
          <w:sz w:val="22"/>
          <w:szCs w:val="22"/>
        </w:rPr>
        <w:t>障。对于确需新增建设用地的由省级统一安排用地指标 ，项目可</w:t>
      </w:r>
      <w:r>
        <w:rPr>
          <w:rFonts w:ascii="微软雅黑" w:hAnsi="微软雅黑" w:eastAsia="微软雅黑" w:cs="微软雅黑"/>
          <w:color w:val="231F20"/>
          <w:spacing w:val="1"/>
          <w:sz w:val="22"/>
          <w:szCs w:val="22"/>
        </w:rPr>
        <w:t>依照相关规定申请使</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用省级收储的</w:t>
      </w:r>
      <w:r>
        <w:rPr>
          <w:rFonts w:ascii="微软雅黑" w:hAnsi="微软雅黑" w:eastAsia="微软雅黑" w:cs="微软雅黑"/>
          <w:color w:val="231F20"/>
          <w:spacing w:val="5"/>
          <w:sz w:val="22"/>
          <w:szCs w:val="22"/>
        </w:rPr>
        <w:t>能</w:t>
      </w:r>
      <w:r>
        <w:rPr>
          <w:rFonts w:ascii="微软雅黑" w:hAnsi="微软雅黑" w:eastAsia="微软雅黑" w:cs="微软雅黑"/>
          <w:color w:val="231F20"/>
          <w:spacing w:val="3"/>
          <w:sz w:val="22"/>
          <w:szCs w:val="22"/>
        </w:rPr>
        <w:t>耗、煤耗指标。各地级市统筹使用市域内污染物排放总量指标对项目</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优先保障。重点突出部门间协作配合 ，对制约项目落地各类生</w:t>
      </w:r>
      <w:r>
        <w:rPr>
          <w:rFonts w:ascii="微软雅黑" w:hAnsi="微软雅黑" w:eastAsia="微软雅黑" w:cs="微软雅黑"/>
          <w:color w:val="231F20"/>
          <w:spacing w:val="1"/>
          <w:sz w:val="22"/>
          <w:szCs w:val="22"/>
        </w:rPr>
        <w:t>产要素存在的突出问题</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实施</w:t>
      </w:r>
      <w:r>
        <w:rPr>
          <w:rFonts w:ascii="微软雅黑" w:hAnsi="微软雅黑" w:eastAsia="微软雅黑" w:cs="微软雅黑"/>
          <w:color w:val="231F20"/>
          <w:sz w:val="22"/>
          <w:szCs w:val="22"/>
        </w:rPr>
        <w:t xml:space="preserve">攻坚突破 ，推动项目早日落地开工。结合主要服务诉求 ，建立重点外资企业“点 </w:t>
      </w:r>
      <w:r>
        <w:rPr>
          <w:rFonts w:ascii="微软雅黑" w:hAnsi="微软雅黑" w:eastAsia="微软雅黑" w:cs="微软雅黑"/>
          <w:color w:val="231F20"/>
          <w:spacing w:val="-3"/>
          <w:sz w:val="22"/>
          <w:szCs w:val="22"/>
        </w:rPr>
        <w:t>对点”服务机制 ，助力企业稳定发展</w:t>
      </w:r>
      <w:r>
        <w:rPr>
          <w:rFonts w:ascii="微软雅黑" w:hAnsi="微软雅黑" w:eastAsia="微软雅黑" w:cs="微软雅黑"/>
          <w:color w:val="231F20"/>
          <w:spacing w:val="-2"/>
          <w:sz w:val="22"/>
          <w:szCs w:val="22"/>
        </w:rPr>
        <w:t>。</w:t>
      </w:r>
    </w:p>
    <w:p>
      <w:pPr>
        <w:spacing w:before="175" w:line="261" w:lineRule="auto"/>
        <w:ind w:left="1990" w:right="1868" w:firstLine="455"/>
        <w:rPr>
          <w:rFonts w:ascii="微软雅黑" w:hAnsi="微软雅黑" w:eastAsia="微软雅黑" w:cs="微软雅黑"/>
          <w:sz w:val="22"/>
          <w:szCs w:val="22"/>
        </w:rPr>
      </w:pPr>
      <w:r>
        <w:rPr>
          <w:rFonts w:ascii="SimHei" w:hAnsi="SimHei" w:eastAsia="SimHei" w:cs="SimHei"/>
          <w:color w:val="231F20"/>
          <w:spacing w:val="-4"/>
          <w:sz w:val="22"/>
          <w:szCs w:val="22"/>
        </w:rPr>
        <w:t xml:space="preserve">提供沟通对接和督导服务。 </w:t>
      </w:r>
      <w:r>
        <w:rPr>
          <w:rFonts w:ascii="微软雅黑" w:hAnsi="微软雅黑" w:eastAsia="微软雅黑" w:cs="微软雅黑"/>
          <w:color w:val="231F20"/>
          <w:spacing w:val="-4"/>
          <w:sz w:val="22"/>
          <w:szCs w:val="22"/>
        </w:rPr>
        <w:t>省委</w:t>
      </w:r>
      <w:r>
        <w:rPr>
          <w:rFonts w:ascii="微软雅黑" w:hAnsi="微软雅黑" w:eastAsia="微软雅黑" w:cs="微软雅黑"/>
          <w:color w:val="231F20"/>
          <w:spacing w:val="-3"/>
          <w:sz w:val="22"/>
          <w:szCs w:val="22"/>
        </w:rPr>
        <w:t>统</w:t>
      </w:r>
      <w:r>
        <w:rPr>
          <w:rFonts w:ascii="微软雅黑" w:hAnsi="微软雅黑" w:eastAsia="微软雅黑" w:cs="微软雅黑"/>
          <w:color w:val="231F20"/>
          <w:spacing w:val="-2"/>
          <w:sz w:val="22"/>
          <w:szCs w:val="22"/>
        </w:rPr>
        <w:t>筹疫情防控和经济运行工作领导小组 ( 指挥部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每月通报各市党政主要负责同志带队招商，  以及项目落地</w:t>
      </w:r>
      <w:r>
        <w:rPr>
          <w:rFonts w:ascii="微软雅黑" w:hAnsi="微软雅黑" w:eastAsia="微软雅黑" w:cs="微软雅黑"/>
          <w:color w:val="231F20"/>
          <w:spacing w:val="-1"/>
          <w:sz w:val="22"/>
          <w:szCs w:val="22"/>
        </w:rPr>
        <w:t>情况 ，强化主动上门、主动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对接、主动服务 ，形成省市引进外资工作合力。常</w:t>
      </w:r>
      <w:r>
        <w:rPr>
          <w:rFonts w:ascii="微软雅黑" w:hAnsi="微软雅黑" w:eastAsia="微软雅黑" w:cs="微软雅黑"/>
          <w:color w:val="231F20"/>
          <w:spacing w:val="1"/>
          <w:sz w:val="22"/>
          <w:szCs w:val="22"/>
        </w:rPr>
        <w:t>态化对各市开展“不发通知、不打</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招呼、不听汇报、不用陪同接待、直奔基层、直插现场”调研督导 ，现场协</w:t>
      </w:r>
      <w:r>
        <w:rPr>
          <w:rFonts w:ascii="微软雅黑" w:hAnsi="微软雅黑" w:eastAsia="微软雅黑" w:cs="微软雅黑"/>
          <w:color w:val="231F20"/>
          <w:sz w:val="22"/>
          <w:szCs w:val="22"/>
        </w:rPr>
        <w:t xml:space="preserve">调解决外  </w:t>
      </w:r>
      <w:r>
        <w:rPr>
          <w:rFonts w:ascii="微软雅黑" w:hAnsi="微软雅黑" w:eastAsia="微软雅黑" w:cs="微软雅黑"/>
          <w:color w:val="231F20"/>
          <w:spacing w:val="1"/>
          <w:sz w:val="22"/>
          <w:szCs w:val="22"/>
        </w:rPr>
        <w:t>资企业的困</w:t>
      </w:r>
      <w:r>
        <w:rPr>
          <w:rFonts w:ascii="微软雅黑" w:hAnsi="微软雅黑" w:eastAsia="微软雅黑" w:cs="微软雅黑"/>
          <w:color w:val="231F20"/>
          <w:sz w:val="22"/>
          <w:szCs w:val="22"/>
        </w:rPr>
        <w:t>难和诉求。</w:t>
      </w:r>
    </w:p>
    <w:p>
      <w:pPr>
        <w:spacing w:before="178" w:line="222" w:lineRule="auto"/>
        <w:ind w:left="2462"/>
        <w:rPr>
          <w:rFonts w:ascii="SimHei" w:hAnsi="SimHei" w:eastAsia="SimHei" w:cs="SimHei"/>
          <w:sz w:val="24"/>
          <w:szCs w:val="24"/>
        </w:rPr>
      </w:pPr>
      <w:r>
        <w:rPr>
          <w:rFonts w:ascii="SimHei" w:hAnsi="SimHei" w:eastAsia="SimHei" w:cs="SimHei"/>
          <w:color w:val="015DAC"/>
          <w:spacing w:val="10"/>
          <w:sz w:val="24"/>
          <w:szCs w:val="24"/>
        </w:rPr>
        <w:t>(三</w:t>
      </w:r>
      <w:r>
        <w:rPr>
          <w:rFonts w:ascii="SimHei" w:hAnsi="SimHei" w:eastAsia="SimHei" w:cs="SimHei"/>
          <w:color w:val="015DAC"/>
          <w:spacing w:val="7"/>
          <w:sz w:val="24"/>
          <w:szCs w:val="24"/>
        </w:rPr>
        <w:t>)</w:t>
      </w:r>
      <w:r>
        <w:rPr>
          <w:rFonts w:ascii="SimHei" w:hAnsi="SimHei" w:eastAsia="SimHei" w:cs="SimHei"/>
          <w:color w:val="015DAC"/>
          <w:spacing w:val="5"/>
          <w:sz w:val="24"/>
          <w:szCs w:val="24"/>
        </w:rPr>
        <w:t xml:space="preserve"> 加强平台对接，便利外资项目落地发展</w:t>
      </w:r>
    </w:p>
    <w:p>
      <w:pPr>
        <w:spacing w:before="328" w:line="258" w:lineRule="auto"/>
        <w:ind w:left="1987" w:right="1898" w:firstLine="463"/>
        <w:rPr>
          <w:rFonts w:ascii="微软雅黑" w:hAnsi="微软雅黑" w:eastAsia="微软雅黑" w:cs="微软雅黑"/>
          <w:sz w:val="22"/>
          <w:szCs w:val="22"/>
        </w:rPr>
      </w:pPr>
      <w:r>
        <w:rPr>
          <w:rFonts w:ascii="SimHei" w:hAnsi="SimHei" w:eastAsia="SimHei" w:cs="SimHei"/>
          <w:color w:val="231F20"/>
          <w:spacing w:val="-1"/>
          <w:sz w:val="22"/>
          <w:szCs w:val="22"/>
        </w:rPr>
        <w:t>充分运用“主场外交”平台引资。</w:t>
      </w:r>
      <w:r>
        <w:rPr>
          <w:rFonts w:ascii="微软雅黑" w:hAnsi="微软雅黑" w:eastAsia="微软雅黑" w:cs="微软雅黑"/>
          <w:color w:val="231F20"/>
          <w:spacing w:val="-1"/>
          <w:sz w:val="22"/>
          <w:szCs w:val="22"/>
        </w:rPr>
        <w:t>在上海合作组织</w:t>
      </w:r>
      <w:r>
        <w:rPr>
          <w:rFonts w:ascii="微软雅黑" w:hAnsi="微软雅黑" w:eastAsia="微软雅黑" w:cs="微软雅黑"/>
          <w:color w:val="231F20"/>
          <w:sz w:val="22"/>
          <w:szCs w:val="22"/>
        </w:rPr>
        <w:t xml:space="preserve">青岛峰会后，  山东建立了“上 </w:t>
      </w:r>
      <w:r>
        <w:rPr>
          <w:rFonts w:ascii="微软雅黑" w:hAnsi="微软雅黑" w:eastAsia="微软雅黑" w:cs="微软雅黑"/>
          <w:color w:val="231F20"/>
          <w:spacing w:val="-1"/>
          <w:sz w:val="22"/>
          <w:szCs w:val="22"/>
        </w:rPr>
        <w:t>海合作组织国际投资贸易博览会”，建设了</w:t>
      </w:r>
      <w:r>
        <w:rPr>
          <w:rFonts w:ascii="微软雅黑" w:hAnsi="微软雅黑" w:eastAsia="微软雅黑" w:cs="微软雅黑"/>
          <w:color w:val="231F20"/>
          <w:sz w:val="22"/>
          <w:szCs w:val="22"/>
        </w:rPr>
        <w:t xml:space="preserve">中国—上海合作组织地方经贸合作示范区， </w:t>
      </w:r>
      <w:r>
        <w:rPr>
          <w:rFonts w:ascii="微软雅黑" w:hAnsi="微软雅黑" w:eastAsia="微软雅黑" w:cs="微软雅黑"/>
          <w:color w:val="231F20"/>
          <w:spacing w:val="2"/>
          <w:sz w:val="22"/>
          <w:szCs w:val="22"/>
        </w:rPr>
        <w:t>推动展品变商品、展商变投资商 ，集聚更多包括上合组织成员国</w:t>
      </w:r>
      <w:r>
        <w:rPr>
          <w:rFonts w:ascii="微软雅黑" w:hAnsi="微软雅黑" w:eastAsia="微软雅黑" w:cs="微软雅黑"/>
          <w:color w:val="231F20"/>
          <w:spacing w:val="1"/>
          <w:sz w:val="22"/>
          <w:szCs w:val="22"/>
        </w:rPr>
        <w:t>企业在内的外资企业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进入山东。</w:t>
      </w: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年 ，参</w:t>
      </w:r>
      <w:r>
        <w:rPr>
          <w:rFonts w:ascii="微软雅黑" w:hAnsi="微软雅黑" w:eastAsia="微软雅黑" w:cs="微软雅黑"/>
          <w:color w:val="231F20"/>
          <w:spacing w:val="2"/>
          <w:sz w:val="22"/>
          <w:szCs w:val="22"/>
        </w:rPr>
        <w:t xml:space="preserve">加上海合作组织国际投资贸易博览会的国家达到 </w:t>
      </w:r>
      <w:r>
        <w:rPr>
          <w:rFonts w:ascii="Times New Roman" w:hAnsi="Times New Roman" w:eastAsia="Times New Roman" w:cs="Times New Roman"/>
          <w:color w:val="231F20"/>
          <w:spacing w:val="2"/>
          <w:sz w:val="22"/>
          <w:szCs w:val="22"/>
        </w:rPr>
        <w:t xml:space="preserve">30 </w:t>
      </w:r>
      <w:r>
        <w:rPr>
          <w:rFonts w:ascii="微软雅黑" w:hAnsi="微软雅黑" w:eastAsia="微软雅黑" w:cs="微软雅黑"/>
          <w:color w:val="231F20"/>
          <w:spacing w:val="2"/>
          <w:sz w:val="22"/>
          <w:szCs w:val="22"/>
        </w:rPr>
        <w:t>多个、参</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展企业近 </w:t>
      </w:r>
      <w:r>
        <w:rPr>
          <w:rFonts w:ascii="Times New Roman" w:hAnsi="Times New Roman" w:eastAsia="Times New Roman" w:cs="Times New Roman"/>
          <w:color w:val="231F20"/>
          <w:spacing w:val="4"/>
          <w:sz w:val="22"/>
          <w:szCs w:val="22"/>
        </w:rPr>
        <w:t>2000</w:t>
      </w:r>
      <w:r>
        <w:rPr>
          <w:rFonts w:ascii="Times New Roman" w:hAnsi="Times New Roman" w:eastAsia="Times New Roman" w:cs="Times New Roman"/>
          <w:color w:val="231F20"/>
          <w:spacing w:val="3"/>
          <w:sz w:val="22"/>
          <w:szCs w:val="22"/>
        </w:rPr>
        <w:t xml:space="preserve"> </w:t>
      </w:r>
      <w:r>
        <w:rPr>
          <w:rFonts w:ascii="微软雅黑" w:hAnsi="微软雅黑" w:eastAsia="微软雅黑" w:cs="微软雅黑"/>
          <w:color w:val="231F20"/>
          <w:spacing w:val="2"/>
          <w:sz w:val="22"/>
          <w:szCs w:val="22"/>
        </w:rPr>
        <w:t>家，  围绕商贸物流、新能源、高端制造、文化旅游、生物医疗等领域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签署 </w:t>
      </w:r>
      <w:r>
        <w:rPr>
          <w:rFonts w:ascii="Times New Roman" w:hAnsi="Times New Roman" w:eastAsia="Times New Roman" w:cs="Times New Roman"/>
          <w:color w:val="231F20"/>
          <w:spacing w:val="6"/>
          <w:sz w:val="22"/>
          <w:szCs w:val="22"/>
        </w:rPr>
        <w:t xml:space="preserve">20 </w:t>
      </w:r>
      <w:r>
        <w:rPr>
          <w:rFonts w:ascii="微软雅黑" w:hAnsi="微软雅黑" w:eastAsia="微软雅黑" w:cs="微软雅黑"/>
          <w:color w:val="231F20"/>
          <w:spacing w:val="6"/>
          <w:sz w:val="22"/>
          <w:szCs w:val="22"/>
        </w:rPr>
        <w:t>多个合作项目协议。跨国公司领导人青岛峰会已成为中国与跨国公司重要</w:t>
      </w:r>
      <w:r>
        <w:rPr>
          <w:rFonts w:ascii="微软雅黑" w:hAnsi="微软雅黑" w:eastAsia="微软雅黑" w:cs="微软雅黑"/>
          <w:color w:val="231F20"/>
          <w:spacing w:val="5"/>
          <w:sz w:val="22"/>
          <w:szCs w:val="22"/>
        </w:rPr>
        <w:t>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交流沟通平台，  山东充分发挥主场优势和平台</w:t>
      </w:r>
      <w:r>
        <w:rPr>
          <w:rFonts w:ascii="微软雅黑" w:hAnsi="微软雅黑" w:eastAsia="微软雅黑" w:cs="微软雅黑"/>
          <w:color w:val="231F20"/>
          <w:spacing w:val="-1"/>
          <w:sz w:val="22"/>
          <w:szCs w:val="22"/>
        </w:rPr>
        <w:t>集聚优势 ，配套峰会开展地方特色的引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2"/>
          <w:sz w:val="22"/>
          <w:szCs w:val="22"/>
        </w:rPr>
        <w:t>资</w:t>
      </w:r>
      <w:r>
        <w:rPr>
          <w:rFonts w:ascii="微软雅黑" w:hAnsi="微软雅黑" w:eastAsia="微软雅黑" w:cs="微软雅黑"/>
          <w:color w:val="231F20"/>
          <w:spacing w:val="-10"/>
          <w:sz w:val="22"/>
          <w:szCs w:val="22"/>
        </w:rPr>
        <w:t>活</w:t>
      </w:r>
      <w:r>
        <w:rPr>
          <w:rFonts w:ascii="微软雅黑" w:hAnsi="微软雅黑" w:eastAsia="微软雅黑" w:cs="微软雅黑"/>
          <w:color w:val="231F20"/>
          <w:spacing w:val="-6"/>
          <w:sz w:val="22"/>
          <w:szCs w:val="22"/>
        </w:rPr>
        <w:t>动 ，如成功举办济南、淄博、济宁三地城市路演 ，开展烟台、潍坊、威海、  日照、</w:t>
      </w:r>
      <w:r>
        <w:rPr>
          <w:rFonts w:ascii="微软雅黑" w:hAnsi="微软雅黑" w:eastAsia="微软雅黑" w:cs="微软雅黑"/>
          <w:color w:val="231F20"/>
          <w:sz w:val="22"/>
          <w:szCs w:val="22"/>
        </w:rPr>
        <w:t xml:space="preserve"> 聊城、滨州六地面向跨国公司专场交流对接活动等 ，进一步提升山东知名度 ，增强对 </w:t>
      </w:r>
      <w:r>
        <w:rPr>
          <w:rFonts w:ascii="微软雅黑" w:hAnsi="微软雅黑" w:eastAsia="微软雅黑" w:cs="微软雅黑"/>
          <w:color w:val="231F20"/>
          <w:spacing w:val="-1"/>
          <w:sz w:val="22"/>
          <w:szCs w:val="22"/>
        </w:rPr>
        <w:t>外资</w:t>
      </w:r>
      <w:r>
        <w:rPr>
          <w:rFonts w:ascii="微软雅黑" w:hAnsi="微软雅黑" w:eastAsia="微软雅黑" w:cs="微软雅黑"/>
          <w:color w:val="231F20"/>
          <w:sz w:val="22"/>
          <w:szCs w:val="22"/>
        </w:rPr>
        <w:t>的吸引力。</w:t>
      </w:r>
    </w:p>
    <w:p>
      <w:pPr>
        <w:spacing w:before="172" w:line="263" w:lineRule="auto"/>
        <w:ind w:left="1996" w:right="1898" w:firstLine="447"/>
        <w:rPr>
          <w:rFonts w:ascii="微软雅黑" w:hAnsi="微软雅黑" w:eastAsia="微软雅黑" w:cs="微软雅黑"/>
          <w:sz w:val="22"/>
          <w:szCs w:val="22"/>
        </w:rPr>
      </w:pPr>
      <w:r>
        <w:rPr>
          <w:rFonts w:ascii="SimHei" w:hAnsi="SimHei" w:eastAsia="SimHei" w:cs="SimHei"/>
          <w:color w:val="231F20"/>
          <w:spacing w:val="-7"/>
          <w:sz w:val="22"/>
          <w:szCs w:val="22"/>
        </w:rPr>
        <w:t>加</w:t>
      </w:r>
      <w:r>
        <w:rPr>
          <w:rFonts w:ascii="SimHei" w:hAnsi="SimHei" w:eastAsia="SimHei" w:cs="SimHei"/>
          <w:color w:val="231F20"/>
          <w:spacing w:val="-5"/>
          <w:sz w:val="22"/>
          <w:szCs w:val="22"/>
        </w:rPr>
        <w:t xml:space="preserve">强特色地方对话平台引资。 </w:t>
      </w:r>
      <w:r>
        <w:rPr>
          <w:rFonts w:ascii="微软雅黑" w:hAnsi="微软雅黑" w:eastAsia="微软雅黑" w:cs="微软雅黑"/>
          <w:color w:val="231F20"/>
          <w:spacing w:val="-5"/>
          <w:sz w:val="22"/>
          <w:szCs w:val="22"/>
        </w:rPr>
        <w:t>山东结合地方特色 ，以交流促投资、以沟通提信心、</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以诚</w:t>
      </w:r>
      <w:r>
        <w:rPr>
          <w:rFonts w:ascii="微软雅黑" w:hAnsi="微软雅黑" w:eastAsia="微软雅黑" w:cs="微软雅黑"/>
          <w:color w:val="231F20"/>
          <w:spacing w:val="-5"/>
          <w:sz w:val="22"/>
          <w:szCs w:val="22"/>
        </w:rPr>
        <w:t xml:space="preserve">意迎外宾 ，党政领导一把手出席“对话商协会 </w:t>
      </w:r>
      <w:r>
        <w:rPr>
          <w:rFonts w:ascii="Times New Roman" w:hAnsi="Times New Roman" w:eastAsia="Times New Roman" w:cs="Times New Roman"/>
          <w:color w:val="231F20"/>
          <w:spacing w:val="-5"/>
          <w:sz w:val="22"/>
          <w:szCs w:val="22"/>
        </w:rPr>
        <w:t xml:space="preserve">· </w:t>
      </w:r>
      <w:r>
        <w:rPr>
          <w:rFonts w:ascii="微软雅黑" w:hAnsi="微软雅黑" w:eastAsia="微软雅黑" w:cs="微软雅黑"/>
          <w:color w:val="231F20"/>
          <w:spacing w:val="-5"/>
          <w:sz w:val="22"/>
          <w:szCs w:val="22"/>
        </w:rPr>
        <w:t>齐鲁之约”活动 ，发表主旨演讲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宣传相关引资政策 ，拉近与企业之间的距离。在疫情防控背景下，  </w:t>
      </w:r>
      <w:r>
        <w:rPr>
          <w:rFonts w:ascii="微软雅黑" w:hAnsi="微软雅黑" w:eastAsia="微软雅黑" w:cs="微软雅黑"/>
          <w:color w:val="231F20"/>
          <w:spacing w:val="-1"/>
          <w:sz w:val="22"/>
          <w:szCs w:val="22"/>
        </w:rPr>
        <w:t>山东创办了“山东</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与世界 </w:t>
      </w:r>
      <w:r>
        <w:rPr>
          <w:rFonts w:ascii="Times New Roman" w:hAnsi="Times New Roman" w:eastAsia="Times New Roman" w:cs="Times New Roman"/>
          <w:color w:val="231F20"/>
          <w:spacing w:val="2"/>
          <w:sz w:val="22"/>
          <w:szCs w:val="22"/>
        </w:rPr>
        <w:t xml:space="preserve">500 </w:t>
      </w:r>
      <w:r>
        <w:rPr>
          <w:rFonts w:ascii="微软雅黑" w:hAnsi="微软雅黑" w:eastAsia="微软雅黑" w:cs="微软雅黑"/>
          <w:color w:val="231F20"/>
          <w:spacing w:val="2"/>
          <w:sz w:val="22"/>
          <w:szCs w:val="22"/>
        </w:rPr>
        <w:t>强连线”系列对话活动，</w:t>
      </w:r>
      <w:r>
        <w:rPr>
          <w:rFonts w:ascii="Times New Roman" w:hAnsi="Times New Roman" w:eastAsia="Times New Roman" w:cs="Times New Roman"/>
          <w:color w:val="231F20"/>
          <w:spacing w:val="2"/>
          <w:sz w:val="22"/>
          <w:szCs w:val="22"/>
        </w:rPr>
        <w:t xml:space="preserve">2020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8 </w:t>
      </w:r>
      <w:r>
        <w:rPr>
          <w:rFonts w:ascii="微软雅黑" w:hAnsi="微软雅黑" w:eastAsia="微软雅黑" w:cs="微软雅黑"/>
          <w:color w:val="231F20"/>
          <w:spacing w:val="2"/>
          <w:sz w:val="22"/>
          <w:szCs w:val="22"/>
        </w:rPr>
        <w:t>月以来已经</w:t>
      </w:r>
      <w:r>
        <w:rPr>
          <w:rFonts w:ascii="微软雅黑" w:hAnsi="微软雅黑" w:eastAsia="微软雅黑" w:cs="微软雅黑"/>
          <w:color w:val="231F20"/>
          <w:spacing w:val="1"/>
          <w:sz w:val="22"/>
          <w:szCs w:val="22"/>
        </w:rPr>
        <w:t xml:space="preserve">开展 </w:t>
      </w:r>
      <w:r>
        <w:rPr>
          <w:rFonts w:ascii="Times New Roman" w:hAnsi="Times New Roman" w:eastAsia="Times New Roman" w:cs="Times New Roman"/>
          <w:color w:val="231F20"/>
          <w:spacing w:val="1"/>
          <w:sz w:val="22"/>
          <w:szCs w:val="22"/>
        </w:rPr>
        <w:t xml:space="preserve">10 </w:t>
      </w:r>
      <w:r>
        <w:rPr>
          <w:rFonts w:ascii="微软雅黑" w:hAnsi="微软雅黑" w:eastAsia="微软雅黑" w:cs="微软雅黑"/>
          <w:color w:val="231F20"/>
          <w:spacing w:val="1"/>
          <w:sz w:val="22"/>
          <w:szCs w:val="22"/>
        </w:rPr>
        <w:t>场专题活动 ，重点</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5283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73" name="IM 373"/>
            <wp:cNvGraphicFramePr/>
            <a:graphic xmlns:a="http://schemas.openxmlformats.org/drawingml/2006/main">
              <a:graphicData uri="http://schemas.openxmlformats.org/drawingml/2006/picture">
                <pic:pic xmlns:pic="http://schemas.openxmlformats.org/drawingml/2006/picture">
                  <pic:nvPicPr>
                    <pic:cNvPr id="373" name="IM 373"/>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6"/>
        <w:rPr>
          <w:rFonts w:ascii="SimHei" w:hAnsi="SimHei" w:eastAsia="SimHei" w:cs="SimHei"/>
          <w:sz w:val="21"/>
          <w:szCs w:val="21"/>
        </w:rPr>
      </w:pPr>
      <w:bookmarkStart w:id="96" w:name="_bookmark82"/>
      <w:bookmarkEnd w:id="96"/>
      <w:bookmarkStart w:id="97" w:name="_bookmark81"/>
      <w:bookmarkEnd w:id="97"/>
      <w:r>
        <w:rPr>
          <w:rFonts w:ascii="Arial" w:hAnsi="Arial" w:eastAsia="Arial" w:cs="Arial"/>
          <w:color w:val="231F20"/>
          <w:spacing w:val="39"/>
          <w:sz w:val="20"/>
          <w:szCs w:val="20"/>
        </w:rPr>
        <w:t>7</w:t>
      </w:r>
      <w:r>
        <w:rPr>
          <w:rFonts w:ascii="Arial" w:hAnsi="Arial" w:eastAsia="Arial" w:cs="Arial"/>
          <w:color w:val="231F20"/>
          <w:spacing w:val="21"/>
          <w:sz w:val="20"/>
          <w:szCs w:val="20"/>
        </w:rPr>
        <w:t xml:space="preserve">8  </w:t>
      </w:r>
      <w:r>
        <w:rPr>
          <w:position w:val="-5"/>
          <w:sz w:val="20"/>
          <w:szCs w:val="20"/>
        </w:rPr>
        <w:drawing>
          <wp:inline distT="0" distB="0" distL="0" distR="0">
            <wp:extent cx="3175" cy="147320"/>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375" name="IM 375"/>
            <wp:cNvGraphicFramePr/>
            <a:graphic xmlns:a="http://schemas.openxmlformats.org/drawingml/2006/main">
              <a:graphicData uri="http://schemas.openxmlformats.org/drawingml/2006/picture">
                <pic:pic xmlns:pic="http://schemas.openxmlformats.org/drawingml/2006/picture">
                  <pic:nvPicPr>
                    <pic:cNvPr id="375" name="IM 375"/>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4" w:line="263" w:lineRule="auto"/>
        <w:ind w:left="1986" w:right="1920" w:firstLine="22"/>
        <w:rPr>
          <w:rFonts w:ascii="微软雅黑" w:hAnsi="微软雅黑" w:eastAsia="微软雅黑" w:cs="微软雅黑"/>
          <w:sz w:val="22"/>
          <w:szCs w:val="22"/>
        </w:rPr>
      </w:pPr>
      <w:r>
        <w:rPr>
          <w:rFonts w:ascii="微软雅黑" w:hAnsi="微软雅黑" w:eastAsia="微软雅黑" w:cs="微软雅黑"/>
          <w:color w:val="231F20"/>
          <w:spacing w:val="3"/>
          <w:sz w:val="22"/>
          <w:szCs w:val="22"/>
        </w:rPr>
        <w:t>围绕高端装备、现代海洋、新能源新材料、生物医药、国际贸易和航运物流、新一</w:t>
      </w:r>
      <w:r>
        <w:rPr>
          <w:rFonts w:ascii="微软雅黑" w:hAnsi="微软雅黑" w:eastAsia="微软雅黑" w:cs="微软雅黑"/>
          <w:color w:val="231F20"/>
          <w:spacing w:val="2"/>
          <w:sz w:val="22"/>
          <w:szCs w:val="22"/>
        </w:rPr>
        <w:t>代</w:t>
      </w:r>
      <w:r>
        <w:rPr>
          <w:rFonts w:ascii="微软雅黑" w:hAnsi="微软雅黑" w:eastAsia="微软雅黑" w:cs="微软雅黑"/>
          <w:color w:val="231F20"/>
          <w:sz w:val="22"/>
          <w:szCs w:val="22"/>
        </w:rPr>
        <w:t xml:space="preserve"> 信息技术等开展对话 ，活动主题从地区“专场”到合作“推进会” 、从立足地区到锁 </w:t>
      </w:r>
      <w:r>
        <w:rPr>
          <w:rFonts w:ascii="微软雅黑" w:hAnsi="微软雅黑" w:eastAsia="微软雅黑" w:cs="微软雅黑"/>
          <w:color w:val="231F20"/>
          <w:spacing w:val="-6"/>
          <w:sz w:val="22"/>
          <w:szCs w:val="22"/>
        </w:rPr>
        <w:t>定产业，连</w:t>
      </w:r>
      <w:r>
        <w:rPr>
          <w:rFonts w:ascii="微软雅黑" w:hAnsi="微软雅黑" w:eastAsia="微软雅黑" w:cs="微软雅黑"/>
          <w:color w:val="231F20"/>
          <w:spacing w:val="-3"/>
          <w:sz w:val="22"/>
          <w:szCs w:val="22"/>
        </w:rPr>
        <w:t xml:space="preserve">线活动针对性和有效性不断提升，外资促进作用日益显著。截至 </w:t>
      </w:r>
      <w:r>
        <w:rPr>
          <w:rFonts w:ascii="Times New Roman" w:hAnsi="Times New Roman" w:eastAsia="Times New Roman" w:cs="Times New Roman"/>
          <w:color w:val="231F20"/>
          <w:spacing w:val="-3"/>
          <w:sz w:val="22"/>
          <w:szCs w:val="22"/>
        </w:rPr>
        <w:t xml:space="preserve">2021 </w:t>
      </w:r>
      <w:r>
        <w:rPr>
          <w:rFonts w:ascii="微软雅黑" w:hAnsi="微软雅黑" w:eastAsia="微软雅黑" w:cs="微软雅黑"/>
          <w:color w:val="231F20"/>
          <w:spacing w:val="-3"/>
          <w:sz w:val="22"/>
          <w:szCs w:val="22"/>
        </w:rPr>
        <w:t>年底，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全球 </w:t>
      </w:r>
      <w:r>
        <w:rPr>
          <w:rFonts w:ascii="Times New Roman" w:hAnsi="Times New Roman" w:eastAsia="Times New Roman" w:cs="Times New Roman"/>
          <w:color w:val="231F20"/>
          <w:spacing w:val="-1"/>
          <w:sz w:val="22"/>
          <w:szCs w:val="22"/>
        </w:rPr>
        <w:t xml:space="preserve">500 </w:t>
      </w:r>
      <w:r>
        <w:rPr>
          <w:rFonts w:ascii="微软雅黑" w:hAnsi="微软雅黑" w:eastAsia="微软雅黑" w:cs="微软雅黑"/>
          <w:color w:val="231F20"/>
          <w:spacing w:val="-1"/>
          <w:sz w:val="22"/>
          <w:szCs w:val="22"/>
        </w:rPr>
        <w:t>强</w:t>
      </w:r>
      <w:r>
        <w:rPr>
          <w:rFonts w:ascii="微软雅黑" w:hAnsi="微软雅黑" w:eastAsia="微软雅黑" w:cs="微软雅黑"/>
          <w:color w:val="231F20"/>
          <w:sz w:val="22"/>
          <w:szCs w:val="22"/>
        </w:rPr>
        <w:t xml:space="preserve">中已有 </w:t>
      </w:r>
      <w:r>
        <w:rPr>
          <w:rFonts w:ascii="Times New Roman" w:hAnsi="Times New Roman" w:eastAsia="Times New Roman" w:cs="Times New Roman"/>
          <w:color w:val="231F20"/>
          <w:sz w:val="22"/>
          <w:szCs w:val="22"/>
        </w:rPr>
        <w:t xml:space="preserve">223 </w:t>
      </w:r>
      <w:r>
        <w:rPr>
          <w:rFonts w:ascii="微软雅黑" w:hAnsi="微软雅黑" w:eastAsia="微软雅黑" w:cs="微软雅黑"/>
          <w:color w:val="231F20"/>
          <w:sz w:val="22"/>
          <w:szCs w:val="22"/>
        </w:rPr>
        <w:t>家在山东投资。</w:t>
      </w:r>
    </w:p>
    <w:p>
      <w:pPr>
        <w:spacing w:line="349" w:lineRule="auto"/>
        <w:rPr>
          <w:rFonts w:ascii="Arial"/>
          <w:sz w:val="21"/>
        </w:rPr>
      </w:pPr>
    </w:p>
    <w:p>
      <w:pPr>
        <w:spacing w:line="350" w:lineRule="auto"/>
        <w:rPr>
          <w:rFonts w:ascii="Arial"/>
          <w:sz w:val="21"/>
        </w:rPr>
      </w:pPr>
    </w:p>
    <w:p>
      <w:pPr>
        <w:spacing w:line="7569" w:lineRule="exact"/>
        <w:ind w:firstLine="1989"/>
        <w:textAlignment w:val="center"/>
      </w:pPr>
      <w:r>
        <w:pict>
          <v:group id="_x0000_s1479" o:spid="_x0000_s1479" o:spt="203" style="height:378.45pt;width:413.6pt;" coordsize="8272,7569">
            <o:lock v:ext="edit"/>
            <v:rect id="_x0000_s1480" o:spid="_x0000_s1480" o:spt="1" style="position:absolute;left:0;top:0;height:7569;width:8272;" fillcolor="#004876" filled="t" stroked="f" coordsize="21600,21600">
              <v:path/>
              <v:fill on="t" opacity="6425f" focussize="0,0"/>
              <v:stroke on="f"/>
              <v:imagedata o:title=""/>
              <o:lock v:ext="edit"/>
            </v:rect>
            <v:shape id="_x0000_s1481" o:spid="_x0000_s1481" o:spt="202" type="#_x0000_t202" style="position:absolute;left:377;top:372;height:6990;width:7504;" filled="f" stroked="f" coordsize="21600,21600">
              <v:path/>
              <v:fill on="f" focussize="0,0"/>
              <v:stroke on="f"/>
              <v:imagedata o:title=""/>
              <o:lock v:ext="edit" aspectratio="f"/>
              <v:textbox inset="0mm,0mm,0mm,0mm">
                <w:txbxContent>
                  <w:p>
                    <w:pPr>
                      <w:spacing w:before="20" w:line="40" w:lineRule="exact"/>
                      <w:ind w:firstLine="20"/>
                      <w:textAlignment w:val="center"/>
                    </w:pPr>
                    <w:r>
                      <w:drawing>
                        <wp:inline distT="0" distB="0" distL="0" distR="0">
                          <wp:extent cx="4739005" cy="25400"/>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153"/>
                                  <a:stretch>
                                    <a:fillRect/>
                                  </a:stretch>
                                </pic:blipFill>
                                <pic:spPr>
                                  <a:xfrm>
                                    <a:off x="0" y="0"/>
                                    <a:ext cx="4739398" cy="25400"/>
                                  </a:xfrm>
                                  <a:prstGeom prst="rect">
                                    <a:avLst/>
                                  </a:prstGeom>
                                </pic:spPr>
                              </pic:pic>
                            </a:graphicData>
                          </a:graphic>
                        </wp:inline>
                      </w:drawing>
                    </w:r>
                  </w:p>
                  <w:p>
                    <w:pPr>
                      <w:spacing w:before="132" w:line="191" w:lineRule="auto"/>
                      <w:ind w:left="148"/>
                      <w:rPr>
                        <w:rFonts w:ascii="Times New Roman" w:hAnsi="Times New Roman" w:eastAsia="Times New Roman" w:cs="Times New Roman"/>
                        <w:sz w:val="20"/>
                        <w:szCs w:val="20"/>
                      </w:rPr>
                    </w:pPr>
                    <w:r>
                      <w:rPr>
                        <w:rFonts w:ascii="SimHei" w:hAnsi="SimHei" w:eastAsia="SimHei" w:cs="SimHei"/>
                        <w:color w:val="015DAC"/>
                        <w:spacing w:val="4"/>
                        <w:sz w:val="20"/>
                        <w:szCs w:val="20"/>
                      </w:rPr>
                      <w:t>专</w:t>
                    </w:r>
                    <w:r>
                      <w:rPr>
                        <w:rFonts w:ascii="SimHei" w:hAnsi="SimHei" w:eastAsia="SimHei" w:cs="SimHei"/>
                        <w:color w:val="015DAC"/>
                        <w:spacing w:val="2"/>
                        <w:sz w:val="20"/>
                        <w:szCs w:val="20"/>
                      </w:rPr>
                      <w:t xml:space="preserve">栏 </w:t>
                    </w:r>
                    <w:r>
                      <w:rPr>
                        <w:rFonts w:ascii="Times New Roman" w:hAnsi="Times New Roman" w:eastAsia="Times New Roman" w:cs="Times New Roman"/>
                        <w:color w:val="015DAC"/>
                        <w:spacing w:val="2"/>
                        <w:sz w:val="20"/>
                        <w:szCs w:val="20"/>
                      </w:rPr>
                      <w:t>3-4</w:t>
                    </w:r>
                  </w:p>
                  <w:p>
                    <w:pPr>
                      <w:spacing w:line="349" w:lineRule="exact"/>
                      <w:ind w:left="1543"/>
                      <w:rPr>
                        <w:rFonts w:ascii="SimHei" w:hAnsi="SimHei" w:eastAsia="SimHei" w:cs="SimHei"/>
                        <w:sz w:val="26"/>
                        <w:szCs w:val="26"/>
                      </w:rPr>
                    </w:pPr>
                    <w:r>
                      <w:rPr>
                        <w:rFonts w:ascii="SimHei" w:hAnsi="SimHei" w:eastAsia="SimHei" w:cs="SimHei"/>
                        <w:color w:val="015DAC"/>
                        <w:spacing w:val="19"/>
                        <w:position w:val="1"/>
                        <w:sz w:val="26"/>
                        <w:szCs w:val="26"/>
                        <w14:textOutline w14:w="3175" w14:cap="flat" w14:cmpd="sng">
                          <w14:solidFill>
                            <w14:srgbClr w14:val="015DAC"/>
                          </w14:solidFill>
                          <w14:prstDash w14:val="solid"/>
                          <w14:miter w14:val="0"/>
                        </w14:textOutline>
                      </w:rPr>
                      <w:t>山东举办投资促进对话活动有关情</w:t>
                    </w:r>
                    <w:r>
                      <w:rPr>
                        <w:rFonts w:ascii="SimHei" w:hAnsi="SimHei" w:eastAsia="SimHei" w:cs="SimHei"/>
                        <w:color w:val="015DAC"/>
                        <w:spacing w:val="18"/>
                        <w:position w:val="1"/>
                        <w:sz w:val="26"/>
                        <w:szCs w:val="26"/>
                        <w14:textOutline w14:w="3175" w14:cap="flat" w14:cmpd="sng">
                          <w14:solidFill>
                            <w14:srgbClr w14:val="015DAC"/>
                          </w14:solidFill>
                          <w14:prstDash w14:val="solid"/>
                          <w14:miter w14:val="0"/>
                        </w14:textOutline>
                      </w:rPr>
                      <w:t>况</w:t>
                    </w:r>
                  </w:p>
                  <w:p>
                    <w:pPr>
                      <w:spacing w:before="229" w:line="40" w:lineRule="exact"/>
                      <w:ind w:firstLine="20"/>
                      <w:textAlignment w:val="center"/>
                    </w:pPr>
                    <w:r>
                      <w:drawing>
                        <wp:inline distT="0" distB="0" distL="0" distR="0">
                          <wp:extent cx="4739005" cy="25400"/>
                          <wp:effectExtent l="0" t="0" r="0" b="0"/>
                          <wp:docPr id="377" name="IM 377"/>
                          <wp:cNvGraphicFramePr/>
                          <a:graphic xmlns:a="http://schemas.openxmlformats.org/drawingml/2006/main">
                            <a:graphicData uri="http://schemas.openxmlformats.org/drawingml/2006/picture">
                              <pic:pic xmlns:pic="http://schemas.openxmlformats.org/drawingml/2006/picture">
                                <pic:nvPicPr>
                                  <pic:cNvPr id="377" name="IM 377"/>
                                  <pic:cNvPicPr/>
                                </pic:nvPicPr>
                                <pic:blipFill>
                                  <a:blip r:embed="rId154"/>
                                  <a:stretch>
                                    <a:fillRect/>
                                  </a:stretch>
                                </pic:blipFill>
                                <pic:spPr>
                                  <a:xfrm>
                                    <a:off x="0" y="0"/>
                                    <a:ext cx="4739398" cy="25400"/>
                                  </a:xfrm>
                                  <a:prstGeom prst="rect">
                                    <a:avLst/>
                                  </a:prstGeom>
                                </pic:spPr>
                              </pic:pic>
                            </a:graphicData>
                          </a:graphic>
                        </wp:inline>
                      </w:drawing>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86" w:line="291" w:lineRule="auto"/>
                      <w:ind w:left="106" w:right="51" w:firstLine="409"/>
                      <w:rPr>
                        <w:rFonts w:ascii="微软雅黑" w:hAnsi="微软雅黑" w:eastAsia="微软雅黑" w:cs="微软雅黑"/>
                        <w:sz w:val="20"/>
                        <w:szCs w:val="20"/>
                      </w:rPr>
                    </w:pPr>
                    <w:r>
                      <w:rPr>
                        <w:rFonts w:ascii="SimHei" w:hAnsi="SimHei" w:eastAsia="SimHei" w:cs="SimHei"/>
                        <w:color w:val="231F20"/>
                        <w:spacing w:val="2"/>
                        <w:sz w:val="20"/>
                        <w:szCs w:val="20"/>
                      </w:rPr>
                      <w:t>第二届跨国公司领导人青岛峰</w:t>
                    </w:r>
                    <w:r>
                      <w:rPr>
                        <w:rFonts w:ascii="SimHei" w:hAnsi="SimHei" w:eastAsia="SimHei" w:cs="SimHei"/>
                        <w:color w:val="231F20"/>
                        <w:spacing w:val="1"/>
                        <w:sz w:val="20"/>
                        <w:szCs w:val="20"/>
                      </w:rPr>
                      <w:t>会。</w:t>
                    </w:r>
                    <w:r>
                      <w:rPr>
                        <w:rFonts w:ascii="Times New Roman" w:hAnsi="Times New Roman" w:eastAsia="Times New Roman" w:cs="Times New Roman"/>
                        <w:color w:val="231F20"/>
                        <w:spacing w:val="1"/>
                        <w:sz w:val="20"/>
                        <w:szCs w:val="20"/>
                      </w:rPr>
                      <w:t xml:space="preserve">2021 </w:t>
                    </w:r>
                    <w:r>
                      <w:rPr>
                        <w:rFonts w:ascii="微软雅黑" w:hAnsi="微软雅黑" w:eastAsia="微软雅黑" w:cs="微软雅黑"/>
                        <w:color w:val="231F20"/>
                        <w:spacing w:val="1"/>
                        <w:sz w:val="20"/>
                        <w:szCs w:val="20"/>
                      </w:rPr>
                      <w:t xml:space="preserve">年 </w:t>
                    </w:r>
                    <w:r>
                      <w:rPr>
                        <w:rFonts w:ascii="Times New Roman" w:hAnsi="Times New Roman" w:eastAsia="Times New Roman" w:cs="Times New Roman"/>
                        <w:color w:val="231F20"/>
                        <w:spacing w:val="1"/>
                        <w:sz w:val="20"/>
                        <w:szCs w:val="20"/>
                      </w:rPr>
                      <w:t xml:space="preserve">7 </w:t>
                    </w:r>
                    <w:r>
                      <w:rPr>
                        <w:rFonts w:ascii="微软雅黑" w:hAnsi="微软雅黑" w:eastAsia="微软雅黑" w:cs="微软雅黑"/>
                        <w:color w:val="231F20"/>
                        <w:spacing w:val="1"/>
                        <w:sz w:val="20"/>
                        <w:szCs w:val="20"/>
                      </w:rPr>
                      <w:t xml:space="preserve">月 </w:t>
                    </w:r>
                    <w:r>
                      <w:rPr>
                        <w:rFonts w:ascii="Times New Roman" w:hAnsi="Times New Roman" w:eastAsia="Times New Roman" w:cs="Times New Roman"/>
                        <w:color w:val="231F20"/>
                        <w:spacing w:val="1"/>
                        <w:sz w:val="20"/>
                        <w:szCs w:val="20"/>
                      </w:rPr>
                      <w:t xml:space="preserve">15 </w:t>
                    </w:r>
                    <w:r>
                      <w:rPr>
                        <w:rFonts w:ascii="微软雅黑" w:hAnsi="微软雅黑" w:eastAsia="微软雅黑" w:cs="微软雅黑"/>
                        <w:color w:val="231F20"/>
                        <w:spacing w:val="1"/>
                        <w:sz w:val="20"/>
                        <w:szCs w:val="20"/>
                      </w:rPr>
                      <w:t xml:space="preserve">日至 </w:t>
                    </w:r>
                    <w:r>
                      <w:rPr>
                        <w:rFonts w:ascii="Times New Roman" w:hAnsi="Times New Roman" w:eastAsia="Times New Roman" w:cs="Times New Roman"/>
                        <w:color w:val="231F20"/>
                        <w:spacing w:val="1"/>
                        <w:sz w:val="20"/>
                        <w:szCs w:val="20"/>
                      </w:rPr>
                      <w:t xml:space="preserve">16 </w:t>
                    </w:r>
                    <w:r>
                      <w:rPr>
                        <w:rFonts w:ascii="微软雅黑" w:hAnsi="微软雅黑" w:eastAsia="微软雅黑" w:cs="微软雅黑"/>
                        <w:color w:val="231F20"/>
                        <w:spacing w:val="1"/>
                        <w:sz w:val="20"/>
                        <w:szCs w:val="20"/>
                      </w:rPr>
                      <w:t>日 ，第 二届跨国公</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司领导人青岛峰会举行，  多位国际组织负责人、政要出席 ，共有 </w:t>
                    </w:r>
                    <w:r>
                      <w:rPr>
                        <w:rFonts w:ascii="Times New Roman" w:hAnsi="Times New Roman" w:eastAsia="Times New Roman" w:cs="Times New Roman"/>
                        <w:color w:val="231F20"/>
                        <w:spacing w:val="-3"/>
                        <w:sz w:val="20"/>
                        <w:szCs w:val="20"/>
                      </w:rPr>
                      <w:t xml:space="preserve">390 </w:t>
                    </w:r>
                    <w:r>
                      <w:rPr>
                        <w:rFonts w:ascii="微软雅黑" w:hAnsi="微软雅黑" w:eastAsia="微软雅黑" w:cs="微软雅黑"/>
                        <w:color w:val="231F20"/>
                        <w:spacing w:val="-3"/>
                        <w:sz w:val="20"/>
                        <w:szCs w:val="20"/>
                      </w:rPr>
                      <w:t xml:space="preserve">家世界 </w:t>
                    </w:r>
                    <w:r>
                      <w:rPr>
                        <w:rFonts w:ascii="Times New Roman" w:hAnsi="Times New Roman" w:eastAsia="Times New Roman" w:cs="Times New Roman"/>
                        <w:color w:val="231F20"/>
                        <w:spacing w:val="-3"/>
                        <w:sz w:val="20"/>
                        <w:szCs w:val="20"/>
                      </w:rPr>
                      <w:t xml:space="preserve">500 </w:t>
                    </w:r>
                    <w:r>
                      <w:rPr>
                        <w:rFonts w:ascii="微软雅黑" w:hAnsi="微软雅黑" w:eastAsia="微软雅黑" w:cs="微软雅黑"/>
                        <w:color w:val="231F20"/>
                        <w:spacing w:val="-1"/>
                        <w:sz w:val="20"/>
                        <w:szCs w:val="20"/>
                      </w:rPr>
                      <w:t>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企业及</w:t>
                    </w:r>
                    <w:r>
                      <w:rPr>
                        <w:rFonts w:ascii="Times New Roman" w:hAnsi="Times New Roman" w:eastAsia="Times New Roman" w:cs="Times New Roman"/>
                        <w:color w:val="231F20"/>
                        <w:spacing w:val="-6"/>
                        <w:sz w:val="20"/>
                        <w:szCs w:val="20"/>
                      </w:rPr>
                      <w:t xml:space="preserve">517 </w:t>
                    </w:r>
                    <w:r>
                      <w:rPr>
                        <w:rFonts w:ascii="微软雅黑" w:hAnsi="微软雅黑" w:eastAsia="微软雅黑" w:cs="微软雅黑"/>
                        <w:color w:val="231F20"/>
                        <w:spacing w:val="-6"/>
                        <w:sz w:val="20"/>
                        <w:szCs w:val="20"/>
                      </w:rPr>
                      <w:t>家行</w:t>
                    </w:r>
                    <w:r>
                      <w:rPr>
                        <w:rFonts w:ascii="微软雅黑" w:hAnsi="微软雅黑" w:eastAsia="微软雅黑" w:cs="微软雅黑"/>
                        <w:color w:val="231F20"/>
                        <w:spacing w:val="-5"/>
                        <w:sz w:val="20"/>
                        <w:szCs w:val="20"/>
                      </w:rPr>
                      <w:t>业</w:t>
                    </w:r>
                    <w:r>
                      <w:rPr>
                        <w:rFonts w:ascii="微软雅黑" w:hAnsi="微软雅黑" w:eastAsia="微软雅黑" w:cs="微软雅黑"/>
                        <w:color w:val="231F20"/>
                        <w:spacing w:val="-3"/>
                        <w:sz w:val="20"/>
                        <w:szCs w:val="20"/>
                      </w:rPr>
                      <w:t>领军企业参会。峰会合计签订外资项目</w:t>
                    </w:r>
                    <w:r>
                      <w:rPr>
                        <w:rFonts w:ascii="Times New Roman" w:hAnsi="Times New Roman" w:eastAsia="Times New Roman" w:cs="Times New Roman"/>
                        <w:color w:val="231F20"/>
                        <w:spacing w:val="-3"/>
                        <w:sz w:val="20"/>
                        <w:szCs w:val="20"/>
                      </w:rPr>
                      <w:t>96</w:t>
                    </w:r>
                    <w:r>
                      <w:rPr>
                        <w:rFonts w:ascii="微软雅黑" w:hAnsi="微软雅黑" w:eastAsia="微软雅黑" w:cs="微软雅黑"/>
                        <w:color w:val="231F20"/>
                        <w:spacing w:val="-3"/>
                        <w:sz w:val="20"/>
                        <w:szCs w:val="20"/>
                      </w:rPr>
                      <w:t xml:space="preserve">个，总投资 </w:t>
                    </w:r>
                    <w:r>
                      <w:rPr>
                        <w:rFonts w:ascii="Times New Roman" w:hAnsi="Times New Roman" w:eastAsia="Times New Roman" w:cs="Times New Roman"/>
                        <w:color w:val="231F20"/>
                        <w:spacing w:val="-3"/>
                        <w:sz w:val="20"/>
                        <w:szCs w:val="20"/>
                      </w:rPr>
                      <w:t xml:space="preserve">118.5 </w:t>
                    </w:r>
                    <w:r>
                      <w:rPr>
                        <w:rFonts w:ascii="微软雅黑" w:hAnsi="微软雅黑" w:eastAsia="微软雅黑" w:cs="微软雅黑"/>
                        <w:color w:val="231F20"/>
                        <w:spacing w:val="-3"/>
                        <w:sz w:val="20"/>
                        <w:szCs w:val="20"/>
                      </w:rPr>
                      <w:t>亿美元。</w:t>
                    </w:r>
                  </w:p>
                  <w:p>
                    <w:pPr>
                      <w:spacing w:before="182" w:line="286" w:lineRule="auto"/>
                      <w:ind w:left="104" w:right="56" w:firstLine="421"/>
                      <w:rPr>
                        <w:rFonts w:ascii="微软雅黑" w:hAnsi="微软雅黑" w:eastAsia="微软雅黑" w:cs="微软雅黑"/>
                        <w:sz w:val="20"/>
                        <w:szCs w:val="20"/>
                      </w:rPr>
                    </w:pPr>
                    <w:r>
                      <w:rPr>
                        <w:rFonts w:ascii="SimHei" w:hAnsi="SimHei" w:eastAsia="SimHei" w:cs="SimHei"/>
                        <w:color w:val="231F20"/>
                        <w:spacing w:val="-2"/>
                        <w:sz w:val="20"/>
                        <w:szCs w:val="20"/>
                      </w:rPr>
                      <w:t>山东与世界 500 强连线暨深化与日韩合作推进会。</w:t>
                    </w:r>
                    <w:r>
                      <w:rPr>
                        <w:rFonts w:ascii="Times New Roman" w:hAnsi="Times New Roman" w:eastAsia="Times New Roman" w:cs="Times New Roman"/>
                        <w:color w:val="231F20"/>
                        <w:spacing w:val="-2"/>
                        <w:sz w:val="20"/>
                        <w:szCs w:val="20"/>
                      </w:rPr>
                      <w:t xml:space="preserve">2021 </w:t>
                    </w:r>
                    <w:r>
                      <w:rPr>
                        <w:rFonts w:ascii="微软雅黑" w:hAnsi="微软雅黑" w:eastAsia="微软雅黑" w:cs="微软雅黑"/>
                        <w:color w:val="231F20"/>
                        <w:spacing w:val="-2"/>
                        <w:sz w:val="20"/>
                        <w:szCs w:val="20"/>
                      </w:rPr>
                      <w:t xml:space="preserve">年 </w:t>
                    </w:r>
                    <w:r>
                      <w:rPr>
                        <w:rFonts w:ascii="Times New Roman" w:hAnsi="Times New Roman" w:eastAsia="Times New Roman" w:cs="Times New Roman"/>
                        <w:color w:val="231F20"/>
                        <w:spacing w:val="-2"/>
                        <w:sz w:val="20"/>
                        <w:szCs w:val="20"/>
                      </w:rPr>
                      <w:t xml:space="preserve">12 </w:t>
                    </w:r>
                    <w:r>
                      <w:rPr>
                        <w:rFonts w:ascii="微软雅黑" w:hAnsi="微软雅黑" w:eastAsia="微软雅黑" w:cs="微软雅黑"/>
                        <w:color w:val="231F20"/>
                        <w:spacing w:val="-2"/>
                        <w:sz w:val="20"/>
                        <w:szCs w:val="20"/>
                      </w:rPr>
                      <w:t xml:space="preserve">月 </w:t>
                    </w:r>
                    <w:r>
                      <w:rPr>
                        <w:rFonts w:ascii="Times New Roman" w:hAnsi="Times New Roman" w:eastAsia="Times New Roman" w:cs="Times New Roman"/>
                        <w:color w:val="231F20"/>
                        <w:spacing w:val="-2"/>
                        <w:sz w:val="20"/>
                        <w:szCs w:val="20"/>
                      </w:rPr>
                      <w:t xml:space="preserve">2 </w:t>
                    </w:r>
                    <w:r>
                      <w:rPr>
                        <w:rFonts w:ascii="微软雅黑" w:hAnsi="微软雅黑" w:eastAsia="微软雅黑" w:cs="微软雅黑"/>
                        <w:color w:val="231F20"/>
                        <w:spacing w:val="-2"/>
                        <w:sz w:val="20"/>
                        <w:szCs w:val="20"/>
                      </w:rPr>
                      <w:t xml:space="preserve">日下午 </w:t>
                    </w:r>
                    <w:r>
                      <w:rPr>
                        <w:rFonts w:ascii="微软雅黑" w:hAnsi="微软雅黑" w:eastAsia="微软雅黑" w:cs="微软雅黑"/>
                        <w:color w:val="231F20"/>
                        <w:sz w:val="20"/>
                        <w:szCs w:val="20"/>
                      </w:rPr>
                      <w:t xml:space="preserve">，在 </w:t>
                    </w:r>
                    <w:r>
                      <w:rPr>
                        <w:rFonts w:ascii="微软雅黑" w:hAnsi="微软雅黑" w:eastAsia="微软雅黑" w:cs="微软雅黑"/>
                        <w:color w:val="231F20"/>
                        <w:spacing w:val="2"/>
                        <w:sz w:val="20"/>
                        <w:szCs w:val="20"/>
                      </w:rPr>
                      <w:t>济南、东京、首尔采用线上线下相结合方式同步举行推进会，</w:t>
                    </w:r>
                    <w:r>
                      <w:rPr>
                        <w:rFonts w:ascii="微软雅黑" w:hAnsi="微软雅黑" w:eastAsia="微软雅黑" w:cs="微软雅黑"/>
                        <w:color w:val="231F20"/>
                        <w:spacing w:val="1"/>
                        <w:sz w:val="20"/>
                        <w:szCs w:val="20"/>
                      </w:rPr>
                      <w:t>活动以“新格局新机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3"/>
                        <w:sz w:val="20"/>
                        <w:szCs w:val="20"/>
                      </w:rPr>
                      <w:t>遇</w:t>
                    </w:r>
                    <w:r>
                      <w:rPr>
                        <w:rFonts w:ascii="微软雅黑" w:hAnsi="微软雅黑" w:eastAsia="微软雅黑" w:cs="微软雅黑"/>
                        <w:color w:val="231F20"/>
                        <w:spacing w:val="-8"/>
                        <w:sz w:val="20"/>
                        <w:szCs w:val="20"/>
                      </w:rPr>
                      <w:t xml:space="preserve"> 新发展”为主题，线上签约涉及新一代信息技术、高端装备、医养健康、现代金融、</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 xml:space="preserve">节能环保、大数据、跨境电商等领域的 </w:t>
                    </w:r>
                    <w:r>
                      <w:rPr>
                        <w:rFonts w:ascii="Times New Roman" w:hAnsi="Times New Roman" w:eastAsia="Times New Roman" w:cs="Times New Roman"/>
                        <w:color w:val="231F20"/>
                        <w:spacing w:val="-1"/>
                        <w:sz w:val="20"/>
                        <w:szCs w:val="20"/>
                      </w:rPr>
                      <w:t xml:space="preserve">23 </w:t>
                    </w:r>
                    <w:r>
                      <w:rPr>
                        <w:rFonts w:ascii="微软雅黑" w:hAnsi="微软雅黑" w:eastAsia="微软雅黑" w:cs="微软雅黑"/>
                        <w:color w:val="231F20"/>
                        <w:spacing w:val="-1"/>
                        <w:sz w:val="20"/>
                        <w:szCs w:val="20"/>
                      </w:rPr>
                      <w:t>个日韩重点项</w:t>
                    </w:r>
                    <w:r>
                      <w:rPr>
                        <w:rFonts w:ascii="微软雅黑" w:hAnsi="微软雅黑" w:eastAsia="微软雅黑" w:cs="微软雅黑"/>
                        <w:color w:val="231F20"/>
                        <w:sz w:val="20"/>
                        <w:szCs w:val="20"/>
                      </w:rPr>
                      <w:t xml:space="preserve">目，总投资达 </w:t>
                    </w:r>
                    <w:r>
                      <w:rPr>
                        <w:rFonts w:ascii="Times New Roman" w:hAnsi="Times New Roman" w:eastAsia="Times New Roman" w:cs="Times New Roman"/>
                        <w:color w:val="231F20"/>
                        <w:sz w:val="20"/>
                        <w:szCs w:val="20"/>
                      </w:rPr>
                      <w:t xml:space="preserve">18.4 </w:t>
                    </w:r>
                    <w:r>
                      <w:rPr>
                        <w:rFonts w:ascii="微软雅黑" w:hAnsi="微软雅黑" w:eastAsia="微软雅黑" w:cs="微软雅黑"/>
                        <w:color w:val="231F20"/>
                        <w:sz w:val="20"/>
                        <w:szCs w:val="20"/>
                      </w:rPr>
                      <w:t xml:space="preserve">亿美元， </w:t>
                    </w:r>
                    <w:r>
                      <w:rPr>
                        <w:rFonts w:ascii="微软雅黑" w:hAnsi="微软雅黑" w:eastAsia="微软雅黑" w:cs="微软雅黑"/>
                        <w:color w:val="231F20"/>
                        <w:spacing w:val="-1"/>
                        <w:sz w:val="20"/>
                        <w:szCs w:val="20"/>
                      </w:rPr>
                      <w:t xml:space="preserve">合同外资 </w:t>
                    </w:r>
                    <w:r>
                      <w:rPr>
                        <w:rFonts w:ascii="Times New Roman" w:hAnsi="Times New Roman" w:eastAsia="Times New Roman" w:cs="Times New Roman"/>
                        <w:color w:val="231F20"/>
                        <w:spacing w:val="-1"/>
                        <w:sz w:val="20"/>
                        <w:szCs w:val="20"/>
                      </w:rPr>
                      <w:t>4</w:t>
                    </w:r>
                    <w:r>
                      <w:rPr>
                        <w:rFonts w:ascii="Times New Roman" w:hAnsi="Times New Roman" w:eastAsia="Times New Roman" w:cs="Times New Roman"/>
                        <w:color w:val="231F20"/>
                        <w:sz w:val="20"/>
                        <w:szCs w:val="20"/>
                      </w:rPr>
                      <w:t xml:space="preserve">.35 </w:t>
                    </w:r>
                    <w:r>
                      <w:rPr>
                        <w:rFonts w:ascii="微软雅黑" w:hAnsi="微软雅黑" w:eastAsia="微软雅黑" w:cs="微软雅黑"/>
                        <w:color w:val="231F20"/>
                        <w:sz w:val="20"/>
                        <w:szCs w:val="20"/>
                      </w:rPr>
                      <w:t>亿美元。</w:t>
                    </w:r>
                  </w:p>
                  <w:p>
                    <w:pPr>
                      <w:spacing w:before="179" w:line="280" w:lineRule="auto"/>
                      <w:ind w:left="107" w:right="131" w:firstLine="419"/>
                      <w:rPr>
                        <w:rFonts w:ascii="微软雅黑" w:hAnsi="微软雅黑" w:eastAsia="微软雅黑" w:cs="微软雅黑"/>
                        <w:sz w:val="20"/>
                        <w:szCs w:val="20"/>
                      </w:rPr>
                    </w:pPr>
                    <w:r>
                      <w:rPr>
                        <w:rFonts w:ascii="SimHei" w:hAnsi="SimHei" w:eastAsia="SimHei" w:cs="SimHei"/>
                        <w:color w:val="231F20"/>
                        <w:spacing w:val="4"/>
                        <w:sz w:val="20"/>
                        <w:szCs w:val="20"/>
                      </w:rPr>
                      <w:t>山东与世界 500 强连线</w:t>
                    </w:r>
                    <w:r>
                      <w:rPr>
                        <w:rFonts w:ascii="SimHei" w:hAnsi="SimHei" w:eastAsia="SimHei" w:cs="SimHei"/>
                        <w:color w:val="231F20"/>
                        <w:spacing w:val="3"/>
                        <w:sz w:val="20"/>
                        <w:szCs w:val="20"/>
                      </w:rPr>
                      <w:t>高</w:t>
                    </w:r>
                    <w:r>
                      <w:rPr>
                        <w:rFonts w:ascii="SimHei" w:hAnsi="SimHei" w:eastAsia="SimHei" w:cs="SimHei"/>
                        <w:color w:val="231F20"/>
                        <w:spacing w:val="2"/>
                        <w:sz w:val="20"/>
                        <w:szCs w:val="20"/>
                      </w:rPr>
                      <w:t>端装备产业合作专场会。</w:t>
                    </w:r>
                    <w:r>
                      <w:rPr>
                        <w:rFonts w:ascii="Times New Roman" w:hAnsi="Times New Roman" w:eastAsia="Times New Roman" w:cs="Times New Roman"/>
                        <w:color w:val="231F20"/>
                        <w:spacing w:val="2"/>
                        <w:sz w:val="20"/>
                        <w:szCs w:val="20"/>
                      </w:rPr>
                      <w:t xml:space="preserve">2022 </w:t>
                    </w:r>
                    <w:r>
                      <w:rPr>
                        <w:rFonts w:ascii="微软雅黑" w:hAnsi="微软雅黑" w:eastAsia="微软雅黑" w:cs="微软雅黑"/>
                        <w:color w:val="231F20"/>
                        <w:spacing w:val="2"/>
                        <w:sz w:val="20"/>
                        <w:szCs w:val="20"/>
                      </w:rPr>
                      <w:t xml:space="preserve">年 </w:t>
                    </w:r>
                    <w:r>
                      <w:rPr>
                        <w:rFonts w:ascii="Times New Roman" w:hAnsi="Times New Roman" w:eastAsia="Times New Roman" w:cs="Times New Roman"/>
                        <w:color w:val="231F20"/>
                        <w:spacing w:val="2"/>
                        <w:sz w:val="20"/>
                        <w:szCs w:val="20"/>
                      </w:rPr>
                      <w:t xml:space="preserve">2 </w:t>
                    </w:r>
                    <w:r>
                      <w:rPr>
                        <w:rFonts w:ascii="微软雅黑" w:hAnsi="微软雅黑" w:eastAsia="微软雅黑" w:cs="微软雅黑"/>
                        <w:color w:val="231F20"/>
                        <w:spacing w:val="2"/>
                        <w:sz w:val="20"/>
                        <w:szCs w:val="20"/>
                      </w:rPr>
                      <w:t xml:space="preserve">月 </w:t>
                    </w:r>
                    <w:r>
                      <w:rPr>
                        <w:rFonts w:ascii="Times New Roman" w:hAnsi="Times New Roman" w:eastAsia="Times New Roman" w:cs="Times New Roman"/>
                        <w:color w:val="231F20"/>
                        <w:spacing w:val="2"/>
                        <w:sz w:val="20"/>
                        <w:szCs w:val="20"/>
                      </w:rPr>
                      <w:t xml:space="preserve">11 </w:t>
                    </w:r>
                    <w:r>
                      <w:rPr>
                        <w:rFonts w:ascii="微软雅黑" w:hAnsi="微软雅黑" w:eastAsia="微软雅黑" w:cs="微软雅黑"/>
                        <w:color w:val="231F20"/>
                        <w:spacing w:val="2"/>
                        <w:sz w:val="20"/>
                        <w:szCs w:val="20"/>
                      </w:rPr>
                      <w:t>日 ，采用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线上线下相结合的方</w:t>
                    </w:r>
                    <w:r>
                      <w:rPr>
                        <w:rFonts w:ascii="微软雅黑" w:hAnsi="微软雅黑" w:eastAsia="微软雅黑" w:cs="微软雅黑"/>
                        <w:color w:val="231F20"/>
                        <w:spacing w:val="2"/>
                        <w:sz w:val="20"/>
                        <w:szCs w:val="20"/>
                      </w:rPr>
                      <w:t xml:space="preserve">式举办专场会 ，在济南设主会场、山东 </w:t>
                    </w:r>
                    <w:r>
                      <w:rPr>
                        <w:rFonts w:ascii="Times New Roman" w:hAnsi="Times New Roman" w:eastAsia="Times New Roman" w:cs="Times New Roman"/>
                        <w:color w:val="231F20"/>
                        <w:spacing w:val="2"/>
                        <w:sz w:val="20"/>
                        <w:szCs w:val="20"/>
                      </w:rPr>
                      <w:t xml:space="preserve">16 </w:t>
                    </w:r>
                    <w:r>
                      <w:rPr>
                        <w:rFonts w:ascii="微软雅黑" w:hAnsi="微软雅黑" w:eastAsia="微软雅黑" w:cs="微软雅黑"/>
                        <w:color w:val="231F20"/>
                        <w:spacing w:val="2"/>
                        <w:sz w:val="20"/>
                        <w:szCs w:val="20"/>
                      </w:rPr>
                      <w:t>市设分会场。会上</w:t>
                    </w:r>
                  </w:p>
                  <w:p>
                    <w:pPr>
                      <w:spacing w:before="1" w:line="201" w:lineRule="auto"/>
                      <w:ind w:left="113"/>
                      <w:rPr>
                        <w:rFonts w:ascii="微软雅黑" w:hAnsi="微软雅黑" w:eastAsia="微软雅黑" w:cs="微软雅黑"/>
                        <w:sz w:val="20"/>
                        <w:szCs w:val="20"/>
                      </w:rPr>
                    </w:pPr>
                    <w:r>
                      <w:rPr>
                        <w:rFonts w:ascii="微软雅黑" w:hAnsi="微软雅黑" w:eastAsia="微软雅黑" w:cs="微软雅黑"/>
                        <w:color w:val="231F20"/>
                        <w:spacing w:val="-6"/>
                        <w:sz w:val="20"/>
                        <w:szCs w:val="20"/>
                      </w:rPr>
                      <w:t>共签约高端装备产</w:t>
                    </w:r>
                    <w:r>
                      <w:rPr>
                        <w:rFonts w:ascii="微软雅黑" w:hAnsi="微软雅黑" w:eastAsia="微软雅黑" w:cs="微软雅黑"/>
                        <w:color w:val="231F20"/>
                        <w:spacing w:val="-3"/>
                        <w:sz w:val="20"/>
                        <w:szCs w:val="20"/>
                      </w:rPr>
                      <w:t xml:space="preserve">业项目 </w:t>
                    </w:r>
                    <w:r>
                      <w:rPr>
                        <w:rFonts w:ascii="Times New Roman" w:hAnsi="Times New Roman" w:eastAsia="Times New Roman" w:cs="Times New Roman"/>
                        <w:color w:val="231F20"/>
                        <w:spacing w:val="-3"/>
                        <w:sz w:val="20"/>
                        <w:szCs w:val="20"/>
                      </w:rPr>
                      <w:t xml:space="preserve">19 </w:t>
                    </w:r>
                    <w:r>
                      <w:rPr>
                        <w:rFonts w:ascii="微软雅黑" w:hAnsi="微软雅黑" w:eastAsia="微软雅黑" w:cs="微软雅黑"/>
                        <w:color w:val="231F20"/>
                        <w:spacing w:val="-3"/>
                        <w:sz w:val="20"/>
                        <w:szCs w:val="20"/>
                      </w:rPr>
                      <w:t xml:space="preserve">个 ，总投资 </w:t>
                    </w:r>
                    <w:r>
                      <w:rPr>
                        <w:rFonts w:ascii="Times New Roman" w:hAnsi="Times New Roman" w:eastAsia="Times New Roman" w:cs="Times New Roman"/>
                        <w:color w:val="231F20"/>
                        <w:spacing w:val="-3"/>
                        <w:sz w:val="20"/>
                        <w:szCs w:val="20"/>
                      </w:rPr>
                      <w:t xml:space="preserve">9. 1 </w:t>
                    </w:r>
                    <w:r>
                      <w:rPr>
                        <w:rFonts w:ascii="微软雅黑" w:hAnsi="微软雅黑" w:eastAsia="微软雅黑" w:cs="微软雅黑"/>
                        <w:color w:val="231F20"/>
                        <w:spacing w:val="-3"/>
                        <w:sz w:val="20"/>
                        <w:szCs w:val="20"/>
                      </w:rPr>
                      <w:t>亿美元。</w:t>
                    </w:r>
                  </w:p>
                </w:txbxContent>
              </v:textbox>
            </v:shape>
            <w10:wrap type="none"/>
            <w10:anchorlock/>
          </v:group>
        </w:pict>
      </w: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78" w:line="222" w:lineRule="auto"/>
        <w:ind w:left="2462"/>
        <w:rPr>
          <w:rFonts w:ascii="SimHei" w:hAnsi="SimHei" w:eastAsia="SimHei" w:cs="SimHei"/>
          <w:sz w:val="24"/>
          <w:szCs w:val="24"/>
        </w:rPr>
      </w:pPr>
      <w:r>
        <w:rPr>
          <w:rFonts w:ascii="SimHei" w:hAnsi="SimHei" w:eastAsia="SimHei" w:cs="SimHei"/>
          <w:color w:val="015DAC"/>
          <w:spacing w:val="10"/>
          <w:sz w:val="24"/>
          <w:szCs w:val="24"/>
        </w:rPr>
        <w:t>(四</w:t>
      </w:r>
      <w:r>
        <w:rPr>
          <w:rFonts w:ascii="SimHei" w:hAnsi="SimHei" w:eastAsia="SimHei" w:cs="SimHei"/>
          <w:color w:val="015DAC"/>
          <w:spacing w:val="7"/>
          <w:sz w:val="24"/>
          <w:szCs w:val="24"/>
        </w:rPr>
        <w:t>)</w:t>
      </w:r>
      <w:r>
        <w:rPr>
          <w:rFonts w:ascii="SimHei" w:hAnsi="SimHei" w:eastAsia="SimHei" w:cs="SimHei"/>
          <w:color w:val="015DAC"/>
          <w:spacing w:val="5"/>
          <w:sz w:val="24"/>
          <w:szCs w:val="24"/>
        </w:rPr>
        <w:t xml:space="preserve"> 加强项目培育，发掘重点外资引入潜力</w:t>
      </w:r>
    </w:p>
    <w:p>
      <w:pPr>
        <w:spacing w:before="332" w:line="272" w:lineRule="auto"/>
        <w:ind w:left="2014" w:right="1983" w:firstLine="432"/>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深化与世界</w:t>
      </w:r>
      <w:r>
        <w:rPr>
          <w:rFonts w:ascii="Times New Roman" w:hAnsi="Times New Roman" w:eastAsia="Times New Roman" w:cs="Times New Roman"/>
          <w:color w:val="231F20"/>
          <w:spacing w:val="1"/>
          <w:sz w:val="22"/>
          <w:szCs w:val="22"/>
        </w:rPr>
        <w:t xml:space="preserve">500 </w:t>
      </w:r>
      <w:r>
        <w:rPr>
          <w:rFonts w:ascii="微软雅黑" w:hAnsi="微软雅黑" w:eastAsia="微软雅黑" w:cs="微软雅黑"/>
          <w:color w:val="231F20"/>
          <w:spacing w:val="1"/>
          <w:sz w:val="22"/>
          <w:szCs w:val="22"/>
        </w:rPr>
        <w:t>强战略合作 ，对</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277 </w:t>
      </w:r>
      <w:r>
        <w:rPr>
          <w:rFonts w:ascii="微软雅黑" w:hAnsi="微软雅黑" w:eastAsia="微软雅黑" w:cs="微软雅黑"/>
          <w:color w:val="231F20"/>
          <w:sz w:val="22"/>
          <w:szCs w:val="22"/>
        </w:rPr>
        <w:t xml:space="preserve">家尚未在山东投资的世界 </w:t>
      </w:r>
      <w:r>
        <w:rPr>
          <w:rFonts w:ascii="Times New Roman" w:hAnsi="Times New Roman" w:eastAsia="Times New Roman" w:cs="Times New Roman"/>
          <w:color w:val="231F20"/>
          <w:sz w:val="22"/>
          <w:szCs w:val="22"/>
        </w:rPr>
        <w:t xml:space="preserve">500 </w:t>
      </w:r>
      <w:r>
        <w:rPr>
          <w:rFonts w:ascii="微软雅黑" w:hAnsi="微软雅黑" w:eastAsia="微软雅黑" w:cs="微软雅黑"/>
          <w:color w:val="231F20"/>
          <w:sz w:val="22"/>
          <w:szCs w:val="22"/>
        </w:rPr>
        <w:t xml:space="preserve">强企业 ，结合 </w:t>
      </w:r>
      <w:r>
        <w:rPr>
          <w:rFonts w:ascii="微软雅黑" w:hAnsi="微软雅黑" w:eastAsia="微软雅黑" w:cs="微软雅黑"/>
          <w:color w:val="231F20"/>
          <w:spacing w:val="-1"/>
          <w:sz w:val="22"/>
          <w:szCs w:val="22"/>
        </w:rPr>
        <w:t xml:space="preserve">山东发展实际和跨国企业发展情况 ，逐步实施“ </w:t>
      </w:r>
      <w:r>
        <w:rPr>
          <w:rFonts w:ascii="微软雅黑" w:hAnsi="微软雅黑" w:eastAsia="微软雅黑" w:cs="微软雅黑"/>
          <w:color w:val="231F20"/>
          <w:sz w:val="22"/>
          <w:szCs w:val="22"/>
        </w:rPr>
        <w:t>一企一策”引资。加强关于跨国公司</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5385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bookmarkStart w:id="98" w:name="_bookmark84"/>
      <w:bookmarkEnd w:id="98"/>
      <w:bookmarkStart w:id="99" w:name="_bookmark85"/>
      <w:bookmarkEnd w:id="99"/>
      <w:bookmarkStart w:id="100" w:name="_bookmark83"/>
      <w:bookmarkEnd w:id="100"/>
      <w:r>
        <w:rPr>
          <w:rFonts w:ascii="SimHei" w:hAnsi="SimHei" w:eastAsia="SimHei" w:cs="SimHei"/>
          <w:color w:val="1A67B3"/>
          <w:spacing w:val="36"/>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79" name="IM 379"/>
            <wp:cNvGraphicFramePr/>
            <a:graphic xmlns:a="http://schemas.openxmlformats.org/drawingml/2006/main">
              <a:graphicData uri="http://schemas.openxmlformats.org/drawingml/2006/picture">
                <pic:pic xmlns:pic="http://schemas.openxmlformats.org/drawingml/2006/picture">
                  <pic:nvPicPr>
                    <pic:cNvPr id="379" name="IM 379"/>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79</w:t>
      </w: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95" w:line="261" w:lineRule="auto"/>
        <w:ind w:left="1991" w:right="1980" w:firstLine="1"/>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赴华</w:t>
      </w:r>
      <w:r>
        <w:rPr>
          <w:rFonts w:ascii="微软雅黑" w:hAnsi="微软雅黑" w:eastAsia="微软雅黑" w:cs="微软雅黑"/>
          <w:color w:val="231F20"/>
          <w:sz w:val="22"/>
          <w:szCs w:val="22"/>
        </w:rPr>
        <w:t xml:space="preserve">投资战略布局方面的研究 ，推动跨国公司在山东设立地区总部乃至全球总部 ，认 </w:t>
      </w:r>
      <w:r>
        <w:rPr>
          <w:rFonts w:ascii="微软雅黑" w:hAnsi="微软雅黑" w:eastAsia="微软雅黑" w:cs="微软雅黑"/>
          <w:color w:val="231F20"/>
          <w:spacing w:val="2"/>
          <w:sz w:val="22"/>
          <w:szCs w:val="22"/>
        </w:rPr>
        <w:t>定一批“山东省跨国公司地区总部”和“山东省跨国公司总部</w:t>
      </w:r>
      <w:r>
        <w:rPr>
          <w:rFonts w:ascii="微软雅黑" w:hAnsi="微软雅黑" w:eastAsia="微软雅黑" w:cs="微软雅黑"/>
          <w:color w:val="231F20"/>
          <w:spacing w:val="1"/>
          <w:sz w:val="22"/>
          <w:szCs w:val="22"/>
        </w:rPr>
        <w:t>基地” ，实现总部经济</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集聚发展。加大重点发展行业和领域的引资力度 ，充分运用“选</w:t>
      </w:r>
      <w:r>
        <w:rPr>
          <w:rFonts w:ascii="微软雅黑" w:hAnsi="微软雅黑" w:eastAsia="微软雅黑" w:cs="微软雅黑"/>
          <w:color w:val="231F20"/>
          <w:spacing w:val="1"/>
          <w:sz w:val="22"/>
          <w:szCs w:val="22"/>
        </w:rPr>
        <w:t>择山东”云平台等各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类载</w:t>
      </w:r>
      <w:r>
        <w:rPr>
          <w:rFonts w:ascii="微软雅黑" w:hAnsi="微软雅黑" w:eastAsia="微软雅黑" w:cs="微软雅黑"/>
          <w:color w:val="231F20"/>
          <w:sz w:val="22"/>
          <w:szCs w:val="22"/>
        </w:rPr>
        <w:t xml:space="preserve">体，  引导外资更多投向高技术制造业和高技术服务业。鼓励跨国并购返程投资， </w:t>
      </w:r>
      <w:r>
        <w:rPr>
          <w:rFonts w:ascii="微软雅黑" w:hAnsi="微软雅黑" w:eastAsia="微软雅黑" w:cs="微软雅黑"/>
          <w:color w:val="231F20"/>
          <w:spacing w:val="1"/>
          <w:sz w:val="22"/>
          <w:szCs w:val="22"/>
        </w:rPr>
        <w:t>加快推动制造业领域跨国并购返程投资</w:t>
      </w:r>
      <w:r>
        <w:rPr>
          <w:rFonts w:ascii="微软雅黑" w:hAnsi="微软雅黑" w:eastAsia="微软雅黑" w:cs="微软雅黑"/>
          <w:color w:val="231F20"/>
          <w:sz w:val="22"/>
          <w:szCs w:val="22"/>
        </w:rPr>
        <w:t>项目落地实施。</w:t>
      </w:r>
    </w:p>
    <w:p>
      <w:pPr>
        <w:spacing w:line="257" w:lineRule="auto"/>
        <w:rPr>
          <w:rFonts w:ascii="Arial"/>
          <w:sz w:val="21"/>
        </w:rPr>
      </w:pPr>
    </w:p>
    <w:p>
      <w:pPr>
        <w:spacing w:before="91" w:line="227" w:lineRule="auto"/>
        <w:ind w:left="2570"/>
        <w:rPr>
          <w:rFonts w:ascii="SimHei" w:hAnsi="SimHei" w:eastAsia="SimHei" w:cs="SimHei"/>
          <w:sz w:val="28"/>
          <w:szCs w:val="28"/>
        </w:rPr>
      </w:pPr>
      <w:r>
        <w:rPr>
          <w:rFonts w:ascii="SimHei" w:hAnsi="SimHei" w:eastAsia="SimHei" w:cs="SimHei"/>
          <w:color w:val="015DAC"/>
          <w:spacing w:val="-4"/>
          <w:sz w:val="28"/>
          <w:szCs w:val="28"/>
        </w:rPr>
        <w:t>六、</w:t>
      </w:r>
      <w:r>
        <w:rPr>
          <w:rFonts w:ascii="SimHei" w:hAnsi="SimHei" w:eastAsia="SimHei" w:cs="SimHei"/>
          <w:color w:val="015DAC"/>
          <w:spacing w:val="-2"/>
          <w:sz w:val="28"/>
          <w:szCs w:val="28"/>
        </w:rPr>
        <w:t>河南省</w:t>
      </w:r>
    </w:p>
    <w:p>
      <w:pPr>
        <w:spacing w:line="347" w:lineRule="auto"/>
        <w:rPr>
          <w:rFonts w:ascii="Arial"/>
          <w:sz w:val="21"/>
        </w:rPr>
      </w:pPr>
    </w:p>
    <w:p>
      <w:pPr>
        <w:spacing w:before="95" w:line="272" w:lineRule="auto"/>
        <w:ind w:left="2031" w:right="1981" w:firstLine="411"/>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 ，河南以重点外资项目为抓手，建立健</w:t>
      </w:r>
      <w:r>
        <w:rPr>
          <w:rFonts w:ascii="微软雅黑" w:hAnsi="微软雅黑" w:eastAsia="微软雅黑" w:cs="微软雅黑"/>
          <w:color w:val="231F20"/>
          <w:spacing w:val="-1"/>
          <w:sz w:val="22"/>
          <w:szCs w:val="22"/>
        </w:rPr>
        <w:t>全外商投资服务机制 ，发挥重大项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目牵头作用，推</w:t>
      </w:r>
      <w:r>
        <w:rPr>
          <w:rFonts w:ascii="微软雅黑" w:hAnsi="微软雅黑" w:eastAsia="微软雅黑" w:cs="微软雅黑"/>
          <w:color w:val="231F20"/>
          <w:spacing w:val="-1"/>
          <w:sz w:val="22"/>
          <w:szCs w:val="22"/>
        </w:rPr>
        <w:t>动利用外资工作保稳促优。</w:t>
      </w:r>
    </w:p>
    <w:p>
      <w:pPr>
        <w:spacing w:before="178" w:line="222" w:lineRule="auto"/>
        <w:ind w:left="2462"/>
        <w:rPr>
          <w:rFonts w:ascii="SimHei" w:hAnsi="SimHei" w:eastAsia="SimHei" w:cs="SimHei"/>
          <w:sz w:val="24"/>
          <w:szCs w:val="24"/>
        </w:rPr>
      </w:pPr>
      <w:r>
        <w:rPr>
          <w:rFonts w:ascii="SimHei" w:hAnsi="SimHei" w:eastAsia="SimHei" w:cs="SimHei"/>
          <w:color w:val="015DAC"/>
          <w:spacing w:val="7"/>
          <w:sz w:val="24"/>
          <w:szCs w:val="24"/>
        </w:rPr>
        <w:t>(一) 实施重点外资项目推进计</w:t>
      </w:r>
      <w:r>
        <w:rPr>
          <w:rFonts w:ascii="SimHei" w:hAnsi="SimHei" w:eastAsia="SimHei" w:cs="SimHei"/>
          <w:color w:val="015DAC"/>
          <w:spacing w:val="6"/>
          <w:sz w:val="24"/>
          <w:szCs w:val="24"/>
        </w:rPr>
        <w:t>划</w:t>
      </w:r>
    </w:p>
    <w:p>
      <w:pPr>
        <w:spacing w:before="334" w:line="259" w:lineRule="auto"/>
        <w:ind w:left="1987" w:right="1982" w:firstLine="461"/>
        <w:rPr>
          <w:rFonts w:ascii="微软雅黑" w:hAnsi="微软雅黑" w:eastAsia="微软雅黑" w:cs="微软雅黑"/>
          <w:sz w:val="22"/>
          <w:szCs w:val="22"/>
        </w:rPr>
      </w:pPr>
      <w:r>
        <w:rPr>
          <w:rFonts w:ascii="SimHei" w:hAnsi="SimHei" w:eastAsia="SimHei" w:cs="SimHei"/>
          <w:color w:val="231F20"/>
          <w:spacing w:val="6"/>
          <w:sz w:val="22"/>
          <w:szCs w:val="22"/>
        </w:rPr>
        <w:t>给予</w:t>
      </w:r>
      <w:r>
        <w:rPr>
          <w:rFonts w:ascii="SimHei" w:hAnsi="SimHei" w:eastAsia="SimHei" w:cs="SimHei"/>
          <w:color w:val="231F20"/>
          <w:spacing w:val="5"/>
          <w:sz w:val="22"/>
          <w:szCs w:val="22"/>
        </w:rPr>
        <w:t>外</w:t>
      </w:r>
      <w:r>
        <w:rPr>
          <w:rFonts w:ascii="SimHei" w:hAnsi="SimHei" w:eastAsia="SimHei" w:cs="SimHei"/>
          <w:color w:val="231F20"/>
          <w:spacing w:val="3"/>
          <w:sz w:val="22"/>
          <w:szCs w:val="22"/>
        </w:rPr>
        <w:t>资重大项目全方位支持。</w:t>
      </w:r>
      <w:r>
        <w:rPr>
          <w:rFonts w:ascii="微软雅黑" w:hAnsi="微软雅黑" w:eastAsia="微软雅黑" w:cs="微软雅黑"/>
          <w:color w:val="231F20"/>
          <w:spacing w:val="3"/>
          <w:sz w:val="22"/>
          <w:szCs w:val="22"/>
        </w:rPr>
        <w:t>在出口退税、市场开拓、贷款融资等领域加大支</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持力度。对符合国家战略需求以及河南产业发展方向的重大外资项目 ，加快</w:t>
      </w:r>
      <w:r>
        <w:rPr>
          <w:rFonts w:ascii="微软雅黑" w:hAnsi="微软雅黑" w:eastAsia="微软雅黑" w:cs="微软雅黑"/>
          <w:color w:val="231F20"/>
          <w:spacing w:val="1"/>
          <w:sz w:val="22"/>
          <w:szCs w:val="22"/>
        </w:rPr>
        <w:t>向</w:t>
      </w:r>
      <w:r>
        <w:rPr>
          <w:rFonts w:ascii="微软雅黑" w:hAnsi="微软雅黑" w:eastAsia="微软雅黑" w:cs="微软雅黑"/>
          <w:color w:val="231F20"/>
          <w:sz w:val="22"/>
          <w:szCs w:val="22"/>
        </w:rPr>
        <w:t xml:space="preserve">国家申 </w:t>
      </w:r>
      <w:r>
        <w:rPr>
          <w:rFonts w:ascii="微软雅黑" w:hAnsi="微软雅黑" w:eastAsia="微软雅黑" w:cs="微软雅黑"/>
          <w:color w:val="231F20"/>
          <w:spacing w:val="2"/>
          <w:sz w:val="22"/>
          <w:szCs w:val="22"/>
        </w:rPr>
        <w:t>请列入相关产业规划。对外商企业境内分配利润用于再投资 ，暂不征收预提</w:t>
      </w:r>
      <w:r>
        <w:rPr>
          <w:rFonts w:ascii="微软雅黑" w:hAnsi="微软雅黑" w:eastAsia="微软雅黑" w:cs="微软雅黑"/>
          <w:color w:val="231F20"/>
          <w:spacing w:val="1"/>
          <w:sz w:val="22"/>
          <w:szCs w:val="22"/>
        </w:rPr>
        <w:t>所</w:t>
      </w:r>
      <w:r>
        <w:rPr>
          <w:rFonts w:ascii="微软雅黑" w:hAnsi="微软雅黑" w:eastAsia="微软雅黑" w:cs="微软雅黑"/>
          <w:color w:val="231F20"/>
          <w:sz w:val="22"/>
          <w:szCs w:val="22"/>
        </w:rPr>
        <w:t xml:space="preserve">得税。 </w:t>
      </w:r>
      <w:r>
        <w:rPr>
          <w:rFonts w:ascii="微软雅黑" w:hAnsi="微软雅黑" w:eastAsia="微软雅黑" w:cs="微软雅黑"/>
          <w:color w:val="231F20"/>
          <w:spacing w:val="2"/>
          <w:sz w:val="22"/>
          <w:szCs w:val="22"/>
        </w:rPr>
        <w:t>完善外资重大项目各类生产要素保障 ，开辟绿色审批通</w:t>
      </w:r>
      <w:r>
        <w:rPr>
          <w:rFonts w:ascii="微软雅黑" w:hAnsi="微软雅黑" w:eastAsia="微软雅黑" w:cs="微软雅黑"/>
          <w:color w:val="231F20"/>
          <w:spacing w:val="1"/>
          <w:sz w:val="22"/>
          <w:szCs w:val="22"/>
        </w:rPr>
        <w:t>道，压缩项目环评审批、施工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许可证核发办理</w:t>
      </w:r>
      <w:r>
        <w:rPr>
          <w:rFonts w:ascii="微软雅黑" w:hAnsi="微软雅黑" w:eastAsia="微软雅黑" w:cs="微软雅黑"/>
          <w:color w:val="231F20"/>
          <w:spacing w:val="4"/>
          <w:sz w:val="22"/>
          <w:szCs w:val="22"/>
        </w:rPr>
        <w:t>时</w:t>
      </w:r>
      <w:r>
        <w:rPr>
          <w:rFonts w:ascii="微软雅黑" w:hAnsi="微软雅黑" w:eastAsia="微软雅黑" w:cs="微软雅黑"/>
          <w:color w:val="231F20"/>
          <w:spacing w:val="3"/>
          <w:sz w:val="22"/>
          <w:szCs w:val="22"/>
        </w:rPr>
        <w:t>限。优先列入省重点项目并给予省级用地指标奖励，保证项目用地</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需求。污染物排放指标由省级调配机制给予优先保障 ，各地压减腾</w:t>
      </w:r>
      <w:r>
        <w:rPr>
          <w:rFonts w:ascii="微软雅黑" w:hAnsi="微软雅黑" w:eastAsia="微软雅黑" w:cs="微软雅黑"/>
          <w:color w:val="231F20"/>
          <w:spacing w:val="1"/>
          <w:sz w:val="22"/>
          <w:szCs w:val="22"/>
        </w:rPr>
        <w:t>退的污染物排放指</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标优先用于项目计划。优化能耗总量控制指标分解方式，保障项目合理</w:t>
      </w:r>
      <w:r>
        <w:rPr>
          <w:rFonts w:ascii="微软雅黑" w:hAnsi="微软雅黑" w:eastAsia="微软雅黑" w:cs="微软雅黑"/>
          <w:color w:val="231F20"/>
          <w:sz w:val="22"/>
          <w:szCs w:val="22"/>
        </w:rPr>
        <w:t>用能。</w:t>
      </w:r>
    </w:p>
    <w:p>
      <w:pPr>
        <w:spacing w:before="173" w:line="263" w:lineRule="auto"/>
        <w:ind w:left="1995" w:right="1915" w:firstLine="451"/>
        <w:rPr>
          <w:rFonts w:ascii="微软雅黑" w:hAnsi="微软雅黑" w:eastAsia="微软雅黑" w:cs="微软雅黑"/>
          <w:sz w:val="22"/>
          <w:szCs w:val="22"/>
        </w:rPr>
      </w:pPr>
      <w:r>
        <w:rPr>
          <w:rFonts w:ascii="SimHei" w:hAnsi="SimHei" w:eastAsia="SimHei" w:cs="SimHei"/>
          <w:color w:val="231F20"/>
          <w:spacing w:val="6"/>
          <w:sz w:val="22"/>
          <w:szCs w:val="22"/>
        </w:rPr>
        <w:t>加强</w:t>
      </w:r>
      <w:r>
        <w:rPr>
          <w:rFonts w:ascii="SimHei" w:hAnsi="SimHei" w:eastAsia="SimHei" w:cs="SimHei"/>
          <w:color w:val="231F20"/>
          <w:spacing w:val="4"/>
          <w:sz w:val="22"/>
          <w:szCs w:val="22"/>
        </w:rPr>
        <w:t>重</w:t>
      </w:r>
      <w:r>
        <w:rPr>
          <w:rFonts w:ascii="SimHei" w:hAnsi="SimHei" w:eastAsia="SimHei" w:cs="SimHei"/>
          <w:color w:val="231F20"/>
          <w:spacing w:val="3"/>
          <w:sz w:val="22"/>
          <w:szCs w:val="22"/>
        </w:rPr>
        <w:t>点外资项目服务。</w:t>
      </w:r>
      <w:r>
        <w:rPr>
          <w:rFonts w:ascii="微软雅黑" w:hAnsi="微软雅黑" w:eastAsia="微软雅黑" w:cs="微软雅黑"/>
          <w:color w:val="231F20"/>
          <w:spacing w:val="3"/>
          <w:sz w:val="22"/>
          <w:szCs w:val="22"/>
        </w:rPr>
        <w:t>重点外资项目所在地的市、县级政府建立了重点外资项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目协调推进工作专班制度 ，每个项目明确一名市 ( 县 ) </w:t>
      </w:r>
      <w:r>
        <w:rPr>
          <w:rFonts w:ascii="微软雅黑" w:hAnsi="微软雅黑" w:eastAsia="微软雅黑" w:cs="微软雅黑"/>
          <w:color w:val="231F20"/>
          <w:sz w:val="22"/>
          <w:szCs w:val="22"/>
        </w:rPr>
        <w:t xml:space="preserve">级领导负责牵头推进 ，主动对 </w:t>
      </w:r>
      <w:r>
        <w:rPr>
          <w:rFonts w:ascii="微软雅黑" w:hAnsi="微软雅黑" w:eastAsia="微软雅黑" w:cs="微软雅黑"/>
          <w:color w:val="231F20"/>
          <w:spacing w:val="-14"/>
          <w:sz w:val="22"/>
          <w:szCs w:val="22"/>
        </w:rPr>
        <w:t>接项目需</w:t>
      </w:r>
      <w:r>
        <w:rPr>
          <w:rFonts w:ascii="微软雅黑" w:hAnsi="微软雅黑" w:eastAsia="微软雅黑" w:cs="微软雅黑"/>
          <w:color w:val="231F20"/>
          <w:spacing w:val="-10"/>
          <w:sz w:val="22"/>
          <w:szCs w:val="22"/>
        </w:rPr>
        <w:t>求</w:t>
      </w:r>
      <w:r>
        <w:rPr>
          <w:rFonts w:ascii="微软雅黑" w:hAnsi="微软雅黑" w:eastAsia="微软雅黑" w:cs="微软雅黑"/>
          <w:color w:val="231F20"/>
          <w:spacing w:val="-7"/>
          <w:sz w:val="22"/>
          <w:szCs w:val="22"/>
        </w:rPr>
        <w:t>，“一对一 ”解决问题和诉求。通过专题调度、节点倒排、现场观摩等方式，</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有力有序推进计划实施。对涉及地方层面的问题</w:t>
      </w:r>
      <w:r>
        <w:rPr>
          <w:rFonts w:ascii="微软雅黑" w:hAnsi="微软雅黑" w:eastAsia="微软雅黑" w:cs="微软雅黑"/>
          <w:color w:val="231F20"/>
          <w:sz w:val="22"/>
          <w:szCs w:val="22"/>
        </w:rPr>
        <w:t>及早发现和协调解决。</w:t>
      </w:r>
    </w:p>
    <w:p>
      <w:pPr>
        <w:spacing w:before="179" w:line="220" w:lineRule="auto"/>
        <w:ind w:left="2462"/>
        <w:rPr>
          <w:rFonts w:ascii="SimHei" w:hAnsi="SimHei" w:eastAsia="SimHei" w:cs="SimHei"/>
          <w:sz w:val="24"/>
          <w:szCs w:val="24"/>
        </w:rPr>
      </w:pPr>
      <w:r>
        <w:rPr>
          <w:rFonts w:ascii="SimHei" w:hAnsi="SimHei" w:eastAsia="SimHei" w:cs="SimHei"/>
          <w:color w:val="015DAC"/>
          <w:spacing w:val="7"/>
          <w:sz w:val="24"/>
          <w:szCs w:val="24"/>
        </w:rPr>
        <w:t>(二) 健全外资企业投诉处理机</w:t>
      </w:r>
      <w:r>
        <w:rPr>
          <w:rFonts w:ascii="SimHei" w:hAnsi="SimHei" w:eastAsia="SimHei" w:cs="SimHei"/>
          <w:color w:val="015DAC"/>
          <w:spacing w:val="6"/>
          <w:sz w:val="24"/>
          <w:szCs w:val="24"/>
        </w:rPr>
        <w:t>制</w:t>
      </w:r>
    </w:p>
    <w:p>
      <w:pPr>
        <w:rPr>
          <w:rFonts w:ascii="Arial"/>
          <w:sz w:val="21"/>
        </w:rPr>
      </w:pPr>
    </w:p>
    <w:p>
      <w:pPr>
        <w:spacing w:before="95" w:line="261" w:lineRule="auto"/>
        <w:ind w:left="1858" w:right="1900" w:firstLine="590"/>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为及时有效处理外</w:t>
      </w:r>
      <w:r>
        <w:rPr>
          <w:rFonts w:ascii="微软雅黑" w:hAnsi="微软雅黑" w:eastAsia="微软雅黑" w:cs="微软雅黑"/>
          <w:color w:val="231F20"/>
          <w:spacing w:val="1"/>
          <w:sz w:val="22"/>
          <w:szCs w:val="22"/>
        </w:rPr>
        <w:t>商投资企业投诉，保护外商投资企业合法权益 ，河南修订印发</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w:t>
      </w:r>
      <w:r>
        <w:rPr>
          <w:rFonts w:ascii="微软雅黑" w:hAnsi="微软雅黑" w:eastAsia="微软雅黑" w:cs="微软雅黑"/>
          <w:color w:val="231F20"/>
          <w:spacing w:val="-6"/>
          <w:sz w:val="22"/>
          <w:szCs w:val="22"/>
        </w:rPr>
        <w:t xml:space="preserve">外商投资企业投诉工作办法》  ( 豫政〔 </w:t>
      </w:r>
      <w:r>
        <w:rPr>
          <w:rFonts w:ascii="Times New Roman" w:hAnsi="Times New Roman" w:eastAsia="Times New Roman" w:cs="Times New Roman"/>
          <w:color w:val="231F20"/>
          <w:spacing w:val="-6"/>
          <w:sz w:val="22"/>
          <w:szCs w:val="22"/>
        </w:rPr>
        <w:t xml:space="preserve">2021 </w:t>
      </w:r>
      <w:r>
        <w:rPr>
          <w:rFonts w:ascii="微软雅黑" w:hAnsi="微软雅黑" w:eastAsia="微软雅黑" w:cs="微软雅黑"/>
          <w:color w:val="231F20"/>
          <w:spacing w:val="-6"/>
          <w:sz w:val="22"/>
          <w:szCs w:val="22"/>
        </w:rPr>
        <w:t>〕</w:t>
      </w:r>
      <w:r>
        <w:rPr>
          <w:rFonts w:ascii="Times New Roman" w:hAnsi="Times New Roman" w:eastAsia="Times New Roman" w:cs="Times New Roman"/>
          <w:color w:val="231F20"/>
          <w:spacing w:val="-6"/>
          <w:sz w:val="22"/>
          <w:szCs w:val="22"/>
        </w:rPr>
        <w:t xml:space="preserve">29 </w:t>
      </w:r>
      <w:r>
        <w:rPr>
          <w:rFonts w:ascii="微软雅黑" w:hAnsi="微软雅黑" w:eastAsia="微软雅黑" w:cs="微软雅黑"/>
          <w:color w:val="231F20"/>
          <w:spacing w:val="-6"/>
          <w:sz w:val="22"/>
          <w:szCs w:val="22"/>
        </w:rPr>
        <w:t>号 ) ，分为总则、投诉的提出与受理、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投诉处理、投诉工作管</w:t>
      </w:r>
      <w:r>
        <w:rPr>
          <w:rFonts w:ascii="微软雅黑" w:hAnsi="微软雅黑" w:eastAsia="微软雅黑" w:cs="微软雅黑"/>
          <w:color w:val="231F20"/>
          <w:spacing w:val="1"/>
          <w:sz w:val="22"/>
          <w:szCs w:val="22"/>
        </w:rPr>
        <w:t xml:space="preserve">理制度和附则五章 ，共 </w:t>
      </w:r>
      <w:r>
        <w:rPr>
          <w:rFonts w:ascii="Times New Roman" w:hAnsi="Times New Roman" w:eastAsia="Times New Roman" w:cs="Times New Roman"/>
          <w:color w:val="231F20"/>
          <w:spacing w:val="1"/>
          <w:sz w:val="22"/>
          <w:szCs w:val="22"/>
        </w:rPr>
        <w:t xml:space="preserve">32 </w:t>
      </w:r>
      <w:r>
        <w:rPr>
          <w:rFonts w:ascii="微软雅黑" w:hAnsi="微软雅黑" w:eastAsia="微软雅黑" w:cs="微软雅黑"/>
          <w:color w:val="231F20"/>
          <w:spacing w:val="1"/>
          <w:sz w:val="22"/>
          <w:szCs w:val="22"/>
        </w:rPr>
        <w:t>条。划定了外资企业投诉受理范围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7"/>
          <w:sz w:val="22"/>
          <w:szCs w:val="22"/>
        </w:rPr>
        <w:t>即明确外商投资企业认为全省各级行政机关及其工作人员的行政行为侵犯其合法权</w:t>
      </w:r>
      <w:r>
        <w:rPr>
          <w:rFonts w:ascii="微软雅黑" w:hAnsi="微软雅黑" w:eastAsia="微软雅黑" w:cs="微软雅黑"/>
          <w:color w:val="231F20"/>
          <w:spacing w:val="6"/>
          <w:sz w:val="22"/>
          <w:szCs w:val="22"/>
        </w:rPr>
        <w:t>益</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的</w:t>
      </w:r>
      <w:r>
        <w:rPr>
          <w:rFonts w:ascii="微软雅黑" w:hAnsi="微软雅黑" w:eastAsia="微软雅黑" w:cs="微软雅黑"/>
          <w:color w:val="231F20"/>
          <w:spacing w:val="7"/>
          <w:sz w:val="22"/>
          <w:szCs w:val="22"/>
        </w:rPr>
        <w:t xml:space="preserve"> </w:t>
      </w:r>
      <w:r>
        <w:rPr>
          <w:rFonts w:ascii="微软雅黑" w:hAnsi="微软雅黑" w:eastAsia="微软雅黑" w:cs="微软雅黑"/>
          <w:color w:val="231F20"/>
          <w:spacing w:val="5"/>
          <w:sz w:val="22"/>
          <w:szCs w:val="22"/>
        </w:rPr>
        <w:t>，或者投资环境方面存在问题的属于受理事项范围。明确了外资企业投诉处理程序</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5488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81" name="IM 381"/>
            <wp:cNvGraphicFramePr/>
            <a:graphic xmlns:a="http://schemas.openxmlformats.org/drawingml/2006/main">
              <a:graphicData uri="http://schemas.openxmlformats.org/drawingml/2006/picture">
                <pic:pic xmlns:pic="http://schemas.openxmlformats.org/drawingml/2006/picture">
                  <pic:nvPicPr>
                    <pic:cNvPr id="381" name="IM 381"/>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r>
        <w:rPr>
          <w:rFonts w:ascii="Arial" w:hAnsi="Arial" w:eastAsia="Arial" w:cs="Arial"/>
          <w:color w:val="231F20"/>
          <w:spacing w:val="41"/>
          <w:sz w:val="20"/>
          <w:szCs w:val="20"/>
        </w:rPr>
        <w:t>8</w:t>
      </w:r>
      <w:r>
        <w:rPr>
          <w:rFonts w:ascii="Arial" w:hAnsi="Arial" w:eastAsia="Arial" w:cs="Arial"/>
          <w:color w:val="231F20"/>
          <w:spacing w:val="21"/>
          <w:sz w:val="20"/>
          <w:szCs w:val="20"/>
        </w:rPr>
        <w:t xml:space="preserve">0  </w:t>
      </w:r>
      <w:r>
        <w:rPr>
          <w:position w:val="-5"/>
          <w:sz w:val="20"/>
          <w:szCs w:val="20"/>
        </w:rPr>
        <w:drawing>
          <wp:inline distT="0" distB="0" distL="0" distR="0">
            <wp:extent cx="3175" cy="147320"/>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383" name="IM 383"/>
            <wp:cNvGraphicFramePr/>
            <a:graphic xmlns:a="http://schemas.openxmlformats.org/drawingml/2006/main">
              <a:graphicData uri="http://schemas.openxmlformats.org/drawingml/2006/picture">
                <pic:pic xmlns:pic="http://schemas.openxmlformats.org/drawingml/2006/picture">
                  <pic:nvPicPr>
                    <pic:cNvPr id="383" name="IM 383"/>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94" w:line="272" w:lineRule="auto"/>
        <w:ind w:left="2004" w:right="1984" w:hanging="14"/>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和时限 ，应在受理投诉之日起</w:t>
      </w:r>
      <w:r>
        <w:rPr>
          <w:rFonts w:ascii="微软雅黑" w:hAnsi="微软雅黑" w:eastAsia="微软雅黑" w:cs="微软雅黑"/>
          <w:color w:val="231F20"/>
          <w:spacing w:val="-1"/>
          <w:sz w:val="22"/>
          <w:szCs w:val="22"/>
        </w:rPr>
        <w:t xml:space="preserve"> ，</w:t>
      </w:r>
      <w:r>
        <w:rPr>
          <w:rFonts w:ascii="Times New Roman" w:hAnsi="Times New Roman" w:eastAsia="Times New Roman" w:cs="Times New Roman"/>
          <w:color w:val="231F20"/>
          <w:spacing w:val="-1"/>
          <w:sz w:val="22"/>
          <w:szCs w:val="22"/>
        </w:rPr>
        <w:t xml:space="preserve">60 </w:t>
      </w:r>
      <w:r>
        <w:rPr>
          <w:rFonts w:ascii="微软雅黑" w:hAnsi="微软雅黑" w:eastAsia="微软雅黑" w:cs="微软雅黑"/>
          <w:color w:val="231F20"/>
          <w:spacing w:val="-1"/>
          <w:sz w:val="22"/>
          <w:szCs w:val="22"/>
        </w:rPr>
        <w:t>个工作日内办结受理的投诉事项。规定了投诉不影</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3"/>
          <w:sz w:val="22"/>
          <w:szCs w:val="22"/>
        </w:rPr>
        <w:t>响外商投资企业依法提起行政复议、行政诉讼等程序的权利，  以及相关救济措施。</w:t>
      </w:r>
    </w:p>
    <w:p>
      <w:pPr>
        <w:spacing w:before="177" w:line="222" w:lineRule="auto"/>
        <w:ind w:left="2462"/>
        <w:rPr>
          <w:rFonts w:ascii="SimHei" w:hAnsi="SimHei" w:eastAsia="SimHei" w:cs="SimHei"/>
          <w:sz w:val="24"/>
          <w:szCs w:val="24"/>
        </w:rPr>
      </w:pPr>
      <w:r>
        <w:rPr>
          <w:rFonts w:ascii="SimHei" w:hAnsi="SimHei" w:eastAsia="SimHei" w:cs="SimHei"/>
          <w:color w:val="015DAC"/>
          <w:spacing w:val="24"/>
          <w:sz w:val="24"/>
          <w:szCs w:val="24"/>
        </w:rPr>
        <w:t>(</w:t>
      </w:r>
      <w:r>
        <w:rPr>
          <w:rFonts w:ascii="SimHei" w:hAnsi="SimHei" w:eastAsia="SimHei" w:cs="SimHei"/>
          <w:color w:val="015DAC"/>
          <w:spacing w:val="13"/>
          <w:sz w:val="24"/>
          <w:szCs w:val="24"/>
        </w:rPr>
        <w:t>三) 实施“千家外企大走访活动”</w:t>
      </w:r>
    </w:p>
    <w:p>
      <w:pPr>
        <w:spacing w:before="334" w:line="258" w:lineRule="auto"/>
        <w:ind w:left="1986" w:right="1901" w:firstLine="463"/>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为进一步稳住外贸外资基本盘 ，河南组</w:t>
      </w:r>
      <w:r>
        <w:rPr>
          <w:rFonts w:ascii="微软雅黑" w:hAnsi="微软雅黑" w:eastAsia="微软雅黑" w:cs="微软雅黑"/>
          <w:color w:val="231F20"/>
          <w:sz w:val="22"/>
          <w:szCs w:val="22"/>
        </w:rPr>
        <w:t xml:space="preserve">织实施“千家外企大走访活动” ，对全省 </w:t>
      </w:r>
      <w:r>
        <w:rPr>
          <w:rFonts w:ascii="Times New Roman" w:hAnsi="Times New Roman" w:eastAsia="Times New Roman" w:cs="Times New Roman"/>
          <w:color w:val="231F20"/>
          <w:spacing w:val="1"/>
          <w:sz w:val="22"/>
          <w:szCs w:val="22"/>
        </w:rPr>
        <w:t xml:space="preserve">2700 </w:t>
      </w:r>
      <w:r>
        <w:rPr>
          <w:rFonts w:ascii="微软雅黑" w:hAnsi="微软雅黑" w:eastAsia="微软雅黑" w:cs="微软雅黑"/>
          <w:color w:val="231F20"/>
          <w:spacing w:val="1"/>
          <w:sz w:val="22"/>
          <w:szCs w:val="22"/>
        </w:rPr>
        <w:t>多家外资企业走访</w:t>
      </w:r>
      <w:r>
        <w:rPr>
          <w:rFonts w:ascii="微软雅黑" w:hAnsi="微软雅黑" w:eastAsia="微软雅黑" w:cs="微软雅黑"/>
          <w:color w:val="231F20"/>
          <w:sz w:val="22"/>
          <w:szCs w:val="22"/>
        </w:rPr>
        <w:t xml:space="preserve">全覆盖，做到“三个了解、一个宣传、一个指导” 。摸排全省 </w:t>
      </w:r>
      <w:r>
        <w:rPr>
          <w:rFonts w:ascii="微软雅黑" w:hAnsi="微软雅黑" w:eastAsia="微软雅黑" w:cs="微软雅黑"/>
          <w:color w:val="231F20"/>
          <w:spacing w:val="-6"/>
          <w:sz w:val="22"/>
          <w:szCs w:val="22"/>
        </w:rPr>
        <w:t>重点外资</w:t>
      </w:r>
      <w:r>
        <w:rPr>
          <w:rFonts w:ascii="微软雅黑" w:hAnsi="微软雅黑" w:eastAsia="微软雅黑" w:cs="微软雅黑"/>
          <w:color w:val="231F20"/>
          <w:spacing w:val="-5"/>
          <w:sz w:val="22"/>
          <w:szCs w:val="22"/>
        </w:rPr>
        <w:t>企</w:t>
      </w:r>
      <w:r>
        <w:rPr>
          <w:rFonts w:ascii="微软雅黑" w:hAnsi="微软雅黑" w:eastAsia="微软雅黑" w:cs="微软雅黑"/>
          <w:color w:val="231F20"/>
          <w:spacing w:val="-3"/>
          <w:sz w:val="22"/>
          <w:szCs w:val="22"/>
        </w:rPr>
        <w:t>业产业分布、纳税及生产经营等情况 ，了解企业诉求，协调解决存在问题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了解省辖市</w:t>
      </w:r>
      <w:r>
        <w:rPr>
          <w:rFonts w:ascii="微软雅黑" w:hAnsi="微软雅黑" w:eastAsia="微软雅黑" w:cs="微软雅黑"/>
          <w:color w:val="231F20"/>
          <w:spacing w:val="4"/>
          <w:sz w:val="22"/>
          <w:szCs w:val="22"/>
        </w:rPr>
        <w:t>、</w:t>
      </w:r>
      <w:r>
        <w:rPr>
          <w:rFonts w:ascii="微软雅黑" w:hAnsi="微软雅黑" w:eastAsia="微软雅黑" w:cs="微软雅黑"/>
          <w:color w:val="231F20"/>
          <w:spacing w:val="3"/>
          <w:sz w:val="22"/>
          <w:szCs w:val="22"/>
        </w:rPr>
        <w:t>省直管县 ( 市 ) 招商引资重点产业情况、重点在谈外资项目签约情况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7"/>
          <w:sz w:val="22"/>
          <w:szCs w:val="22"/>
        </w:rPr>
        <w:t>协</w:t>
      </w:r>
      <w:r>
        <w:rPr>
          <w:rFonts w:ascii="微软雅黑" w:hAnsi="微软雅黑" w:eastAsia="微软雅黑" w:cs="微软雅黑"/>
          <w:color w:val="231F20"/>
          <w:spacing w:val="-4"/>
          <w:sz w:val="22"/>
          <w:szCs w:val="22"/>
        </w:rPr>
        <w:t>调推进项目落地；   了解存量企业增资潜力 ，排查资本金到位线索 ，推动增资扩股。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全面掌握各地外资企业基本情况，  与重点企业建立长</w:t>
      </w:r>
      <w:r>
        <w:rPr>
          <w:rFonts w:ascii="微软雅黑" w:hAnsi="微软雅黑" w:eastAsia="微软雅黑" w:cs="微软雅黑"/>
          <w:color w:val="231F20"/>
          <w:spacing w:val="-1"/>
          <w:sz w:val="22"/>
          <w:szCs w:val="22"/>
        </w:rPr>
        <w:t>期、高效沟通联络机制 ，更好地</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服务全</w:t>
      </w:r>
      <w:r>
        <w:rPr>
          <w:rFonts w:ascii="微软雅黑" w:hAnsi="微软雅黑" w:eastAsia="微软雅黑" w:cs="微软雅黑"/>
          <w:color w:val="231F20"/>
          <w:sz w:val="22"/>
          <w:szCs w:val="22"/>
        </w:rPr>
        <w:t xml:space="preserve">省招商引资工作。宣传解读河南省招商引资政策指南汇编、河南外商投资指引、 </w:t>
      </w:r>
      <w:r>
        <w:rPr>
          <w:rFonts w:ascii="微软雅黑" w:hAnsi="微软雅黑" w:eastAsia="微软雅黑" w:cs="微软雅黑"/>
          <w:color w:val="231F20"/>
          <w:spacing w:val="-1"/>
          <w:sz w:val="22"/>
          <w:szCs w:val="22"/>
        </w:rPr>
        <w:t>国家和省级相关惠企政策等 ，指导企业用足、用好、用</w:t>
      </w:r>
      <w:r>
        <w:rPr>
          <w:rFonts w:ascii="微软雅黑" w:hAnsi="微软雅黑" w:eastAsia="微软雅黑" w:cs="微软雅黑"/>
          <w:color w:val="231F20"/>
          <w:sz w:val="22"/>
          <w:szCs w:val="22"/>
        </w:rPr>
        <w:t xml:space="preserve">全政策 ，强化政策落地生效 ，  </w:t>
      </w:r>
      <w:r>
        <w:rPr>
          <w:rFonts w:ascii="微软雅黑" w:hAnsi="微软雅黑" w:eastAsia="微软雅黑" w:cs="微软雅黑"/>
          <w:color w:val="231F20"/>
          <w:spacing w:val="-2"/>
          <w:sz w:val="22"/>
          <w:szCs w:val="22"/>
        </w:rPr>
        <w:t>彻底释放政策“含金量” ，推动利用</w:t>
      </w:r>
      <w:r>
        <w:rPr>
          <w:rFonts w:ascii="微软雅黑" w:hAnsi="微软雅黑" w:eastAsia="微软雅黑" w:cs="微软雅黑"/>
          <w:color w:val="231F20"/>
          <w:spacing w:val="-1"/>
          <w:sz w:val="22"/>
          <w:szCs w:val="22"/>
        </w:rPr>
        <w:t>外资工作保稳促优。</w:t>
      </w:r>
    </w:p>
    <w:p>
      <w:pPr>
        <w:spacing w:line="257" w:lineRule="auto"/>
        <w:rPr>
          <w:rFonts w:ascii="Arial"/>
          <w:sz w:val="21"/>
        </w:rPr>
      </w:pPr>
    </w:p>
    <w:p>
      <w:pPr>
        <w:spacing w:before="91" w:line="230" w:lineRule="auto"/>
        <w:ind w:left="2560"/>
        <w:rPr>
          <w:rFonts w:ascii="SimHei" w:hAnsi="SimHei" w:eastAsia="SimHei" w:cs="SimHei"/>
          <w:sz w:val="28"/>
          <w:szCs w:val="28"/>
        </w:rPr>
      </w:pPr>
      <w:r>
        <w:rPr>
          <w:rFonts w:ascii="SimHei" w:hAnsi="SimHei" w:eastAsia="SimHei" w:cs="SimHei"/>
          <w:color w:val="015DAC"/>
          <w:spacing w:val="-1"/>
          <w:sz w:val="28"/>
          <w:szCs w:val="28"/>
        </w:rPr>
        <w:t>七、湖北省</w:t>
      </w:r>
    </w:p>
    <w:p>
      <w:pPr>
        <w:spacing w:line="343" w:lineRule="auto"/>
        <w:rPr>
          <w:rFonts w:ascii="Arial"/>
          <w:sz w:val="21"/>
        </w:rPr>
      </w:pPr>
    </w:p>
    <w:p>
      <w:pPr>
        <w:spacing w:before="95" w:line="272" w:lineRule="auto"/>
        <w:ind w:left="1994" w:right="2023" w:firstLine="448"/>
        <w:rPr>
          <w:rFonts w:ascii="微软雅黑" w:hAnsi="微软雅黑" w:eastAsia="微软雅黑" w:cs="微软雅黑"/>
          <w:sz w:val="22"/>
          <w:szCs w:val="22"/>
        </w:rPr>
      </w:pP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年 ，湖北省通过</w:t>
      </w:r>
      <w:r>
        <w:rPr>
          <w:rFonts w:ascii="微软雅黑" w:hAnsi="微软雅黑" w:eastAsia="微软雅黑" w:cs="微软雅黑"/>
          <w:color w:val="231F20"/>
          <w:spacing w:val="-2"/>
          <w:sz w:val="22"/>
          <w:szCs w:val="22"/>
        </w:rPr>
        <w:t>加大对内外资企业政策支持 ，完善外商投资企业服务机制，</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促进全省利用</w:t>
      </w:r>
      <w:r>
        <w:rPr>
          <w:rFonts w:ascii="微软雅黑" w:hAnsi="微软雅黑" w:eastAsia="微软雅黑" w:cs="微软雅黑"/>
          <w:color w:val="231F20"/>
          <w:spacing w:val="-1"/>
          <w:sz w:val="22"/>
          <w:szCs w:val="22"/>
        </w:rPr>
        <w:t>外资显著恢复性增长 ，实现利用外资“十四五”良好开局。</w:t>
      </w:r>
    </w:p>
    <w:p>
      <w:pPr>
        <w:spacing w:before="179" w:line="221" w:lineRule="auto"/>
        <w:ind w:left="2462"/>
        <w:rPr>
          <w:rFonts w:ascii="SimHei" w:hAnsi="SimHei" w:eastAsia="SimHei" w:cs="SimHei"/>
          <w:sz w:val="24"/>
          <w:szCs w:val="24"/>
        </w:rPr>
      </w:pPr>
      <w:r>
        <w:rPr>
          <w:rFonts w:ascii="SimHei" w:hAnsi="SimHei" w:eastAsia="SimHei" w:cs="SimHei"/>
          <w:color w:val="015DAC"/>
          <w:spacing w:val="10"/>
          <w:sz w:val="24"/>
          <w:szCs w:val="24"/>
        </w:rPr>
        <w:t>(一</w:t>
      </w:r>
      <w:r>
        <w:rPr>
          <w:rFonts w:ascii="SimHei" w:hAnsi="SimHei" w:eastAsia="SimHei" w:cs="SimHei"/>
          <w:color w:val="015DAC"/>
          <w:spacing w:val="7"/>
          <w:sz w:val="24"/>
          <w:szCs w:val="24"/>
        </w:rPr>
        <w:t>)</w:t>
      </w:r>
      <w:r>
        <w:rPr>
          <w:rFonts w:ascii="SimHei" w:hAnsi="SimHei" w:eastAsia="SimHei" w:cs="SimHei"/>
          <w:color w:val="015DAC"/>
          <w:spacing w:val="5"/>
          <w:sz w:val="24"/>
          <w:szCs w:val="24"/>
        </w:rPr>
        <w:t xml:space="preserve"> 加强财税金融支持，促进外资加快发展</w:t>
      </w:r>
    </w:p>
    <w:p>
      <w:pPr>
        <w:spacing w:before="335" w:line="261" w:lineRule="auto"/>
        <w:ind w:left="1991" w:right="1980" w:firstLine="458"/>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湖</w:t>
      </w:r>
      <w:r>
        <w:rPr>
          <w:rFonts w:ascii="微软雅黑" w:hAnsi="微软雅黑" w:eastAsia="微软雅黑" w:cs="微软雅黑"/>
          <w:color w:val="231F20"/>
          <w:spacing w:val="-3"/>
          <w:sz w:val="22"/>
          <w:szCs w:val="22"/>
        </w:rPr>
        <w:t>北聚焦外资稳商、安商，营造更加稳定透明、可预期的投资环境，先后出台《湖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北省人民政府办公厅关于印发进一步</w:t>
      </w:r>
      <w:r>
        <w:rPr>
          <w:rFonts w:ascii="微软雅黑" w:hAnsi="微软雅黑" w:eastAsia="微软雅黑" w:cs="微软雅黑"/>
          <w:color w:val="231F20"/>
          <w:sz w:val="22"/>
          <w:szCs w:val="22"/>
        </w:rPr>
        <w:t xml:space="preserve">做好稳外贸稳外资工作若干措施的通知》   ( 鄂政 </w:t>
      </w:r>
      <w:r>
        <w:rPr>
          <w:rFonts w:ascii="微软雅黑" w:hAnsi="微软雅黑" w:eastAsia="微软雅黑" w:cs="微软雅黑"/>
          <w:color w:val="231F20"/>
          <w:spacing w:val="-11"/>
          <w:sz w:val="22"/>
          <w:szCs w:val="22"/>
        </w:rPr>
        <w:t>办</w:t>
      </w:r>
      <w:r>
        <w:rPr>
          <w:rFonts w:ascii="微软雅黑" w:hAnsi="微软雅黑" w:eastAsia="微软雅黑" w:cs="微软雅黑"/>
          <w:color w:val="231F20"/>
          <w:spacing w:val="-7"/>
          <w:sz w:val="22"/>
          <w:szCs w:val="22"/>
        </w:rPr>
        <w:t xml:space="preserve">发〔 </w:t>
      </w:r>
      <w:r>
        <w:rPr>
          <w:rFonts w:ascii="Times New Roman" w:hAnsi="Times New Roman" w:eastAsia="Times New Roman" w:cs="Times New Roman"/>
          <w:color w:val="231F20"/>
          <w:spacing w:val="-7"/>
          <w:sz w:val="22"/>
          <w:szCs w:val="22"/>
        </w:rPr>
        <w:t xml:space="preserve">2021 </w:t>
      </w:r>
      <w:r>
        <w:rPr>
          <w:rFonts w:ascii="微软雅黑" w:hAnsi="微软雅黑" w:eastAsia="微软雅黑" w:cs="微软雅黑"/>
          <w:color w:val="231F20"/>
          <w:spacing w:val="-7"/>
          <w:sz w:val="22"/>
          <w:szCs w:val="22"/>
        </w:rPr>
        <w:t>〕</w:t>
      </w:r>
      <w:r>
        <w:rPr>
          <w:rFonts w:ascii="Times New Roman" w:hAnsi="Times New Roman" w:eastAsia="Times New Roman" w:cs="Times New Roman"/>
          <w:color w:val="231F20"/>
          <w:spacing w:val="-7"/>
          <w:sz w:val="22"/>
          <w:szCs w:val="22"/>
        </w:rPr>
        <w:t xml:space="preserve">3 </w:t>
      </w:r>
      <w:r>
        <w:rPr>
          <w:rFonts w:ascii="微软雅黑" w:hAnsi="微软雅黑" w:eastAsia="微软雅黑" w:cs="微软雅黑"/>
          <w:color w:val="231F20"/>
          <w:spacing w:val="-7"/>
          <w:sz w:val="22"/>
          <w:szCs w:val="22"/>
        </w:rPr>
        <w:t>号 ) 、《支持中国 ( 湖北 ) 自由贸易试验区深化改革创新若干措施》  ( 鄂</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政办发〔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w:t>
      </w:r>
      <w:r>
        <w:rPr>
          <w:rFonts w:ascii="Times New Roman" w:hAnsi="Times New Roman" w:eastAsia="Times New Roman" w:cs="Times New Roman"/>
          <w:color w:val="231F20"/>
          <w:spacing w:val="1"/>
          <w:sz w:val="22"/>
          <w:szCs w:val="22"/>
        </w:rPr>
        <w:t xml:space="preserve">7 </w:t>
      </w:r>
      <w:r>
        <w:rPr>
          <w:rFonts w:ascii="微软雅黑" w:hAnsi="微软雅黑" w:eastAsia="微软雅黑" w:cs="微软雅黑"/>
          <w:color w:val="231F20"/>
          <w:spacing w:val="1"/>
          <w:sz w:val="22"/>
          <w:szCs w:val="22"/>
        </w:rPr>
        <w:t>号 ) 等政</w:t>
      </w:r>
      <w:r>
        <w:rPr>
          <w:rFonts w:ascii="微软雅黑" w:hAnsi="微软雅黑" w:eastAsia="微软雅黑" w:cs="微软雅黑"/>
          <w:color w:val="231F20"/>
          <w:sz w:val="22"/>
          <w:szCs w:val="22"/>
        </w:rPr>
        <w:t xml:space="preserve">策文件。其中 ，强化财税金融政策支持、推动外资加快发 </w:t>
      </w:r>
      <w:r>
        <w:rPr>
          <w:rFonts w:ascii="微软雅黑" w:hAnsi="微软雅黑" w:eastAsia="微软雅黑" w:cs="微软雅黑"/>
          <w:color w:val="231F20"/>
          <w:spacing w:val="1"/>
          <w:sz w:val="22"/>
          <w:szCs w:val="22"/>
        </w:rPr>
        <w:t>展</w:t>
      </w:r>
      <w:r>
        <w:rPr>
          <w:rFonts w:ascii="微软雅黑" w:hAnsi="微软雅黑" w:eastAsia="微软雅黑" w:cs="微软雅黑"/>
          <w:color w:val="231F20"/>
          <w:sz w:val="22"/>
          <w:szCs w:val="22"/>
        </w:rPr>
        <w:t>是重要内容。</w:t>
      </w:r>
    </w:p>
    <w:p>
      <w:pPr>
        <w:spacing w:before="171" w:line="263" w:lineRule="auto"/>
        <w:ind w:left="1997" w:right="1980" w:firstLine="459"/>
        <w:rPr>
          <w:rFonts w:ascii="微软雅黑" w:hAnsi="微软雅黑" w:eastAsia="微软雅黑" w:cs="微软雅黑"/>
          <w:sz w:val="22"/>
          <w:szCs w:val="22"/>
        </w:rPr>
      </w:pPr>
      <w:r>
        <w:rPr>
          <w:rFonts w:ascii="SimHei" w:hAnsi="SimHei" w:eastAsia="SimHei" w:cs="SimHei"/>
          <w:color w:val="231F20"/>
          <w:spacing w:val="6"/>
          <w:sz w:val="22"/>
          <w:szCs w:val="22"/>
        </w:rPr>
        <w:t>强</w:t>
      </w:r>
      <w:r>
        <w:rPr>
          <w:rFonts w:ascii="SimHei" w:hAnsi="SimHei" w:eastAsia="SimHei" w:cs="SimHei"/>
          <w:color w:val="231F20"/>
          <w:spacing w:val="3"/>
          <w:sz w:val="22"/>
          <w:szCs w:val="22"/>
        </w:rPr>
        <w:t>化政府产业基金支持，确保内外资享受一致政策。</w:t>
      </w:r>
      <w:r>
        <w:rPr>
          <w:rFonts w:ascii="微软雅黑" w:hAnsi="微软雅黑" w:eastAsia="微软雅黑" w:cs="微软雅黑"/>
          <w:color w:val="231F20"/>
          <w:spacing w:val="3"/>
          <w:sz w:val="22"/>
          <w:szCs w:val="22"/>
        </w:rPr>
        <w:t>引导各级政府产业基金重点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支持世界 </w:t>
      </w:r>
      <w:r>
        <w:rPr>
          <w:rFonts w:ascii="Times New Roman" w:hAnsi="Times New Roman" w:eastAsia="Times New Roman" w:cs="Times New Roman"/>
          <w:color w:val="231F20"/>
          <w:spacing w:val="-1"/>
          <w:sz w:val="22"/>
          <w:szCs w:val="22"/>
        </w:rPr>
        <w:t xml:space="preserve">500 </w:t>
      </w:r>
      <w:r>
        <w:rPr>
          <w:rFonts w:ascii="微软雅黑" w:hAnsi="微软雅黑" w:eastAsia="微软雅黑" w:cs="微软雅黑"/>
          <w:color w:val="231F20"/>
          <w:spacing w:val="-1"/>
          <w:sz w:val="22"/>
          <w:szCs w:val="22"/>
        </w:rPr>
        <w:t>强企业、</w:t>
      </w:r>
      <w:r>
        <w:rPr>
          <w:rFonts w:ascii="微软雅黑" w:hAnsi="微软雅黑" w:eastAsia="微软雅黑" w:cs="微软雅黑"/>
          <w:color w:val="231F20"/>
          <w:sz w:val="22"/>
          <w:szCs w:val="22"/>
        </w:rPr>
        <w:t xml:space="preserve">全球行业龙头企业在湖北投资，  以及开展重大跨国并购项目返 </w:t>
      </w:r>
      <w:r>
        <w:rPr>
          <w:rFonts w:ascii="微软雅黑" w:hAnsi="微软雅黑" w:eastAsia="微软雅黑" w:cs="微软雅黑"/>
          <w:color w:val="231F20"/>
          <w:spacing w:val="2"/>
          <w:sz w:val="22"/>
          <w:szCs w:val="22"/>
        </w:rPr>
        <w:t>程投资。出台细化保障措施 ，再贷款再贴现专项额度</w:t>
      </w:r>
      <w:r>
        <w:rPr>
          <w:rFonts w:ascii="微软雅黑" w:hAnsi="微软雅黑" w:eastAsia="微软雅黑" w:cs="微软雅黑"/>
          <w:color w:val="231F20"/>
          <w:spacing w:val="1"/>
          <w:sz w:val="22"/>
          <w:szCs w:val="22"/>
        </w:rPr>
        <w:t>支持和进出口银行新增贷款规模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同等适用外资企业，确保内外资企业平等</w:t>
      </w:r>
      <w:r>
        <w:rPr>
          <w:rFonts w:ascii="微软雅黑" w:hAnsi="微软雅黑" w:eastAsia="微软雅黑" w:cs="微软雅黑"/>
          <w:color w:val="231F20"/>
          <w:sz w:val="22"/>
          <w:szCs w:val="22"/>
        </w:rPr>
        <w:t>适用帮扶解困政策。</w:t>
      </w:r>
    </w:p>
    <w:p>
      <w:pPr>
        <w:spacing w:before="173" w:line="200" w:lineRule="auto"/>
        <w:ind w:left="2448"/>
        <w:rPr>
          <w:rFonts w:ascii="微软雅黑" w:hAnsi="微软雅黑" w:eastAsia="微软雅黑" w:cs="微软雅黑"/>
          <w:sz w:val="22"/>
          <w:szCs w:val="22"/>
        </w:rPr>
      </w:pPr>
      <w:r>
        <w:rPr>
          <w:rFonts w:ascii="SimHei" w:hAnsi="SimHei" w:eastAsia="SimHei" w:cs="SimHei"/>
          <w:color w:val="231F20"/>
          <w:spacing w:val="6"/>
          <w:sz w:val="22"/>
          <w:szCs w:val="22"/>
        </w:rPr>
        <w:t>优化外</w:t>
      </w:r>
      <w:r>
        <w:rPr>
          <w:rFonts w:ascii="SimHei" w:hAnsi="SimHei" w:eastAsia="SimHei" w:cs="SimHei"/>
          <w:color w:val="231F20"/>
          <w:spacing w:val="5"/>
          <w:sz w:val="22"/>
          <w:szCs w:val="22"/>
        </w:rPr>
        <w:t>资</w:t>
      </w:r>
      <w:r>
        <w:rPr>
          <w:rFonts w:ascii="SimHei" w:hAnsi="SimHei" w:eastAsia="SimHei" w:cs="SimHei"/>
          <w:color w:val="231F20"/>
          <w:spacing w:val="3"/>
          <w:sz w:val="22"/>
          <w:szCs w:val="22"/>
        </w:rPr>
        <w:t>研发中心政策，促进外资研发中心发展。</w:t>
      </w:r>
      <w:r>
        <w:rPr>
          <w:rFonts w:ascii="微软雅黑" w:hAnsi="微软雅黑" w:eastAsia="微软雅黑" w:cs="微软雅黑"/>
          <w:color w:val="231F20"/>
          <w:spacing w:val="3"/>
          <w:sz w:val="22"/>
          <w:szCs w:val="22"/>
        </w:rPr>
        <w:t>湖北省优化外资研发中心享受</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5590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r>
        <w:rPr>
          <w:rFonts w:ascii="SimHei" w:hAnsi="SimHei" w:eastAsia="SimHei" w:cs="SimHei"/>
          <w:color w:val="1A67B3"/>
          <w:spacing w:val="35"/>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85" name="IM 385"/>
            <wp:cNvGraphicFramePr/>
            <a:graphic xmlns:a="http://schemas.openxmlformats.org/drawingml/2006/main">
              <a:graphicData uri="http://schemas.openxmlformats.org/drawingml/2006/picture">
                <pic:pic xmlns:pic="http://schemas.openxmlformats.org/drawingml/2006/picture">
                  <pic:nvPicPr>
                    <pic:cNvPr id="385" name="IM 385"/>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81</w:t>
      </w: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94" w:line="259" w:lineRule="auto"/>
        <w:ind w:left="1997" w:right="1887" w:hanging="4"/>
        <w:rPr>
          <w:rFonts w:ascii="微软雅黑" w:hAnsi="微软雅黑" w:eastAsia="微软雅黑" w:cs="微软雅黑"/>
          <w:sz w:val="22"/>
          <w:szCs w:val="22"/>
        </w:rPr>
      </w:pPr>
      <w:r>
        <w:rPr>
          <w:rFonts w:ascii="微软雅黑" w:hAnsi="微软雅黑" w:eastAsia="微软雅黑" w:cs="微软雅黑"/>
          <w:color w:val="231F20"/>
          <w:sz w:val="22"/>
          <w:szCs w:val="22"/>
        </w:rPr>
        <w:t xml:space="preserve">进口税收优惠政策条件，  降低适用相关政策的外资研发中心专职研究与试验发展人员 </w:t>
      </w:r>
      <w:r>
        <w:rPr>
          <w:rFonts w:ascii="微软雅黑" w:hAnsi="微软雅黑" w:eastAsia="微软雅黑" w:cs="微软雅黑"/>
          <w:color w:val="231F20"/>
          <w:spacing w:val="6"/>
          <w:sz w:val="22"/>
          <w:szCs w:val="22"/>
        </w:rPr>
        <w:t>数量要求。</w:t>
      </w:r>
      <w:r>
        <w:rPr>
          <w:rFonts w:ascii="微软雅黑" w:hAnsi="微软雅黑" w:eastAsia="微软雅黑" w:cs="微软雅黑"/>
          <w:color w:val="231F20"/>
          <w:spacing w:val="5"/>
          <w:sz w:val="22"/>
          <w:szCs w:val="22"/>
        </w:rPr>
        <w:t>对</w:t>
      </w:r>
      <w:r>
        <w:rPr>
          <w:rFonts w:ascii="微软雅黑" w:hAnsi="微软雅黑" w:eastAsia="微软雅黑" w:cs="微软雅黑"/>
          <w:color w:val="231F20"/>
          <w:spacing w:val="3"/>
          <w:sz w:val="22"/>
          <w:szCs w:val="22"/>
        </w:rPr>
        <w:t>符合条件的外资研发中心进口国内不能生产或者性能无法满足需要的科</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学</w:t>
      </w:r>
      <w:r>
        <w:rPr>
          <w:rFonts w:ascii="微软雅黑" w:hAnsi="微软雅黑" w:eastAsia="微软雅黑" w:cs="微软雅黑"/>
          <w:color w:val="231F20"/>
          <w:sz w:val="22"/>
          <w:szCs w:val="22"/>
        </w:rPr>
        <w:t xml:space="preserve">研究、科技开发用品 ，按规定免征部分税 ，并退还相关增值税。外资企业提供技术 </w:t>
      </w:r>
      <w:r>
        <w:rPr>
          <w:rFonts w:ascii="微软雅黑" w:hAnsi="微软雅黑" w:eastAsia="微软雅黑" w:cs="微软雅黑"/>
          <w:color w:val="231F20"/>
          <w:spacing w:val="-10"/>
          <w:sz w:val="22"/>
          <w:szCs w:val="22"/>
        </w:rPr>
        <w:t>转让、技术</w:t>
      </w:r>
      <w:r>
        <w:rPr>
          <w:rFonts w:ascii="微软雅黑" w:hAnsi="微软雅黑" w:eastAsia="微软雅黑" w:cs="微软雅黑"/>
          <w:color w:val="231F20"/>
          <w:spacing w:val="-5"/>
          <w:sz w:val="22"/>
          <w:szCs w:val="22"/>
        </w:rPr>
        <w:t>开发及与之相关的技术咨询、技术服务等，符合条件的可按规定免征增值税。</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允许综合保税</w:t>
      </w:r>
      <w:r>
        <w:rPr>
          <w:rFonts w:ascii="微软雅黑" w:hAnsi="微软雅黑" w:eastAsia="微软雅黑" w:cs="微软雅黑"/>
          <w:color w:val="231F20"/>
          <w:spacing w:val="3"/>
          <w:sz w:val="22"/>
          <w:szCs w:val="22"/>
        </w:rPr>
        <w:t>区内符合条件的外资企业保税进口有形料件、试剂、耗材及样品用于研</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发业务。外资研发机构参与研发公共服务平台建设和政府</w:t>
      </w:r>
      <w:r>
        <w:rPr>
          <w:rFonts w:ascii="微软雅黑" w:hAnsi="微软雅黑" w:eastAsia="微软雅黑" w:cs="微软雅黑"/>
          <w:color w:val="231F20"/>
          <w:spacing w:val="1"/>
          <w:sz w:val="22"/>
          <w:szCs w:val="22"/>
        </w:rPr>
        <w:t>科技计划项目 ，符合条件的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享受与内资研发</w:t>
      </w:r>
      <w:r>
        <w:rPr>
          <w:rFonts w:ascii="微软雅黑" w:hAnsi="微软雅黑" w:eastAsia="微软雅黑" w:cs="微软雅黑"/>
          <w:color w:val="231F20"/>
          <w:spacing w:val="-3"/>
          <w:sz w:val="22"/>
          <w:szCs w:val="22"/>
        </w:rPr>
        <w:t>机</w:t>
      </w:r>
      <w:r>
        <w:rPr>
          <w:rFonts w:ascii="微软雅黑" w:hAnsi="微软雅黑" w:eastAsia="微软雅黑" w:cs="微软雅黑"/>
          <w:color w:val="231F20"/>
          <w:spacing w:val="-2"/>
          <w:sz w:val="22"/>
          <w:szCs w:val="22"/>
        </w:rPr>
        <w:t>构同等待遇。加强高层次海外人才服务窗口建设，推进人才服务“一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卡通</w:t>
      </w:r>
      <w:r>
        <w:rPr>
          <w:rFonts w:ascii="微软雅黑" w:hAnsi="微软雅黑" w:eastAsia="微软雅黑" w:cs="微软雅黑"/>
          <w:color w:val="231F20"/>
          <w:spacing w:val="-1"/>
          <w:sz w:val="22"/>
          <w:szCs w:val="22"/>
        </w:rPr>
        <w:t>”。</w:t>
      </w:r>
    </w:p>
    <w:p>
      <w:pPr>
        <w:spacing w:before="177" w:line="221" w:lineRule="auto"/>
        <w:ind w:left="2462"/>
        <w:rPr>
          <w:rFonts w:ascii="SimHei" w:hAnsi="SimHei" w:eastAsia="SimHei" w:cs="SimHei"/>
          <w:sz w:val="24"/>
          <w:szCs w:val="24"/>
        </w:rPr>
      </w:pPr>
      <w:r>
        <w:rPr>
          <w:rFonts w:ascii="SimHei" w:hAnsi="SimHei" w:eastAsia="SimHei" w:cs="SimHei"/>
          <w:color w:val="015DAC"/>
          <w:spacing w:val="10"/>
          <w:sz w:val="24"/>
          <w:szCs w:val="24"/>
        </w:rPr>
        <w:t>(二</w:t>
      </w:r>
      <w:r>
        <w:rPr>
          <w:rFonts w:ascii="SimHei" w:hAnsi="SimHei" w:eastAsia="SimHei" w:cs="SimHei"/>
          <w:color w:val="015DAC"/>
          <w:spacing w:val="7"/>
          <w:sz w:val="24"/>
          <w:szCs w:val="24"/>
        </w:rPr>
        <w:t>)</w:t>
      </w:r>
      <w:r>
        <w:rPr>
          <w:rFonts w:ascii="SimHei" w:hAnsi="SimHei" w:eastAsia="SimHei" w:cs="SimHei"/>
          <w:color w:val="015DAC"/>
          <w:spacing w:val="5"/>
          <w:sz w:val="24"/>
          <w:szCs w:val="24"/>
        </w:rPr>
        <w:t xml:space="preserve"> 加强重点企业服务，助力企业稳定经营</w:t>
      </w:r>
    </w:p>
    <w:p>
      <w:pPr>
        <w:spacing w:before="333" w:line="263" w:lineRule="auto"/>
        <w:ind w:left="1990" w:right="1984" w:firstLine="461"/>
        <w:rPr>
          <w:rFonts w:ascii="微软雅黑" w:hAnsi="微软雅黑" w:eastAsia="微软雅黑" w:cs="微软雅黑"/>
          <w:sz w:val="22"/>
          <w:szCs w:val="22"/>
        </w:rPr>
      </w:pPr>
      <w:r>
        <w:rPr>
          <w:rFonts w:ascii="SimHei" w:hAnsi="SimHei" w:eastAsia="SimHei" w:cs="SimHei"/>
          <w:color w:val="231F20"/>
          <w:spacing w:val="4"/>
          <w:sz w:val="22"/>
          <w:szCs w:val="22"/>
        </w:rPr>
        <w:t>实施重大外资项目“直通车</w:t>
      </w:r>
      <w:r>
        <w:rPr>
          <w:rFonts w:ascii="SimHei" w:hAnsi="SimHei" w:eastAsia="SimHei" w:cs="SimHei"/>
          <w:color w:val="231F20"/>
          <w:spacing w:val="2"/>
          <w:sz w:val="22"/>
          <w:szCs w:val="22"/>
        </w:rPr>
        <w:t>”制度。</w:t>
      </w:r>
      <w:r>
        <w:rPr>
          <w:rFonts w:ascii="微软雅黑" w:hAnsi="微软雅黑" w:eastAsia="微软雅黑" w:cs="微软雅黑"/>
          <w:color w:val="231F20"/>
          <w:spacing w:val="2"/>
          <w:sz w:val="22"/>
          <w:szCs w:val="22"/>
        </w:rPr>
        <w:t xml:space="preserve">将投资额 </w:t>
      </w:r>
      <w:r>
        <w:rPr>
          <w:rFonts w:ascii="Times New Roman" w:hAnsi="Times New Roman" w:eastAsia="Times New Roman" w:cs="Times New Roman"/>
          <w:color w:val="231F20"/>
          <w:spacing w:val="2"/>
          <w:sz w:val="22"/>
          <w:szCs w:val="22"/>
        </w:rPr>
        <w:t xml:space="preserve">1 </w:t>
      </w:r>
      <w:r>
        <w:rPr>
          <w:rFonts w:ascii="微软雅黑" w:hAnsi="微软雅黑" w:eastAsia="微软雅黑" w:cs="微软雅黑"/>
          <w:color w:val="231F20"/>
          <w:spacing w:val="2"/>
          <w:sz w:val="22"/>
          <w:szCs w:val="22"/>
        </w:rPr>
        <w:t>亿美元以上的外资项目纳入重点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外资项目清单 ，对清单内企业实行党政领导包保 ，对符合条件</w:t>
      </w:r>
      <w:r>
        <w:rPr>
          <w:rFonts w:ascii="微软雅黑" w:hAnsi="微软雅黑" w:eastAsia="微软雅黑" w:cs="微软雅黑"/>
          <w:color w:val="231F20"/>
          <w:spacing w:val="-1"/>
          <w:sz w:val="22"/>
          <w:szCs w:val="22"/>
        </w:rPr>
        <w:t>的重点外资项目 ，纳入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省级重点项目保</w:t>
      </w:r>
      <w:r>
        <w:rPr>
          <w:rFonts w:ascii="微软雅黑" w:hAnsi="微软雅黑" w:eastAsia="微软雅黑" w:cs="微软雅黑"/>
          <w:color w:val="231F20"/>
          <w:sz w:val="22"/>
          <w:szCs w:val="22"/>
        </w:rPr>
        <w:t xml:space="preserve">障服务范围 ，在各个方面给予大力支持。同时 ，支持县级以上政府出 </w:t>
      </w:r>
      <w:r>
        <w:rPr>
          <w:rFonts w:ascii="微软雅黑" w:hAnsi="微软雅黑" w:eastAsia="微软雅黑" w:cs="微软雅黑"/>
          <w:color w:val="231F20"/>
          <w:spacing w:val="-2"/>
          <w:sz w:val="22"/>
          <w:szCs w:val="22"/>
        </w:rPr>
        <w:t>台更为灵活的支持政策 ，加大对本地重点外资</w:t>
      </w:r>
      <w:r>
        <w:rPr>
          <w:rFonts w:ascii="微软雅黑" w:hAnsi="微软雅黑" w:eastAsia="微软雅黑" w:cs="微软雅黑"/>
          <w:color w:val="231F20"/>
          <w:spacing w:val="-1"/>
          <w:sz w:val="22"/>
          <w:szCs w:val="22"/>
        </w:rPr>
        <w:t>项目保障。</w:t>
      </w:r>
    </w:p>
    <w:p>
      <w:pPr>
        <w:spacing w:before="173" w:line="263" w:lineRule="auto"/>
        <w:ind w:left="1989" w:right="1898" w:firstLine="457"/>
        <w:rPr>
          <w:rFonts w:ascii="微软雅黑" w:hAnsi="微软雅黑" w:eastAsia="微软雅黑" w:cs="微软雅黑"/>
          <w:sz w:val="22"/>
          <w:szCs w:val="22"/>
        </w:rPr>
      </w:pPr>
      <w:r>
        <w:rPr>
          <w:rFonts w:ascii="SimHei" w:hAnsi="SimHei" w:eastAsia="SimHei" w:cs="SimHei"/>
          <w:color w:val="231F20"/>
          <w:spacing w:val="-16"/>
          <w:sz w:val="22"/>
          <w:szCs w:val="22"/>
        </w:rPr>
        <w:t>及</w:t>
      </w:r>
      <w:r>
        <w:rPr>
          <w:rFonts w:ascii="SimHei" w:hAnsi="SimHei" w:eastAsia="SimHei" w:cs="SimHei"/>
          <w:color w:val="231F20"/>
          <w:spacing w:val="-12"/>
          <w:sz w:val="22"/>
          <w:szCs w:val="22"/>
        </w:rPr>
        <w:t>时掌握重点外资项目经营状况。</w:t>
      </w:r>
      <w:r>
        <w:rPr>
          <w:rFonts w:ascii="微软雅黑" w:hAnsi="微软雅黑" w:eastAsia="微软雅黑" w:cs="微软雅黑"/>
          <w:color w:val="231F20"/>
          <w:spacing w:val="-12"/>
          <w:sz w:val="22"/>
          <w:szCs w:val="22"/>
        </w:rPr>
        <w:t>组织开展“两稳一促”大调研、“访外企、解难题、</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优</w:t>
      </w:r>
      <w:r>
        <w:rPr>
          <w:rFonts w:ascii="微软雅黑" w:hAnsi="微软雅黑" w:eastAsia="微软雅黑" w:cs="微软雅黑"/>
          <w:color w:val="231F20"/>
          <w:spacing w:val="4"/>
          <w:sz w:val="22"/>
          <w:szCs w:val="22"/>
        </w:rPr>
        <w:t xml:space="preserve">服务、促发展”春风行动等活动。建立重点企业联系制度 ，将 </w:t>
      </w:r>
      <w:r>
        <w:rPr>
          <w:rFonts w:ascii="Times New Roman" w:hAnsi="Times New Roman" w:eastAsia="Times New Roman" w:cs="Times New Roman"/>
          <w:color w:val="231F20"/>
          <w:spacing w:val="4"/>
          <w:sz w:val="22"/>
          <w:szCs w:val="22"/>
        </w:rPr>
        <w:t xml:space="preserve">54 </w:t>
      </w:r>
      <w:r>
        <w:rPr>
          <w:rFonts w:ascii="微软雅黑" w:hAnsi="微软雅黑" w:eastAsia="微软雅黑" w:cs="微软雅黑"/>
          <w:color w:val="231F20"/>
          <w:spacing w:val="4"/>
          <w:sz w:val="22"/>
          <w:szCs w:val="22"/>
        </w:rPr>
        <w:t>家重点外资企业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纳入商务部直报信息服务平台样本企业名单 ，动员企业填报基</w:t>
      </w:r>
      <w:r>
        <w:rPr>
          <w:rFonts w:ascii="微软雅黑" w:hAnsi="微软雅黑" w:eastAsia="微软雅黑" w:cs="微软雅黑"/>
          <w:color w:val="231F20"/>
          <w:spacing w:val="1"/>
          <w:sz w:val="22"/>
          <w:szCs w:val="22"/>
        </w:rPr>
        <w:t>本情况调查表和月度调</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查表</w:t>
      </w:r>
      <w:r>
        <w:rPr>
          <w:rFonts w:ascii="微软雅黑" w:hAnsi="微软雅黑" w:eastAsia="微软雅黑" w:cs="微软雅黑"/>
          <w:color w:val="231F20"/>
          <w:spacing w:val="-4"/>
          <w:sz w:val="22"/>
          <w:szCs w:val="22"/>
        </w:rPr>
        <w:t>，  了解企业经营状况，及时解决企业遇到的困难。</w:t>
      </w:r>
    </w:p>
    <w:p>
      <w:pPr>
        <w:spacing w:before="170" w:line="266" w:lineRule="auto"/>
        <w:ind w:left="1987" w:right="1983" w:firstLine="457"/>
        <w:rPr>
          <w:rFonts w:ascii="微软雅黑" w:hAnsi="微软雅黑" w:eastAsia="微软雅黑" w:cs="微软雅黑"/>
          <w:sz w:val="22"/>
          <w:szCs w:val="22"/>
        </w:rPr>
      </w:pPr>
      <w:r>
        <w:rPr>
          <w:rFonts w:ascii="SimHei" w:hAnsi="SimHei" w:eastAsia="SimHei" w:cs="SimHei"/>
          <w:color w:val="231F20"/>
          <w:spacing w:val="6"/>
          <w:sz w:val="22"/>
          <w:szCs w:val="22"/>
        </w:rPr>
        <w:t>协调解</w:t>
      </w:r>
      <w:r>
        <w:rPr>
          <w:rFonts w:ascii="SimHei" w:hAnsi="SimHei" w:eastAsia="SimHei" w:cs="SimHei"/>
          <w:color w:val="231F20"/>
          <w:spacing w:val="5"/>
          <w:sz w:val="22"/>
          <w:szCs w:val="22"/>
        </w:rPr>
        <w:t>决</w:t>
      </w:r>
      <w:r>
        <w:rPr>
          <w:rFonts w:ascii="SimHei" w:hAnsi="SimHei" w:eastAsia="SimHei" w:cs="SimHei"/>
          <w:color w:val="231F20"/>
          <w:spacing w:val="3"/>
          <w:sz w:val="22"/>
          <w:szCs w:val="22"/>
        </w:rPr>
        <w:t>重点外资项目外籍人员入境难题。</w:t>
      </w:r>
      <w:r>
        <w:rPr>
          <w:rFonts w:ascii="微软雅黑" w:hAnsi="微软雅黑" w:eastAsia="微软雅黑" w:cs="微软雅黑"/>
          <w:color w:val="231F20"/>
          <w:spacing w:val="3"/>
          <w:sz w:val="22"/>
          <w:szCs w:val="22"/>
        </w:rPr>
        <w:t>全面摸排因疫情滞留境外的外资企业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外籍人员名单，  与有关部门加强沟通协调 ，帮助解</w:t>
      </w:r>
      <w:r>
        <w:rPr>
          <w:rFonts w:ascii="微软雅黑" w:hAnsi="微软雅黑" w:eastAsia="微软雅黑" w:cs="微软雅黑"/>
          <w:color w:val="231F20"/>
          <w:spacing w:val="-1"/>
          <w:sz w:val="22"/>
          <w:szCs w:val="22"/>
        </w:rPr>
        <w:t>决外资企业外籍人员入境难题。已</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成功解决了在湖北投资的重点外资企业外籍员</w:t>
      </w:r>
      <w:r>
        <w:rPr>
          <w:rFonts w:ascii="微软雅黑" w:hAnsi="微软雅黑" w:eastAsia="微软雅黑" w:cs="微软雅黑"/>
          <w:color w:val="231F20"/>
          <w:sz w:val="22"/>
          <w:szCs w:val="22"/>
        </w:rPr>
        <w:t>工返岗难题。</w:t>
      </w:r>
    </w:p>
    <w:p>
      <w:pPr>
        <w:spacing w:before="172" w:line="266" w:lineRule="auto"/>
        <w:ind w:left="1987" w:right="1874" w:firstLine="456"/>
        <w:rPr>
          <w:rFonts w:ascii="微软雅黑" w:hAnsi="微软雅黑" w:eastAsia="微软雅黑" w:cs="微软雅黑"/>
          <w:sz w:val="22"/>
          <w:szCs w:val="22"/>
        </w:rPr>
      </w:pPr>
      <w:r>
        <w:rPr>
          <w:rFonts w:ascii="SimHei" w:hAnsi="SimHei" w:eastAsia="SimHei" w:cs="SimHei"/>
          <w:color w:val="231F20"/>
          <w:spacing w:val="2"/>
          <w:sz w:val="22"/>
          <w:szCs w:val="22"/>
        </w:rPr>
        <w:t>深入开展“银企对接”活动。</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年湖北银</w:t>
      </w:r>
      <w:r>
        <w:rPr>
          <w:rFonts w:ascii="微软雅黑" w:hAnsi="微软雅黑" w:eastAsia="微软雅黑" w:cs="微软雅黑"/>
          <w:color w:val="231F20"/>
          <w:spacing w:val="1"/>
          <w:sz w:val="22"/>
          <w:szCs w:val="22"/>
        </w:rPr>
        <w:t>保监局、省金融管理局等相关部门及</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银行金融机构</w:t>
      </w:r>
      <w:r>
        <w:rPr>
          <w:rFonts w:ascii="微软雅黑" w:hAnsi="微软雅黑" w:eastAsia="微软雅黑" w:cs="微软雅黑"/>
          <w:color w:val="231F20"/>
          <w:spacing w:val="6"/>
          <w:sz w:val="22"/>
          <w:szCs w:val="22"/>
        </w:rPr>
        <w:t>建</w:t>
      </w:r>
      <w:r>
        <w:rPr>
          <w:rFonts w:ascii="微软雅黑" w:hAnsi="微软雅黑" w:eastAsia="微软雅黑" w:cs="微软雅黑"/>
          <w:color w:val="231F20"/>
          <w:spacing w:val="4"/>
          <w:sz w:val="22"/>
          <w:szCs w:val="22"/>
        </w:rPr>
        <w:t>立“银企对接”沟通联络机制 ，积极开展外商投资企业“银企对接”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系列活动 ，进一步深化政银信企合</w:t>
      </w:r>
      <w:r>
        <w:rPr>
          <w:rFonts w:ascii="微软雅黑" w:hAnsi="微软雅黑" w:eastAsia="微软雅黑" w:cs="微软雅黑"/>
          <w:color w:val="231F20"/>
          <w:spacing w:val="-1"/>
          <w:sz w:val="22"/>
          <w:szCs w:val="22"/>
        </w:rPr>
        <w:t>作，优化金融服务通道。</w:t>
      </w:r>
    </w:p>
    <w:p>
      <w:pPr>
        <w:spacing w:before="175" w:line="261" w:lineRule="auto"/>
        <w:ind w:left="1990" w:right="1983" w:firstLine="460"/>
        <w:rPr>
          <w:rFonts w:ascii="微软雅黑" w:hAnsi="微软雅黑" w:eastAsia="微软雅黑" w:cs="微软雅黑"/>
          <w:sz w:val="22"/>
          <w:szCs w:val="22"/>
        </w:rPr>
      </w:pPr>
      <w:r>
        <w:rPr>
          <w:rFonts w:ascii="SimHei" w:hAnsi="SimHei" w:eastAsia="SimHei" w:cs="SimHei"/>
          <w:color w:val="231F20"/>
          <w:spacing w:val="6"/>
          <w:sz w:val="22"/>
          <w:szCs w:val="22"/>
        </w:rPr>
        <w:t>为</w:t>
      </w:r>
      <w:r>
        <w:rPr>
          <w:rFonts w:ascii="SimHei" w:hAnsi="SimHei" w:eastAsia="SimHei" w:cs="SimHei"/>
          <w:color w:val="231F20"/>
          <w:spacing w:val="5"/>
          <w:sz w:val="22"/>
          <w:szCs w:val="22"/>
        </w:rPr>
        <w:t>高</w:t>
      </w:r>
      <w:r>
        <w:rPr>
          <w:rFonts w:ascii="SimHei" w:hAnsi="SimHei" w:eastAsia="SimHei" w:cs="SimHei"/>
          <w:color w:val="231F20"/>
          <w:spacing w:val="3"/>
          <w:sz w:val="22"/>
          <w:szCs w:val="22"/>
        </w:rPr>
        <w:t>新技术产业外资提供专项服务。</w:t>
      </w:r>
      <w:r>
        <w:rPr>
          <w:rFonts w:ascii="微软雅黑" w:hAnsi="微软雅黑" w:eastAsia="微软雅黑" w:cs="微软雅黑"/>
          <w:color w:val="231F20"/>
          <w:spacing w:val="3"/>
          <w:sz w:val="22"/>
          <w:szCs w:val="22"/>
        </w:rPr>
        <w:t>加强对外资企业申请高新技术企业认定的指</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导和服务 ，优化高新技术企业申报流程 ，利用数据共享服务</w:t>
      </w:r>
      <w:r>
        <w:rPr>
          <w:rFonts w:ascii="微软雅黑" w:hAnsi="微软雅黑" w:eastAsia="微软雅黑" w:cs="微软雅黑"/>
          <w:color w:val="231F20"/>
          <w:spacing w:val="-1"/>
          <w:sz w:val="22"/>
          <w:szCs w:val="22"/>
        </w:rPr>
        <w:t>平台 ，推进湖北省网上申</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报平台与国家</w:t>
      </w:r>
      <w:r>
        <w:rPr>
          <w:rFonts w:ascii="微软雅黑" w:hAnsi="微软雅黑" w:eastAsia="微软雅黑" w:cs="微软雅黑"/>
          <w:color w:val="231F20"/>
          <w:sz w:val="22"/>
          <w:szCs w:val="22"/>
        </w:rPr>
        <w:t xml:space="preserve">平台数据对接 ，提高信息共享水平 ，减轻外资企业申报负担。扶持引导 </w:t>
      </w:r>
      <w:r>
        <w:rPr>
          <w:rFonts w:ascii="微软雅黑" w:hAnsi="微软雅黑" w:eastAsia="微软雅黑" w:cs="微软雅黑"/>
          <w:color w:val="231F20"/>
          <w:spacing w:val="-1"/>
          <w:sz w:val="22"/>
          <w:szCs w:val="22"/>
        </w:rPr>
        <w:t>知识</w:t>
      </w:r>
      <w:r>
        <w:rPr>
          <w:rFonts w:ascii="微软雅黑" w:hAnsi="微软雅黑" w:eastAsia="微软雅黑" w:cs="微软雅黑"/>
          <w:color w:val="231F20"/>
          <w:sz w:val="22"/>
          <w:szCs w:val="22"/>
        </w:rPr>
        <w:t xml:space="preserve">产权服务业发展 ，加强国际交流 ，推动高新技术产业发展。支持外资企业与省属 </w:t>
      </w:r>
      <w:r>
        <w:rPr>
          <w:rFonts w:ascii="微软雅黑" w:hAnsi="微软雅黑" w:eastAsia="微软雅黑" w:cs="微软雅黑"/>
          <w:color w:val="231F20"/>
          <w:spacing w:val="1"/>
          <w:sz w:val="22"/>
          <w:szCs w:val="22"/>
        </w:rPr>
        <w:t>企业共同参与</w:t>
      </w:r>
      <w:r>
        <w:rPr>
          <w:rFonts w:ascii="微软雅黑" w:hAnsi="微软雅黑" w:eastAsia="微软雅黑" w:cs="微软雅黑"/>
          <w:color w:val="231F20"/>
          <w:sz w:val="22"/>
          <w:szCs w:val="22"/>
        </w:rPr>
        <w:t>氢能源汽车标准制定。</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5692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87" name="IM 387"/>
            <wp:cNvGraphicFramePr/>
            <a:graphic xmlns:a="http://schemas.openxmlformats.org/drawingml/2006/main">
              <a:graphicData uri="http://schemas.openxmlformats.org/drawingml/2006/picture">
                <pic:pic xmlns:pic="http://schemas.openxmlformats.org/drawingml/2006/picture">
                  <pic:nvPicPr>
                    <pic:cNvPr id="387" name="IM 387"/>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bookmarkStart w:id="101" w:name="_bookmark86"/>
      <w:bookmarkEnd w:id="101"/>
      <w:r>
        <w:rPr>
          <w:rFonts w:ascii="Arial" w:hAnsi="Arial" w:eastAsia="Arial" w:cs="Arial"/>
          <w:color w:val="231F20"/>
          <w:spacing w:val="41"/>
          <w:sz w:val="20"/>
          <w:szCs w:val="20"/>
        </w:rPr>
        <w:t>8</w:t>
      </w:r>
      <w:r>
        <w:rPr>
          <w:rFonts w:ascii="Arial" w:hAnsi="Arial" w:eastAsia="Arial" w:cs="Arial"/>
          <w:color w:val="231F20"/>
          <w:spacing w:val="21"/>
          <w:sz w:val="20"/>
          <w:szCs w:val="20"/>
        </w:rPr>
        <w:t xml:space="preserve">2  </w:t>
      </w:r>
      <w:r>
        <w:rPr>
          <w:position w:val="-5"/>
          <w:sz w:val="20"/>
          <w:szCs w:val="20"/>
        </w:rPr>
        <w:drawing>
          <wp:inline distT="0" distB="0" distL="0" distR="0">
            <wp:extent cx="3175" cy="147320"/>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389" name="IM 389"/>
            <wp:cNvGraphicFramePr/>
            <a:graphic xmlns:a="http://schemas.openxmlformats.org/drawingml/2006/main">
              <a:graphicData uri="http://schemas.openxmlformats.org/drawingml/2006/picture">
                <pic:pic xmlns:pic="http://schemas.openxmlformats.org/drawingml/2006/picture">
                  <pic:nvPicPr>
                    <pic:cNvPr id="389" name="IM 389"/>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8" w:line="221" w:lineRule="auto"/>
        <w:ind w:left="2462"/>
        <w:rPr>
          <w:rFonts w:ascii="SimHei" w:hAnsi="SimHei" w:eastAsia="SimHei" w:cs="SimHei"/>
          <w:sz w:val="24"/>
          <w:szCs w:val="24"/>
        </w:rPr>
      </w:pPr>
      <w:r>
        <w:rPr>
          <w:rFonts w:ascii="SimHei" w:hAnsi="SimHei" w:eastAsia="SimHei" w:cs="SimHei"/>
          <w:color w:val="015DAC"/>
          <w:spacing w:val="10"/>
          <w:sz w:val="24"/>
          <w:szCs w:val="24"/>
        </w:rPr>
        <w:t>(三</w:t>
      </w:r>
      <w:r>
        <w:rPr>
          <w:rFonts w:ascii="SimHei" w:hAnsi="SimHei" w:eastAsia="SimHei" w:cs="SimHei"/>
          <w:color w:val="015DAC"/>
          <w:spacing w:val="7"/>
          <w:sz w:val="24"/>
          <w:szCs w:val="24"/>
        </w:rPr>
        <w:t>)</w:t>
      </w:r>
      <w:r>
        <w:rPr>
          <w:rFonts w:ascii="SimHei" w:hAnsi="SimHei" w:eastAsia="SimHei" w:cs="SimHei"/>
          <w:color w:val="015DAC"/>
          <w:spacing w:val="5"/>
          <w:sz w:val="24"/>
          <w:szCs w:val="24"/>
        </w:rPr>
        <w:t xml:space="preserve"> 积极搭建交流平台，提高外资引进质量</w:t>
      </w:r>
    </w:p>
    <w:p>
      <w:pPr>
        <w:spacing w:before="331" w:line="258" w:lineRule="auto"/>
        <w:ind w:left="1987" w:right="1898" w:firstLine="464"/>
        <w:rPr>
          <w:rFonts w:ascii="微软雅黑" w:hAnsi="微软雅黑" w:eastAsia="微软雅黑" w:cs="微软雅黑"/>
          <w:sz w:val="22"/>
          <w:szCs w:val="22"/>
        </w:rPr>
      </w:pPr>
      <w:r>
        <w:rPr>
          <w:rFonts w:ascii="SimHei" w:hAnsi="SimHei" w:eastAsia="SimHei" w:cs="SimHei"/>
          <w:color w:val="231F20"/>
          <w:spacing w:val="-6"/>
          <w:sz w:val="22"/>
          <w:szCs w:val="22"/>
        </w:rPr>
        <w:t>充分发挥投资促进</w:t>
      </w:r>
      <w:r>
        <w:rPr>
          <w:rFonts w:ascii="SimHei" w:hAnsi="SimHei" w:eastAsia="SimHei" w:cs="SimHei"/>
          <w:color w:val="231F20"/>
          <w:spacing w:val="-4"/>
          <w:sz w:val="22"/>
          <w:szCs w:val="22"/>
        </w:rPr>
        <w:t>活</w:t>
      </w:r>
      <w:r>
        <w:rPr>
          <w:rFonts w:ascii="SimHei" w:hAnsi="SimHei" w:eastAsia="SimHei" w:cs="SimHei"/>
          <w:color w:val="231F20"/>
          <w:spacing w:val="-3"/>
          <w:sz w:val="22"/>
          <w:szCs w:val="22"/>
        </w:rPr>
        <w:t xml:space="preserve">动沟通交流和引资功能。 </w:t>
      </w:r>
      <w:r>
        <w:rPr>
          <w:rFonts w:ascii="微软雅黑" w:hAnsi="微软雅黑" w:eastAsia="微软雅黑" w:cs="微软雅黑"/>
          <w:color w:val="231F20"/>
          <w:spacing w:val="-3"/>
          <w:sz w:val="22"/>
          <w:szCs w:val="22"/>
        </w:rPr>
        <w:t xml:space="preserve">加强与知名外商、世界 </w:t>
      </w:r>
      <w:r>
        <w:rPr>
          <w:rFonts w:ascii="Times New Roman" w:hAnsi="Times New Roman" w:eastAsia="Times New Roman" w:cs="Times New Roman"/>
          <w:color w:val="231F20"/>
          <w:spacing w:val="-3"/>
          <w:sz w:val="22"/>
          <w:szCs w:val="22"/>
        </w:rPr>
        <w:t xml:space="preserve">500 </w:t>
      </w:r>
      <w:r>
        <w:rPr>
          <w:rFonts w:ascii="微软雅黑" w:hAnsi="微软雅黑" w:eastAsia="微软雅黑" w:cs="微软雅黑"/>
          <w:color w:val="231F20"/>
          <w:spacing w:val="-3"/>
          <w:sz w:val="22"/>
          <w:szCs w:val="22"/>
        </w:rPr>
        <w:t>强企业、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跨国公司对接交流 ，积极利用各类经贸活动展</w:t>
      </w:r>
      <w:r>
        <w:rPr>
          <w:rFonts w:ascii="微软雅黑" w:hAnsi="微软雅黑" w:eastAsia="微软雅黑" w:cs="微软雅黑"/>
          <w:color w:val="231F20"/>
          <w:sz w:val="22"/>
          <w:szCs w:val="22"/>
        </w:rPr>
        <w:t xml:space="preserve">示湖北特色优势 ，提升对外资吸引力。 </w:t>
      </w:r>
      <w:r>
        <w:rPr>
          <w:rFonts w:ascii="微软雅黑" w:hAnsi="微软雅黑" w:eastAsia="微软雅黑" w:cs="微软雅黑"/>
          <w:color w:val="231F20"/>
          <w:spacing w:val="1"/>
          <w:sz w:val="22"/>
          <w:szCs w:val="22"/>
        </w:rPr>
        <w:t>召</w:t>
      </w:r>
      <w:r>
        <w:rPr>
          <w:rFonts w:ascii="微软雅黑" w:hAnsi="微软雅黑" w:eastAsia="微软雅黑" w:cs="微软雅黑"/>
          <w:color w:val="231F20"/>
          <w:sz w:val="22"/>
          <w:szCs w:val="22"/>
        </w:rPr>
        <w:t xml:space="preserve">开在湖北美资企业、港资企业、韩资企业座谈会 ，解读有关政策 ，宣传湖北发展新 </w:t>
      </w:r>
      <w:r>
        <w:rPr>
          <w:rFonts w:ascii="微软雅黑" w:hAnsi="微软雅黑" w:eastAsia="微软雅黑" w:cs="微软雅黑"/>
          <w:color w:val="231F20"/>
          <w:spacing w:val="-12"/>
          <w:sz w:val="22"/>
          <w:szCs w:val="22"/>
        </w:rPr>
        <w:t>机遇。高规</w:t>
      </w:r>
      <w:r>
        <w:rPr>
          <w:rFonts w:ascii="微软雅黑" w:hAnsi="微软雅黑" w:eastAsia="微软雅黑" w:cs="微软雅黑"/>
          <w:color w:val="231F20"/>
          <w:spacing w:val="-10"/>
          <w:sz w:val="22"/>
          <w:szCs w:val="22"/>
        </w:rPr>
        <w:t>格</w:t>
      </w:r>
      <w:r>
        <w:rPr>
          <w:rFonts w:ascii="微软雅黑" w:hAnsi="微软雅黑" w:eastAsia="微软雅黑" w:cs="微软雅黑"/>
          <w:color w:val="231F20"/>
          <w:spacing w:val="-6"/>
          <w:sz w:val="22"/>
          <w:szCs w:val="22"/>
        </w:rPr>
        <w:t xml:space="preserve">举办湖北 </w:t>
      </w:r>
      <w:r>
        <w:rPr>
          <w:rFonts w:ascii="Times New Roman" w:hAnsi="Times New Roman" w:eastAsia="Times New Roman" w:cs="Times New Roman"/>
          <w:color w:val="231F20"/>
          <w:spacing w:val="-6"/>
          <w:sz w:val="22"/>
          <w:szCs w:val="22"/>
        </w:rPr>
        <w:t>2021</w:t>
      </w:r>
      <w:r>
        <w:rPr>
          <w:rFonts w:ascii="微软雅黑" w:hAnsi="微软雅黑" w:eastAsia="微软雅黑" w:cs="微软雅黑"/>
          <w:color w:val="231F20"/>
          <w:spacing w:val="-6"/>
          <w:sz w:val="22"/>
          <w:szCs w:val="22"/>
        </w:rPr>
        <w:t>“相约春天赏樱花”经贸洽谈活动，集聚日本、韩国、英国、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7"/>
          <w:sz w:val="22"/>
          <w:szCs w:val="22"/>
        </w:rPr>
        <w:t>法</w:t>
      </w:r>
      <w:r>
        <w:rPr>
          <w:rFonts w:ascii="微软雅黑" w:hAnsi="微软雅黑" w:eastAsia="微软雅黑" w:cs="微软雅黑"/>
          <w:color w:val="231F20"/>
          <w:spacing w:val="-6"/>
          <w:sz w:val="22"/>
          <w:szCs w:val="22"/>
        </w:rPr>
        <w:t xml:space="preserve">国等驻华使领馆官员，  以及世界 </w:t>
      </w:r>
      <w:r>
        <w:rPr>
          <w:rFonts w:ascii="Times New Roman" w:hAnsi="Times New Roman" w:eastAsia="Times New Roman" w:cs="Times New Roman"/>
          <w:color w:val="231F20"/>
          <w:spacing w:val="-6"/>
          <w:sz w:val="22"/>
          <w:szCs w:val="22"/>
        </w:rPr>
        <w:t xml:space="preserve">500 </w:t>
      </w:r>
      <w:r>
        <w:rPr>
          <w:rFonts w:ascii="微软雅黑" w:hAnsi="微软雅黑" w:eastAsia="微软雅黑" w:cs="微软雅黑"/>
          <w:color w:val="231F20"/>
          <w:spacing w:val="-6"/>
          <w:sz w:val="22"/>
          <w:szCs w:val="22"/>
        </w:rPr>
        <w:t>强企业、知名跨国公司高管等，  围绕商贸物流、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文化旅游、  电子信息、先进制造、体育康养等</w:t>
      </w:r>
      <w:r>
        <w:rPr>
          <w:rFonts w:ascii="微软雅黑" w:hAnsi="微软雅黑" w:eastAsia="微软雅黑" w:cs="微软雅黑"/>
          <w:color w:val="231F20"/>
          <w:spacing w:val="-1"/>
          <w:sz w:val="22"/>
          <w:szCs w:val="22"/>
        </w:rPr>
        <w:t>多个行业领域展开洽谈 ，积极促成各类</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投资项目签</w:t>
      </w:r>
      <w:r>
        <w:rPr>
          <w:rFonts w:ascii="微软雅黑" w:hAnsi="微软雅黑" w:eastAsia="微软雅黑" w:cs="微软雅黑"/>
          <w:color w:val="231F20"/>
          <w:sz w:val="22"/>
          <w:szCs w:val="22"/>
        </w:rPr>
        <w:t xml:space="preserve">约落地。与外交外事部门一道举办“湖北全球特别推介活动”，  向全球展 </w:t>
      </w:r>
      <w:r>
        <w:rPr>
          <w:rFonts w:ascii="微软雅黑" w:hAnsi="微软雅黑" w:eastAsia="微软雅黑" w:cs="微软雅黑"/>
          <w:color w:val="231F20"/>
          <w:spacing w:val="2"/>
          <w:sz w:val="22"/>
          <w:szCs w:val="22"/>
        </w:rPr>
        <w:t>示湖北开放发展中的重大机遇。充分利用中部博览会平台 ，举办</w:t>
      </w:r>
      <w:r>
        <w:rPr>
          <w:rFonts w:ascii="微软雅黑" w:hAnsi="微软雅黑" w:eastAsia="微软雅黑" w:cs="微软雅黑"/>
          <w:color w:val="231F20"/>
          <w:spacing w:val="1"/>
          <w:sz w:val="22"/>
          <w:szCs w:val="22"/>
        </w:rPr>
        <w:t>湖北“外向型经济项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目合作洽</w:t>
      </w:r>
      <w:r>
        <w:rPr>
          <w:rFonts w:ascii="微软雅黑" w:hAnsi="微软雅黑" w:eastAsia="微软雅黑" w:cs="微软雅黑"/>
          <w:color w:val="231F20"/>
          <w:spacing w:val="-6"/>
          <w:sz w:val="22"/>
          <w:szCs w:val="22"/>
        </w:rPr>
        <w:t>谈</w:t>
      </w:r>
      <w:r>
        <w:rPr>
          <w:rFonts w:ascii="微软雅黑" w:hAnsi="微软雅黑" w:eastAsia="微软雅黑" w:cs="微软雅黑"/>
          <w:color w:val="231F20"/>
          <w:spacing w:val="-5"/>
          <w:sz w:val="22"/>
          <w:szCs w:val="22"/>
        </w:rPr>
        <w:t xml:space="preserve">会”，集中推介 </w:t>
      </w:r>
      <w:r>
        <w:rPr>
          <w:rFonts w:ascii="Times New Roman" w:hAnsi="Times New Roman" w:eastAsia="Times New Roman" w:cs="Times New Roman"/>
          <w:color w:val="231F20"/>
          <w:spacing w:val="-5"/>
          <w:sz w:val="22"/>
          <w:szCs w:val="22"/>
        </w:rPr>
        <w:t xml:space="preserve">300 </w:t>
      </w:r>
      <w:r>
        <w:rPr>
          <w:rFonts w:ascii="微软雅黑" w:hAnsi="微软雅黑" w:eastAsia="微软雅黑" w:cs="微软雅黑"/>
          <w:color w:val="231F20"/>
          <w:spacing w:val="-5"/>
          <w:sz w:val="22"/>
          <w:szCs w:val="22"/>
        </w:rPr>
        <w:t>余个外向型经济项目，涉及高端制造、电子信息、汽车、</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航天航空、生物</w:t>
      </w:r>
      <w:r>
        <w:rPr>
          <w:rFonts w:ascii="微软雅黑" w:hAnsi="微软雅黑" w:eastAsia="微软雅黑" w:cs="微软雅黑"/>
          <w:color w:val="231F20"/>
          <w:sz w:val="22"/>
          <w:szCs w:val="22"/>
        </w:rPr>
        <w:t>医药等领域。</w:t>
      </w:r>
    </w:p>
    <w:p>
      <w:pPr>
        <w:spacing w:before="171" w:line="263" w:lineRule="auto"/>
        <w:ind w:left="1992" w:right="1982" w:firstLine="453"/>
        <w:rPr>
          <w:rFonts w:ascii="微软雅黑" w:hAnsi="微软雅黑" w:eastAsia="微软雅黑" w:cs="微软雅黑"/>
          <w:sz w:val="22"/>
          <w:szCs w:val="22"/>
        </w:rPr>
      </w:pPr>
      <w:r>
        <w:rPr>
          <w:rFonts w:ascii="SimHei" w:hAnsi="SimHei" w:eastAsia="SimHei" w:cs="SimHei"/>
          <w:color w:val="231F20"/>
          <w:spacing w:val="-6"/>
          <w:sz w:val="22"/>
          <w:szCs w:val="22"/>
        </w:rPr>
        <w:t xml:space="preserve">聚焦重点中外合作园区建设引入高质量外资。 </w:t>
      </w:r>
      <w:r>
        <w:rPr>
          <w:rFonts w:ascii="微软雅黑" w:hAnsi="微软雅黑" w:eastAsia="微软雅黑" w:cs="微软雅黑"/>
          <w:color w:val="231F20"/>
          <w:spacing w:val="-6"/>
          <w:sz w:val="22"/>
          <w:szCs w:val="22"/>
        </w:rPr>
        <w:t>围绕武汉中德国际产业园，开展</w:t>
      </w:r>
      <w:r>
        <w:rPr>
          <w:rFonts w:ascii="微软雅黑" w:hAnsi="微软雅黑" w:eastAsia="微软雅黑" w:cs="微软雅黑"/>
          <w:color w:val="231F20"/>
          <w:spacing w:val="-5"/>
          <w:sz w:val="22"/>
          <w:szCs w:val="22"/>
        </w:rPr>
        <w:t>“</w:t>
      </w:r>
      <w:r>
        <w:rPr>
          <w:rFonts w:ascii="微软雅黑" w:hAnsi="微软雅黑" w:eastAsia="微软雅黑" w:cs="微软雅黑"/>
          <w:color w:val="231F20"/>
          <w:sz w:val="22"/>
          <w:szCs w:val="22"/>
        </w:rPr>
        <w:t xml:space="preserve">德 </w:t>
      </w:r>
      <w:r>
        <w:rPr>
          <w:rFonts w:ascii="微软雅黑" w:hAnsi="微软雅黑" w:eastAsia="微软雅黑" w:cs="微软雅黑"/>
          <w:color w:val="231F20"/>
          <w:spacing w:val="2"/>
          <w:sz w:val="22"/>
          <w:szCs w:val="22"/>
        </w:rPr>
        <w:t>企中国行—走进</w:t>
      </w:r>
      <w:r>
        <w:rPr>
          <w:rFonts w:ascii="微软雅黑" w:hAnsi="微软雅黑" w:eastAsia="微软雅黑" w:cs="微软雅黑"/>
          <w:color w:val="231F20"/>
          <w:spacing w:val="1"/>
          <w:sz w:val="22"/>
          <w:szCs w:val="22"/>
        </w:rPr>
        <w:t>武汉”活动 ，积极引入德国企业参与武汉汽车工业基地建设，从打造</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国家级新能源</w:t>
      </w:r>
      <w:r>
        <w:rPr>
          <w:rFonts w:ascii="微软雅黑" w:hAnsi="微软雅黑" w:eastAsia="微软雅黑" w:cs="微软雅黑"/>
          <w:color w:val="231F20"/>
          <w:spacing w:val="5"/>
          <w:sz w:val="22"/>
          <w:szCs w:val="22"/>
        </w:rPr>
        <w:t>与</w:t>
      </w:r>
      <w:r>
        <w:rPr>
          <w:rFonts w:ascii="微软雅黑" w:hAnsi="微软雅黑" w:eastAsia="微软雅黑" w:cs="微软雅黑"/>
          <w:color w:val="231F20"/>
          <w:spacing w:val="3"/>
          <w:sz w:val="22"/>
          <w:szCs w:val="22"/>
        </w:rPr>
        <w:t>智能网联汽车基地、建设运行全国碳排放结算和登记中心等多个方面</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加强双边活动 </w:t>
      </w:r>
      <w:r>
        <w:rPr>
          <w:rFonts w:ascii="微软雅黑" w:hAnsi="微软雅黑" w:eastAsia="微软雅黑" w:cs="微软雅黑"/>
          <w:color w:val="231F20"/>
          <w:spacing w:val="-1"/>
          <w:sz w:val="22"/>
          <w:szCs w:val="22"/>
        </w:rPr>
        <w:t>，聚焦新能源、碳交易、绿色产业发展等方面引入外资。</w:t>
      </w:r>
    </w:p>
    <w:p>
      <w:pPr>
        <w:spacing w:line="318" w:lineRule="auto"/>
        <w:rPr>
          <w:rFonts w:ascii="Arial"/>
          <w:sz w:val="21"/>
        </w:rPr>
      </w:pPr>
    </w:p>
    <w:p>
      <w:pPr>
        <w:spacing w:line="319" w:lineRule="auto"/>
        <w:rPr>
          <w:rFonts w:ascii="Arial"/>
          <w:sz w:val="21"/>
        </w:rPr>
      </w:pPr>
    </w:p>
    <w:p>
      <w:pPr>
        <w:spacing w:line="4762" w:lineRule="exact"/>
        <w:ind w:firstLine="1989"/>
        <w:textAlignment w:val="center"/>
      </w:pPr>
      <w:r>
        <w:pict>
          <v:group id="_x0000_s1482" o:spid="_x0000_s1482" o:spt="203" style="height:238.15pt;width:413.6pt;" coordsize="8272,4762">
            <o:lock v:ext="edit"/>
            <v:rect id="_x0000_s1483" o:spid="_x0000_s1483" o:spt="1" style="position:absolute;left:0;top:0;height:4762;width:8272;" fillcolor="#004876" filled="t" stroked="f" coordsize="21600,21600">
              <v:path/>
              <v:fill on="t" opacity="6425f" focussize="0,0"/>
              <v:stroke on="f"/>
              <v:imagedata o:title=""/>
              <o:lock v:ext="edit"/>
            </v:rect>
            <v:shape id="_x0000_s1484" o:spid="_x0000_s1484" o:spt="202" type="#_x0000_t202" style="position:absolute;left:364;top:348;height:4062;width:7504;" filled="f" stroked="f" coordsize="21600,21600">
              <v:path/>
              <v:fill on="f" focussize="0,0"/>
              <v:stroke on="f"/>
              <v:imagedata o:title=""/>
              <o:lock v:ext="edit" aspectratio="f"/>
              <v:textbox inset="0mm,0mm,0mm,0mm">
                <w:txbxContent>
                  <w:p>
                    <w:pPr>
                      <w:spacing w:before="20" w:line="40" w:lineRule="exact"/>
                      <w:ind w:firstLine="20"/>
                      <w:textAlignment w:val="center"/>
                    </w:pPr>
                    <w:r>
                      <w:drawing>
                        <wp:inline distT="0" distB="0" distL="0" distR="0">
                          <wp:extent cx="4739005" cy="25400"/>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55"/>
                                  <a:stretch>
                                    <a:fillRect/>
                                  </a:stretch>
                                </pic:blipFill>
                                <pic:spPr>
                                  <a:xfrm>
                                    <a:off x="0" y="0"/>
                                    <a:ext cx="4739399" cy="25400"/>
                                  </a:xfrm>
                                  <a:prstGeom prst="rect">
                                    <a:avLst/>
                                  </a:prstGeom>
                                </pic:spPr>
                              </pic:pic>
                            </a:graphicData>
                          </a:graphic>
                        </wp:inline>
                      </w:drawing>
                    </w:r>
                  </w:p>
                  <w:p>
                    <w:pPr>
                      <w:spacing w:before="134" w:line="193" w:lineRule="auto"/>
                      <w:ind w:left="148"/>
                      <w:rPr>
                        <w:rFonts w:ascii="Times New Roman" w:hAnsi="Times New Roman" w:eastAsia="Times New Roman" w:cs="Times New Roman"/>
                        <w:sz w:val="21"/>
                        <w:szCs w:val="21"/>
                      </w:rPr>
                    </w:pPr>
                    <w:r>
                      <w:rPr>
                        <w:rFonts w:ascii="SimHei" w:hAnsi="SimHei" w:eastAsia="SimHei" w:cs="SimHei"/>
                        <w:color w:val="015DAC"/>
                        <w:spacing w:val="-4"/>
                        <w:sz w:val="21"/>
                        <w:szCs w:val="21"/>
                      </w:rPr>
                      <w:t>专</w:t>
                    </w:r>
                    <w:r>
                      <w:rPr>
                        <w:rFonts w:ascii="SimHei" w:hAnsi="SimHei" w:eastAsia="SimHei" w:cs="SimHei"/>
                        <w:color w:val="015DAC"/>
                        <w:spacing w:val="-3"/>
                        <w:sz w:val="21"/>
                        <w:szCs w:val="21"/>
                      </w:rPr>
                      <w:t xml:space="preserve">栏 </w:t>
                    </w:r>
                    <w:r>
                      <w:rPr>
                        <w:rFonts w:ascii="Times New Roman" w:hAnsi="Times New Roman" w:eastAsia="Times New Roman" w:cs="Times New Roman"/>
                        <w:color w:val="015DAC"/>
                        <w:spacing w:val="-3"/>
                        <w:sz w:val="21"/>
                        <w:szCs w:val="21"/>
                      </w:rPr>
                      <w:t>3-5</w:t>
                    </w:r>
                  </w:p>
                  <w:p>
                    <w:pPr>
                      <w:spacing w:line="363" w:lineRule="exact"/>
                      <w:ind w:left="1317"/>
                      <w:rPr>
                        <w:rFonts w:ascii="SimHei" w:hAnsi="SimHei" w:eastAsia="SimHei" w:cs="SimHei"/>
                        <w:sz w:val="27"/>
                        <w:szCs w:val="27"/>
                      </w:rPr>
                    </w:pPr>
                    <w:r>
                      <w:rPr>
                        <w:rFonts w:ascii="SimHei" w:hAnsi="SimHei" w:eastAsia="SimHei" w:cs="SimHei"/>
                        <w:color w:val="015DAC"/>
                        <w:spacing w:val="14"/>
                        <w:position w:val="1"/>
                        <w:sz w:val="27"/>
                        <w:szCs w:val="27"/>
                        <w14:textOutline w14:w="3175" w14:cap="flat" w14:cmpd="sng">
                          <w14:solidFill>
                            <w14:srgbClr w14:val="015DAC"/>
                          </w14:solidFill>
                          <w14:prstDash w14:val="solid"/>
                          <w14:miter w14:val="0"/>
                        </w14:textOutline>
                      </w:rPr>
                      <w:t>2</w:t>
                    </w:r>
                    <w:r>
                      <w:rPr>
                        <w:rFonts w:ascii="SimHei" w:hAnsi="SimHei" w:eastAsia="SimHei" w:cs="SimHei"/>
                        <w:color w:val="015DAC"/>
                        <w:spacing w:val="9"/>
                        <w:position w:val="1"/>
                        <w:sz w:val="27"/>
                        <w:szCs w:val="27"/>
                        <w14:textOutline w14:w="3175" w14:cap="flat" w14:cmpd="sng">
                          <w14:solidFill>
                            <w14:srgbClr w14:val="015DAC"/>
                          </w14:solidFill>
                          <w14:prstDash w14:val="solid"/>
                          <w14:miter w14:val="0"/>
                        </w14:textOutline>
                      </w:rPr>
                      <w:t>021</w:t>
                    </w:r>
                    <w:r>
                      <w:rPr>
                        <w:rFonts w:ascii="SimHei" w:hAnsi="SimHei" w:eastAsia="SimHei" w:cs="SimHei"/>
                        <w:color w:val="015DAC"/>
                        <w:spacing w:val="9"/>
                        <w:position w:val="1"/>
                        <w:sz w:val="27"/>
                        <w:szCs w:val="27"/>
                      </w:rPr>
                      <w:t xml:space="preserve"> </w:t>
                    </w:r>
                    <w:r>
                      <w:rPr>
                        <w:rFonts w:ascii="SimHei" w:hAnsi="SimHei" w:eastAsia="SimHei" w:cs="SimHei"/>
                        <w:color w:val="015DAC"/>
                        <w:spacing w:val="9"/>
                        <w:position w:val="1"/>
                        <w:sz w:val="27"/>
                        <w:szCs w:val="27"/>
                        <w14:textOutline w14:w="3175" w14:cap="flat" w14:cmpd="sng">
                          <w14:solidFill>
                            <w14:srgbClr w14:val="015DAC"/>
                          </w14:solidFill>
                          <w14:prstDash w14:val="solid"/>
                          <w14:miter w14:val="0"/>
                        </w14:textOutline>
                      </w:rPr>
                      <w:t>年湖北省开展的重大投资促进活动</w:t>
                    </w:r>
                  </w:p>
                  <w:p>
                    <w:pPr>
                      <w:spacing w:before="201" w:line="40" w:lineRule="exact"/>
                      <w:ind w:firstLine="20"/>
                      <w:textAlignment w:val="center"/>
                    </w:pPr>
                    <w:r>
                      <w:drawing>
                        <wp:inline distT="0" distB="0" distL="0" distR="0">
                          <wp:extent cx="4739005" cy="25400"/>
                          <wp:effectExtent l="0" t="0" r="0" b="0"/>
                          <wp:docPr id="391" name="IM 391"/>
                          <wp:cNvGraphicFramePr/>
                          <a:graphic xmlns:a="http://schemas.openxmlformats.org/drawingml/2006/main">
                            <a:graphicData uri="http://schemas.openxmlformats.org/drawingml/2006/picture">
                              <pic:pic xmlns:pic="http://schemas.openxmlformats.org/drawingml/2006/picture">
                                <pic:nvPicPr>
                                  <pic:cNvPr id="391" name="IM 391"/>
                                  <pic:cNvPicPr/>
                                </pic:nvPicPr>
                                <pic:blipFill>
                                  <a:blip r:embed="rId156"/>
                                  <a:stretch>
                                    <a:fillRect/>
                                  </a:stretch>
                                </pic:blipFill>
                                <pic:spPr>
                                  <a:xfrm>
                                    <a:off x="0" y="0"/>
                                    <a:ext cx="4739399" cy="25400"/>
                                  </a:xfrm>
                                  <a:prstGeom prst="rect">
                                    <a:avLst/>
                                  </a:prstGeom>
                                </pic:spPr>
                              </pic:pic>
                            </a:graphicData>
                          </a:graphic>
                        </wp:inline>
                      </w:drawing>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86" w:line="280" w:lineRule="auto"/>
                      <w:ind w:left="117" w:right="45" w:firstLine="409"/>
                      <w:rPr>
                        <w:rFonts w:ascii="微软雅黑" w:hAnsi="微软雅黑" w:eastAsia="微软雅黑" w:cs="微软雅黑"/>
                        <w:sz w:val="20"/>
                        <w:szCs w:val="20"/>
                      </w:rPr>
                    </w:pPr>
                    <w:r>
                      <w:rPr>
                        <w:rFonts w:ascii="SimHei" w:hAnsi="SimHei" w:eastAsia="SimHei" w:cs="SimHei"/>
                        <w:color w:val="231F20"/>
                        <w:spacing w:val="1"/>
                        <w:sz w:val="20"/>
                        <w:szCs w:val="20"/>
                      </w:rPr>
                      <w:t>2021 在汉港资企业代表座谈会。</w:t>
                    </w:r>
                    <w:r>
                      <w:rPr>
                        <w:rFonts w:ascii="微软雅黑" w:hAnsi="微软雅黑" w:eastAsia="微软雅黑" w:cs="微软雅黑"/>
                        <w:color w:val="231F20"/>
                        <w:spacing w:val="1"/>
                        <w:sz w:val="20"/>
                        <w:szCs w:val="20"/>
                      </w:rPr>
                      <w:t>香港是武汉主要的外</w:t>
                    </w:r>
                    <w:r>
                      <w:rPr>
                        <w:rFonts w:ascii="微软雅黑" w:hAnsi="微软雅黑" w:eastAsia="微软雅黑" w:cs="微软雅黑"/>
                        <w:color w:val="231F20"/>
                        <w:sz w:val="20"/>
                        <w:szCs w:val="20"/>
                      </w:rPr>
                      <w:t xml:space="preserve">资来源地。为促进武汉市 </w:t>
                    </w:r>
                    <w:r>
                      <w:rPr>
                        <w:rFonts w:ascii="微软雅黑" w:hAnsi="微软雅黑" w:eastAsia="微软雅黑" w:cs="微软雅黑"/>
                        <w:color w:val="231F20"/>
                        <w:spacing w:val="4"/>
                        <w:sz w:val="20"/>
                        <w:szCs w:val="20"/>
                      </w:rPr>
                      <w:t>政府</w:t>
                    </w:r>
                    <w:r>
                      <w:rPr>
                        <w:rFonts w:ascii="微软雅黑" w:hAnsi="微软雅黑" w:eastAsia="微软雅黑" w:cs="微软雅黑"/>
                        <w:color w:val="231F20"/>
                        <w:spacing w:val="2"/>
                        <w:sz w:val="20"/>
                        <w:szCs w:val="20"/>
                      </w:rPr>
                      <w:t>与港资企业的交流合作 ，探讨国际国内双循环新发展格局下在武汉发展的新机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遇</w:t>
                    </w:r>
                    <w:r>
                      <w:rPr>
                        <w:rFonts w:ascii="微软雅黑" w:hAnsi="微软雅黑" w:eastAsia="微软雅黑" w:cs="微软雅黑"/>
                        <w:color w:val="231F20"/>
                        <w:sz w:val="20"/>
                        <w:szCs w:val="20"/>
                      </w:rPr>
                      <w:t xml:space="preserve"> ，第六届在汉港资企业代表座谈会于 </w:t>
                    </w:r>
                    <w:r>
                      <w:rPr>
                        <w:rFonts w:ascii="Times New Roman" w:hAnsi="Times New Roman" w:eastAsia="Times New Roman" w:cs="Times New Roman"/>
                        <w:color w:val="231F20"/>
                        <w:sz w:val="20"/>
                        <w:szCs w:val="20"/>
                      </w:rPr>
                      <w:t xml:space="preserve">2021 </w:t>
                    </w:r>
                    <w:r>
                      <w:rPr>
                        <w:rFonts w:ascii="微软雅黑" w:hAnsi="微软雅黑" w:eastAsia="微软雅黑" w:cs="微软雅黑"/>
                        <w:color w:val="231F20"/>
                        <w:sz w:val="20"/>
                        <w:szCs w:val="20"/>
                      </w:rPr>
                      <w:t xml:space="preserve">年 </w:t>
                    </w:r>
                    <w:r>
                      <w:rPr>
                        <w:rFonts w:ascii="Times New Roman" w:hAnsi="Times New Roman" w:eastAsia="Times New Roman" w:cs="Times New Roman"/>
                        <w:color w:val="231F20"/>
                        <w:sz w:val="20"/>
                        <w:szCs w:val="20"/>
                      </w:rPr>
                      <w:t xml:space="preserve">9 </w:t>
                    </w:r>
                    <w:r>
                      <w:rPr>
                        <w:rFonts w:ascii="微软雅黑" w:hAnsi="微软雅黑" w:eastAsia="微软雅黑" w:cs="微软雅黑"/>
                        <w:color w:val="231F20"/>
                        <w:sz w:val="20"/>
                        <w:szCs w:val="20"/>
                      </w:rPr>
                      <w:t xml:space="preserve">月 </w:t>
                    </w:r>
                    <w:r>
                      <w:rPr>
                        <w:rFonts w:ascii="Times New Roman" w:hAnsi="Times New Roman" w:eastAsia="Times New Roman" w:cs="Times New Roman"/>
                        <w:color w:val="231F20"/>
                        <w:sz w:val="20"/>
                        <w:szCs w:val="20"/>
                      </w:rPr>
                      <w:t xml:space="preserve">23 </w:t>
                    </w:r>
                    <w:r>
                      <w:rPr>
                        <w:rFonts w:ascii="微软雅黑" w:hAnsi="微软雅黑" w:eastAsia="微软雅黑" w:cs="微软雅黑"/>
                        <w:color w:val="231F20"/>
                        <w:sz w:val="20"/>
                        <w:szCs w:val="20"/>
                      </w:rPr>
                      <w:t>日在武汉举行，</w:t>
                    </w:r>
                    <w:r>
                      <w:rPr>
                        <w:rFonts w:ascii="Times New Roman" w:hAnsi="Times New Roman" w:eastAsia="Times New Roman" w:cs="Times New Roman"/>
                        <w:color w:val="231F20"/>
                        <w:sz w:val="20"/>
                        <w:szCs w:val="20"/>
                      </w:rPr>
                      <w:t xml:space="preserve">20 </w:t>
                    </w:r>
                    <w:r>
                      <w:rPr>
                        <w:rFonts w:ascii="微软雅黑" w:hAnsi="微软雅黑" w:eastAsia="微软雅黑" w:cs="微软雅黑"/>
                        <w:color w:val="231F20"/>
                        <w:sz w:val="20"/>
                        <w:szCs w:val="20"/>
                      </w:rPr>
                      <w:t xml:space="preserve">余家在汉 </w:t>
                    </w:r>
                    <w:r>
                      <w:rPr>
                        <w:rFonts w:ascii="微软雅黑" w:hAnsi="微软雅黑" w:eastAsia="微软雅黑" w:cs="微软雅黑"/>
                        <w:color w:val="231F20"/>
                        <w:spacing w:val="4"/>
                        <w:sz w:val="20"/>
                        <w:szCs w:val="20"/>
                      </w:rPr>
                      <w:t>港资企业及武汉市政府、市直有关部门和单位、湖北省香港商会、香港驻武汉经</w:t>
                    </w:r>
                    <w:r>
                      <w:rPr>
                        <w:rFonts w:ascii="微软雅黑" w:hAnsi="微软雅黑" w:eastAsia="微软雅黑" w:cs="微软雅黑"/>
                        <w:color w:val="231F20"/>
                        <w:sz w:val="20"/>
                        <w:szCs w:val="20"/>
                      </w:rPr>
                      <w:t>贸</w:t>
                    </w:r>
                  </w:p>
                  <w:p>
                    <w:pPr>
                      <w:spacing w:before="1" w:line="201" w:lineRule="auto"/>
                      <w:ind w:left="122"/>
                      <w:rPr>
                        <w:rFonts w:ascii="微软雅黑" w:hAnsi="微软雅黑" w:eastAsia="微软雅黑" w:cs="微软雅黑"/>
                        <w:sz w:val="20"/>
                        <w:szCs w:val="20"/>
                      </w:rPr>
                    </w:pPr>
                    <w:r>
                      <w:rPr>
                        <w:rFonts w:ascii="微软雅黑" w:hAnsi="微软雅黑" w:eastAsia="微软雅黑" w:cs="微软雅黑"/>
                        <w:color w:val="231F20"/>
                        <w:spacing w:val="-6"/>
                        <w:sz w:val="20"/>
                        <w:szCs w:val="20"/>
                      </w:rPr>
                      <w:t>办事处</w:t>
                    </w:r>
                    <w:r>
                      <w:rPr>
                        <w:rFonts w:ascii="微软雅黑" w:hAnsi="微软雅黑" w:eastAsia="微软雅黑" w:cs="微软雅黑"/>
                        <w:color w:val="231F20"/>
                        <w:spacing w:val="-3"/>
                        <w:sz w:val="20"/>
                        <w:szCs w:val="20"/>
                      </w:rPr>
                      <w:t>等机构的代表参会 ，探讨深化汉港合作 ，共享发展机遇。</w:t>
                    </w:r>
                  </w:p>
                </w:txbxContent>
              </v:textbox>
            </v:shape>
            <w10:wrap type="none"/>
            <w10:anchorlock/>
          </v:group>
        </w:pic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5795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r>
        <w:rPr>
          <w:rFonts w:ascii="SimHei" w:hAnsi="SimHei" w:eastAsia="SimHei" w:cs="SimHei"/>
          <w:color w:val="1A67B3"/>
          <w:spacing w:val="35"/>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93" name="IM 393"/>
            <wp:cNvGraphicFramePr/>
            <a:graphic xmlns:a="http://schemas.openxmlformats.org/drawingml/2006/main">
              <a:graphicData uri="http://schemas.openxmlformats.org/drawingml/2006/picture">
                <pic:pic xmlns:pic="http://schemas.openxmlformats.org/drawingml/2006/picture">
                  <pic:nvPicPr>
                    <pic:cNvPr id="393" name="IM 393"/>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83</w:t>
      </w: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4975" w:lineRule="exact"/>
        <w:ind w:firstLine="1984"/>
        <w:textAlignment w:val="center"/>
      </w:pPr>
      <w:r>
        <w:pict>
          <v:shape id="_x0000_s1485" o:spid="_x0000_s1485" o:spt="202" type="#_x0000_t202" style="height:248.75pt;width:413.6pt;" fillcolor="#004876" filled="t" stroked="f" coordsize="21600,21600">
            <v:path/>
            <v:fill on="t" opacity="6425f" focussize="0,0"/>
            <v:stroke on="f"/>
            <v:imagedata o:title=""/>
            <o:lock v:ext="edit" aspectratio="f"/>
            <v:textbox inset="0mm,0mm,0mm,0mm">
              <w:txbxContent>
                <w:p>
                  <w:pPr>
                    <w:spacing w:line="375" w:lineRule="auto"/>
                    <w:rPr>
                      <w:rFonts w:ascii="Arial"/>
                      <w:sz w:val="21"/>
                    </w:rPr>
                  </w:pPr>
                </w:p>
                <w:p>
                  <w:pPr>
                    <w:spacing w:before="86" w:line="285" w:lineRule="auto"/>
                    <w:ind w:left="546" w:right="483" w:firstLine="408"/>
                    <w:rPr>
                      <w:rFonts w:ascii="微软雅黑" w:hAnsi="微软雅黑" w:eastAsia="微软雅黑" w:cs="微软雅黑"/>
                      <w:sz w:val="20"/>
                      <w:szCs w:val="20"/>
                    </w:rPr>
                  </w:pPr>
                  <w:r>
                    <w:rPr>
                      <w:rFonts w:ascii="SimHei" w:hAnsi="SimHei" w:eastAsia="SimHei" w:cs="SimHei"/>
                      <w:color w:val="231F20"/>
                      <w:spacing w:val="-6"/>
                      <w:sz w:val="20"/>
                      <w:szCs w:val="20"/>
                    </w:rPr>
                    <w:t>华创会</w:t>
                  </w:r>
                  <w:r>
                    <w:rPr>
                      <w:rFonts w:ascii="SimHei" w:hAnsi="SimHei" w:eastAsia="SimHei" w:cs="SimHei"/>
                      <w:color w:val="231F20"/>
                      <w:spacing w:val="-4"/>
                      <w:sz w:val="20"/>
                      <w:szCs w:val="20"/>
                    </w:rPr>
                    <w:t>(</w:t>
                  </w:r>
                  <w:r>
                    <w:rPr>
                      <w:rFonts w:ascii="SimHei" w:hAnsi="SimHei" w:eastAsia="SimHei" w:cs="SimHei"/>
                      <w:color w:val="231F20"/>
                      <w:spacing w:val="-3"/>
                      <w:sz w:val="20"/>
                      <w:szCs w:val="20"/>
                    </w:rPr>
                    <w:t>华侨华人创业发展洽谈会)海外湖北商协会推介会。</w:t>
                  </w:r>
                  <w:r>
                    <w:rPr>
                      <w:rFonts w:ascii="Times New Roman" w:hAnsi="Times New Roman" w:eastAsia="Times New Roman" w:cs="Times New Roman"/>
                      <w:color w:val="231F20"/>
                      <w:spacing w:val="-3"/>
                      <w:sz w:val="20"/>
                      <w:szCs w:val="20"/>
                    </w:rPr>
                    <w:t>2021</w:t>
                  </w:r>
                  <w:r>
                    <w:rPr>
                      <w:rFonts w:ascii="微软雅黑" w:hAnsi="微软雅黑" w:eastAsia="微软雅黑" w:cs="微软雅黑"/>
                      <w:color w:val="231F20"/>
                      <w:spacing w:val="-3"/>
                      <w:sz w:val="20"/>
                      <w:szCs w:val="20"/>
                    </w:rPr>
                    <w:t xml:space="preserve">年 </w:t>
                  </w:r>
                  <w:r>
                    <w:rPr>
                      <w:rFonts w:ascii="Times New Roman" w:hAnsi="Times New Roman" w:eastAsia="Times New Roman" w:cs="Times New Roman"/>
                      <w:color w:val="231F20"/>
                      <w:spacing w:val="-3"/>
                      <w:sz w:val="20"/>
                      <w:szCs w:val="20"/>
                    </w:rPr>
                    <w:t>11</w:t>
                  </w:r>
                  <w:r>
                    <w:rPr>
                      <w:rFonts w:ascii="微软雅黑" w:hAnsi="微软雅黑" w:eastAsia="微软雅黑" w:cs="微软雅黑"/>
                      <w:color w:val="231F20"/>
                      <w:spacing w:val="-3"/>
                      <w:sz w:val="20"/>
                      <w:szCs w:val="20"/>
                    </w:rPr>
                    <w:t xml:space="preserve">月 </w:t>
                  </w:r>
                  <w:r>
                    <w:rPr>
                      <w:rFonts w:ascii="Times New Roman" w:hAnsi="Times New Roman" w:eastAsia="Times New Roman" w:cs="Times New Roman"/>
                      <w:color w:val="231F20"/>
                      <w:spacing w:val="-3"/>
                      <w:sz w:val="20"/>
                      <w:szCs w:val="20"/>
                    </w:rPr>
                    <w:t xml:space="preserve">17 </w:t>
                  </w:r>
                  <w:r>
                    <w:rPr>
                      <w:rFonts w:ascii="微软雅黑" w:hAnsi="微软雅黑" w:eastAsia="微软雅黑" w:cs="微软雅黑"/>
                      <w:color w:val="231F20"/>
                      <w:spacing w:val="-3"/>
                      <w:sz w:val="20"/>
                      <w:szCs w:val="20"/>
                    </w:rPr>
                    <w:t>日，</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w:t>
                  </w:r>
                  <w:r>
                    <w:rPr>
                      <w:rFonts w:ascii="微软雅黑" w:hAnsi="微软雅黑" w:eastAsia="微软雅黑" w:cs="微软雅黑"/>
                      <w:color w:val="231F20"/>
                      <w:spacing w:val="2"/>
                      <w:sz w:val="20"/>
                      <w:szCs w:val="20"/>
                    </w:rPr>
                    <w:t>侨通天下聚英才 ，筑梦荆楚谱华章”——华创会海外湖北商协会推介专场在武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汉举行。来自五大洲十余个国家和地区的非政府组织 ，包括新西兰、德国、加</w:t>
                  </w:r>
                  <w:r>
                    <w:rPr>
                      <w:rFonts w:ascii="微软雅黑" w:hAnsi="微软雅黑" w:eastAsia="微软雅黑" w:cs="微软雅黑"/>
                      <w:color w:val="231F20"/>
                      <w:sz w:val="20"/>
                      <w:szCs w:val="20"/>
                    </w:rPr>
                    <w:t xml:space="preserve">拿 </w:t>
                  </w:r>
                  <w:r>
                    <w:rPr>
                      <w:rFonts w:ascii="微软雅黑" w:hAnsi="微软雅黑" w:eastAsia="微软雅黑" w:cs="微软雅黑"/>
                      <w:color w:val="231F20"/>
                      <w:spacing w:val="-1"/>
                      <w:sz w:val="20"/>
                      <w:szCs w:val="20"/>
                    </w:rPr>
                    <w:t xml:space="preserve">大等境外商协会共同承办 ，湖北专场线下 </w:t>
                  </w:r>
                  <w:r>
                    <w:rPr>
                      <w:rFonts w:ascii="Times New Roman" w:hAnsi="Times New Roman" w:eastAsia="Times New Roman" w:cs="Times New Roman"/>
                      <w:color w:val="231F20"/>
                      <w:spacing w:val="-1"/>
                      <w:sz w:val="20"/>
                      <w:szCs w:val="20"/>
                    </w:rPr>
                    <w:t xml:space="preserve">150 </w:t>
                  </w:r>
                  <w:r>
                    <w:rPr>
                      <w:rFonts w:ascii="微软雅黑" w:hAnsi="微软雅黑" w:eastAsia="微软雅黑" w:cs="微软雅黑"/>
                      <w:color w:val="231F20"/>
                      <w:spacing w:val="-1"/>
                      <w:sz w:val="20"/>
                      <w:szCs w:val="20"/>
                    </w:rPr>
                    <w:t xml:space="preserve">余人 ，线上近 </w:t>
                  </w:r>
                  <w:r>
                    <w:rPr>
                      <w:rFonts w:ascii="Times New Roman" w:hAnsi="Times New Roman" w:eastAsia="Times New Roman" w:cs="Times New Roman"/>
                      <w:color w:val="231F20"/>
                      <w:spacing w:val="-1"/>
                      <w:sz w:val="20"/>
                      <w:szCs w:val="20"/>
                    </w:rPr>
                    <w:t>8</w:t>
                  </w:r>
                  <w:r>
                    <w:rPr>
                      <w:rFonts w:ascii="Times New Roman" w:hAnsi="Times New Roman" w:eastAsia="Times New Roman" w:cs="Times New Roman"/>
                      <w:color w:val="231F20"/>
                      <w:sz w:val="20"/>
                      <w:szCs w:val="20"/>
                    </w:rPr>
                    <w:t xml:space="preserve"> </w:t>
                  </w:r>
                  <w:r>
                    <w:rPr>
                      <w:rFonts w:ascii="微软雅黑" w:hAnsi="微软雅黑" w:eastAsia="微软雅黑" w:cs="微软雅黑"/>
                      <w:color w:val="231F20"/>
                      <w:sz w:val="20"/>
                      <w:szCs w:val="20"/>
                    </w:rPr>
                    <w:t xml:space="preserve">万人 ，路演和签约 </w:t>
                  </w:r>
                  <w:r>
                    <w:rPr>
                      <w:rFonts w:ascii="微软雅黑" w:hAnsi="微软雅黑" w:eastAsia="微软雅黑" w:cs="微软雅黑"/>
                      <w:color w:val="231F20"/>
                      <w:spacing w:val="-6"/>
                      <w:sz w:val="20"/>
                      <w:szCs w:val="20"/>
                    </w:rPr>
                    <w:t>项</w:t>
                  </w:r>
                  <w:r>
                    <w:rPr>
                      <w:rFonts w:ascii="微软雅黑" w:hAnsi="微软雅黑" w:eastAsia="微软雅黑" w:cs="微软雅黑"/>
                      <w:color w:val="231F20"/>
                      <w:spacing w:val="-4"/>
                      <w:sz w:val="20"/>
                      <w:szCs w:val="20"/>
                    </w:rPr>
                    <w:t>目</w:t>
                  </w:r>
                  <w:r>
                    <w:rPr>
                      <w:rFonts w:ascii="微软雅黑" w:hAnsi="微软雅黑" w:eastAsia="微软雅黑" w:cs="微软雅黑"/>
                      <w:color w:val="231F20"/>
                      <w:spacing w:val="-3"/>
                      <w:sz w:val="20"/>
                      <w:szCs w:val="20"/>
                    </w:rPr>
                    <w:t xml:space="preserve">共 </w:t>
                  </w:r>
                  <w:r>
                    <w:rPr>
                      <w:rFonts w:ascii="Times New Roman" w:hAnsi="Times New Roman" w:eastAsia="Times New Roman" w:cs="Times New Roman"/>
                      <w:color w:val="231F20"/>
                      <w:spacing w:val="-3"/>
                      <w:sz w:val="20"/>
                      <w:szCs w:val="20"/>
                    </w:rPr>
                    <w:t xml:space="preserve">16 </w:t>
                  </w:r>
                  <w:r>
                    <w:rPr>
                      <w:rFonts w:ascii="微软雅黑" w:hAnsi="微软雅黑" w:eastAsia="微软雅黑" w:cs="微软雅黑"/>
                      <w:color w:val="231F20"/>
                      <w:spacing w:val="-3"/>
                      <w:sz w:val="20"/>
                      <w:szCs w:val="20"/>
                    </w:rPr>
                    <w:t xml:space="preserve">个，签约总金额超 </w:t>
                  </w:r>
                  <w:r>
                    <w:rPr>
                      <w:rFonts w:ascii="Times New Roman" w:hAnsi="Times New Roman" w:eastAsia="Times New Roman" w:cs="Times New Roman"/>
                      <w:color w:val="231F20"/>
                      <w:spacing w:val="-3"/>
                      <w:sz w:val="20"/>
                      <w:szCs w:val="20"/>
                    </w:rPr>
                    <w:t>25</w:t>
                  </w:r>
                  <w:r>
                    <w:rPr>
                      <w:rFonts w:ascii="微软雅黑" w:hAnsi="微软雅黑" w:eastAsia="微软雅黑" w:cs="微软雅黑"/>
                      <w:color w:val="231F20"/>
                      <w:spacing w:val="-3"/>
                      <w:sz w:val="20"/>
                      <w:szCs w:val="20"/>
                    </w:rPr>
                    <w:t>亿元人民币，涉及乡村振兴、科技创新、共享经济、</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农业健康、健</w:t>
                  </w:r>
                  <w:r>
                    <w:rPr>
                      <w:rFonts w:ascii="微软雅黑" w:hAnsi="微软雅黑" w:eastAsia="微软雅黑" w:cs="微软雅黑"/>
                      <w:color w:val="231F20"/>
                      <w:sz w:val="20"/>
                      <w:szCs w:val="20"/>
                    </w:rPr>
                    <w:t>康医疗、教育等领域。</w:t>
                  </w:r>
                </w:p>
                <w:p>
                  <w:pPr>
                    <w:spacing w:before="178" w:line="288" w:lineRule="auto"/>
                    <w:ind w:left="542" w:right="499" w:firstLine="410"/>
                    <w:rPr>
                      <w:rFonts w:ascii="微软雅黑" w:hAnsi="微软雅黑" w:eastAsia="微软雅黑" w:cs="微软雅黑"/>
                      <w:sz w:val="20"/>
                      <w:szCs w:val="20"/>
                    </w:rPr>
                  </w:pPr>
                  <w:r>
                    <w:rPr>
                      <w:rFonts w:ascii="SimHei" w:hAnsi="SimHei" w:eastAsia="SimHei" w:cs="SimHei"/>
                      <w:color w:val="231F20"/>
                      <w:spacing w:val="-10"/>
                      <w:sz w:val="20"/>
                      <w:szCs w:val="20"/>
                    </w:rPr>
                    <w:t>湖北省贸促</w:t>
                  </w:r>
                  <w:r>
                    <w:rPr>
                      <w:rFonts w:ascii="SimHei" w:hAnsi="SimHei" w:eastAsia="SimHei" w:cs="SimHei"/>
                      <w:color w:val="231F20"/>
                      <w:spacing w:val="-9"/>
                      <w:sz w:val="20"/>
                      <w:szCs w:val="20"/>
                    </w:rPr>
                    <w:t>会</w:t>
                  </w:r>
                  <w:r>
                    <w:rPr>
                      <w:rFonts w:ascii="SimHei" w:hAnsi="SimHei" w:eastAsia="SimHei" w:cs="SimHei"/>
                      <w:color w:val="231F20"/>
                      <w:spacing w:val="-5"/>
                      <w:sz w:val="20"/>
                      <w:szCs w:val="20"/>
                    </w:rPr>
                    <w:t>第二届“辞旧迎新 共话未来”活动。</w:t>
                  </w:r>
                  <w:r>
                    <w:rPr>
                      <w:rFonts w:ascii="Times New Roman" w:hAnsi="Times New Roman" w:eastAsia="Times New Roman" w:cs="Times New Roman"/>
                      <w:color w:val="231F20"/>
                      <w:spacing w:val="-5"/>
                      <w:sz w:val="20"/>
                      <w:szCs w:val="20"/>
                    </w:rPr>
                    <w:t xml:space="preserve">2021 </w:t>
                  </w:r>
                  <w:r>
                    <w:rPr>
                      <w:rFonts w:ascii="微软雅黑" w:hAnsi="微软雅黑" w:eastAsia="微软雅黑" w:cs="微软雅黑"/>
                      <w:color w:val="231F20"/>
                      <w:spacing w:val="-5"/>
                      <w:sz w:val="20"/>
                      <w:szCs w:val="20"/>
                    </w:rPr>
                    <w:t xml:space="preserve">年 </w:t>
                  </w:r>
                  <w:r>
                    <w:rPr>
                      <w:rFonts w:ascii="Times New Roman" w:hAnsi="Times New Roman" w:eastAsia="Times New Roman" w:cs="Times New Roman"/>
                      <w:color w:val="231F20"/>
                      <w:spacing w:val="-5"/>
                      <w:sz w:val="20"/>
                      <w:szCs w:val="20"/>
                    </w:rPr>
                    <w:t xml:space="preserve">12 </w:t>
                  </w:r>
                  <w:r>
                    <w:rPr>
                      <w:rFonts w:ascii="微软雅黑" w:hAnsi="微软雅黑" w:eastAsia="微软雅黑" w:cs="微软雅黑"/>
                      <w:color w:val="231F20"/>
                      <w:spacing w:val="-5"/>
                      <w:sz w:val="20"/>
                      <w:szCs w:val="20"/>
                    </w:rPr>
                    <w:t xml:space="preserve">月 </w:t>
                  </w:r>
                  <w:r>
                    <w:rPr>
                      <w:rFonts w:ascii="Times New Roman" w:hAnsi="Times New Roman" w:eastAsia="Times New Roman" w:cs="Times New Roman"/>
                      <w:color w:val="231F20"/>
                      <w:spacing w:val="-5"/>
                      <w:sz w:val="20"/>
                      <w:szCs w:val="20"/>
                    </w:rPr>
                    <w:t xml:space="preserve">20 </w:t>
                  </w:r>
                  <w:r>
                    <w:rPr>
                      <w:rFonts w:ascii="微软雅黑" w:hAnsi="微软雅黑" w:eastAsia="微软雅黑" w:cs="微软雅黑"/>
                      <w:color w:val="231F20"/>
                      <w:spacing w:val="-5"/>
                      <w:sz w:val="20"/>
                      <w:szCs w:val="20"/>
                    </w:rPr>
                    <w:t xml:space="preserve">日至 </w:t>
                  </w:r>
                  <w:r>
                    <w:rPr>
                      <w:rFonts w:ascii="Times New Roman" w:hAnsi="Times New Roman" w:eastAsia="Times New Roman" w:cs="Times New Roman"/>
                      <w:color w:val="231F20"/>
                      <w:spacing w:val="-5"/>
                      <w:sz w:val="20"/>
                      <w:szCs w:val="20"/>
                    </w:rPr>
                    <w:t xml:space="preserve">22 </w:t>
                  </w:r>
                  <w:r>
                    <w:rPr>
                      <w:rFonts w:ascii="微软雅黑" w:hAnsi="微软雅黑" w:eastAsia="微软雅黑" w:cs="微软雅黑"/>
                      <w:color w:val="231F20"/>
                      <w:spacing w:val="-5"/>
                      <w:sz w:val="20"/>
                      <w:szCs w:val="20"/>
                    </w:rPr>
                    <w:t>日，</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湖北省贸促会</w:t>
                  </w:r>
                  <w:r>
                    <w:rPr>
                      <w:rFonts w:ascii="微软雅黑" w:hAnsi="微软雅黑" w:eastAsia="微软雅黑" w:cs="微软雅黑"/>
                      <w:color w:val="231F20"/>
                      <w:spacing w:val="6"/>
                      <w:sz w:val="20"/>
                      <w:szCs w:val="20"/>
                    </w:rPr>
                    <w:t>组</w:t>
                  </w:r>
                  <w:r>
                    <w:rPr>
                      <w:rFonts w:ascii="微软雅黑" w:hAnsi="微软雅黑" w:eastAsia="微软雅黑" w:cs="微软雅黑"/>
                      <w:color w:val="231F20"/>
                      <w:spacing w:val="4"/>
                      <w:sz w:val="20"/>
                      <w:szCs w:val="20"/>
                    </w:rPr>
                    <w:t>织外国驻汉总领馆、境外驻华机构、友好商协会、贸易投资促进</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机构、外资企业近百名代表</w:t>
                  </w:r>
                  <w:r>
                    <w:rPr>
                      <w:rFonts w:ascii="微软雅黑" w:hAnsi="微软雅黑" w:eastAsia="微软雅黑" w:cs="微软雅黑"/>
                      <w:color w:val="231F20"/>
                      <w:spacing w:val="1"/>
                      <w:sz w:val="20"/>
                      <w:szCs w:val="20"/>
                    </w:rPr>
                    <w:t xml:space="preserve"> ，实地考察黄石、咸宁特色产业和代表性企业 ，深入</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了解湖北经济社会</w:t>
                  </w:r>
                  <w:r>
                    <w:rPr>
                      <w:rFonts w:ascii="微软雅黑" w:hAnsi="微软雅黑" w:eastAsia="微软雅黑" w:cs="微软雅黑"/>
                      <w:color w:val="231F20"/>
                      <w:sz w:val="20"/>
                      <w:szCs w:val="20"/>
                    </w:rPr>
                    <w:t>发展最新成就。</w:t>
                  </w:r>
                </w:p>
              </w:txbxContent>
            </v:textbox>
            <w10:wrap type="none"/>
            <w10:anchorlock/>
          </v:shape>
        </w:pict>
      </w: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8" w:line="221" w:lineRule="auto"/>
        <w:ind w:left="2462"/>
        <w:rPr>
          <w:rFonts w:ascii="SimHei" w:hAnsi="SimHei" w:eastAsia="SimHei" w:cs="SimHei"/>
          <w:sz w:val="24"/>
          <w:szCs w:val="24"/>
        </w:rPr>
      </w:pPr>
      <w:r>
        <w:rPr>
          <w:rFonts w:ascii="SimHei" w:hAnsi="SimHei" w:eastAsia="SimHei" w:cs="SimHei"/>
          <w:color w:val="015DAC"/>
          <w:spacing w:val="6"/>
          <w:sz w:val="24"/>
          <w:szCs w:val="24"/>
        </w:rPr>
        <w:t>(四) 实施观察员制度，持续优化营商环</w:t>
      </w:r>
      <w:r>
        <w:rPr>
          <w:rFonts w:ascii="SimHei" w:hAnsi="SimHei" w:eastAsia="SimHei" w:cs="SimHei"/>
          <w:color w:val="015DAC"/>
          <w:spacing w:val="2"/>
          <w:sz w:val="24"/>
          <w:szCs w:val="24"/>
        </w:rPr>
        <w:t>境</w:t>
      </w:r>
    </w:p>
    <w:p>
      <w:pPr>
        <w:spacing w:before="325" w:line="258" w:lineRule="auto"/>
        <w:ind w:left="1990" w:right="1913" w:firstLine="459"/>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为直接倾听市场主体呼声 ，找准营商环境痛</w:t>
      </w:r>
      <w:r>
        <w:rPr>
          <w:rFonts w:ascii="微软雅黑" w:hAnsi="微软雅黑" w:eastAsia="微软雅黑" w:cs="微软雅黑"/>
          <w:color w:val="231F20"/>
          <w:sz w:val="22"/>
          <w:szCs w:val="22"/>
        </w:rPr>
        <w:t xml:space="preserve">点、难点、堵点问题 ，进一步提升优 </w:t>
      </w:r>
      <w:r>
        <w:rPr>
          <w:rFonts w:ascii="微软雅黑" w:hAnsi="微软雅黑" w:eastAsia="微软雅黑" w:cs="微软雅黑"/>
          <w:color w:val="231F20"/>
          <w:spacing w:val="2"/>
          <w:sz w:val="22"/>
          <w:szCs w:val="22"/>
        </w:rPr>
        <w:t>化营</w:t>
      </w:r>
      <w:r>
        <w:rPr>
          <w:rFonts w:ascii="微软雅黑" w:hAnsi="微软雅黑" w:eastAsia="微软雅黑" w:cs="微软雅黑"/>
          <w:color w:val="231F20"/>
          <w:spacing w:val="1"/>
          <w:sz w:val="22"/>
          <w:szCs w:val="22"/>
        </w:rPr>
        <w:t>商环境政策制定的精准度和科学性 ，加强对优化营商环境政策实施情况的监督 ，</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湖北建立营商环境观察员制度。通过面向社会公开选聘、有关</w:t>
      </w:r>
      <w:r>
        <w:rPr>
          <w:rFonts w:ascii="微软雅黑" w:hAnsi="微软雅黑" w:eastAsia="微软雅黑" w:cs="微软雅黑"/>
          <w:color w:val="231F20"/>
          <w:spacing w:val="1"/>
          <w:sz w:val="22"/>
          <w:szCs w:val="22"/>
        </w:rPr>
        <w:t>单位推荐等形式 ，按照</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企业为主、行业多样、素质优良、</w:t>
      </w:r>
      <w:r>
        <w:rPr>
          <w:rFonts w:ascii="微软雅黑" w:hAnsi="微软雅黑" w:eastAsia="微软雅黑" w:cs="微软雅黑"/>
          <w:color w:val="231F20"/>
          <w:spacing w:val="1"/>
          <w:sz w:val="22"/>
          <w:szCs w:val="22"/>
        </w:rPr>
        <w:t xml:space="preserve">统筹兼顾的原则 ，择优选聘了 </w:t>
      </w:r>
      <w:r>
        <w:rPr>
          <w:rFonts w:ascii="Times New Roman" w:hAnsi="Times New Roman" w:eastAsia="Times New Roman" w:cs="Times New Roman"/>
          <w:color w:val="231F20"/>
          <w:spacing w:val="1"/>
          <w:sz w:val="22"/>
          <w:szCs w:val="22"/>
        </w:rPr>
        <w:t xml:space="preserve">205 </w:t>
      </w:r>
      <w:r>
        <w:rPr>
          <w:rFonts w:ascii="微软雅黑" w:hAnsi="微软雅黑" w:eastAsia="微软雅黑" w:cs="微软雅黑"/>
          <w:color w:val="231F20"/>
          <w:spacing w:val="1"/>
          <w:sz w:val="22"/>
          <w:szCs w:val="22"/>
        </w:rPr>
        <w:t>位有代表性的优</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化营</w:t>
      </w:r>
      <w:r>
        <w:rPr>
          <w:rFonts w:ascii="微软雅黑" w:hAnsi="微软雅黑" w:eastAsia="微软雅黑" w:cs="微软雅黑"/>
          <w:color w:val="231F20"/>
          <w:sz w:val="22"/>
          <w:szCs w:val="22"/>
        </w:rPr>
        <w:t xml:space="preserve">商环境观察员 ，人员包括省、市、县三级人大代表、政协委员 ，省直单位、国有 </w:t>
      </w:r>
      <w:r>
        <w:rPr>
          <w:rFonts w:ascii="微软雅黑" w:hAnsi="微软雅黑" w:eastAsia="微软雅黑" w:cs="微软雅黑"/>
          <w:color w:val="231F20"/>
          <w:spacing w:val="-11"/>
          <w:sz w:val="22"/>
          <w:szCs w:val="22"/>
        </w:rPr>
        <w:t>企</w:t>
      </w:r>
      <w:r>
        <w:rPr>
          <w:rFonts w:ascii="微软雅黑" w:hAnsi="微软雅黑" w:eastAsia="微软雅黑" w:cs="微软雅黑"/>
          <w:color w:val="231F20"/>
          <w:spacing w:val="-6"/>
          <w:sz w:val="22"/>
          <w:szCs w:val="22"/>
        </w:rPr>
        <w:t>业工作人员，也有新闻媒体记者、商协会代表，涉及各行各业，社会联系广泛。其中，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7"/>
          <w:sz w:val="22"/>
          <w:szCs w:val="22"/>
        </w:rPr>
        <w:t>专</w:t>
      </w:r>
      <w:r>
        <w:rPr>
          <w:rFonts w:ascii="微软雅黑" w:hAnsi="微软雅黑" w:eastAsia="微软雅黑" w:cs="微软雅黑"/>
          <w:color w:val="231F20"/>
          <w:spacing w:val="4"/>
          <w:sz w:val="22"/>
          <w:szCs w:val="22"/>
        </w:rPr>
        <w:t xml:space="preserve">门邀请 </w:t>
      </w:r>
      <w:r>
        <w:rPr>
          <w:rFonts w:ascii="Times New Roman" w:hAnsi="Times New Roman" w:eastAsia="Times New Roman" w:cs="Times New Roman"/>
          <w:color w:val="231F20"/>
          <w:spacing w:val="4"/>
          <w:sz w:val="22"/>
          <w:szCs w:val="22"/>
        </w:rPr>
        <w:t>20</w:t>
      </w:r>
      <w:r>
        <w:rPr>
          <w:rFonts w:ascii="微软雅黑" w:hAnsi="微软雅黑" w:eastAsia="微软雅黑" w:cs="微软雅黑"/>
          <w:color w:val="231F20"/>
          <w:spacing w:val="4"/>
          <w:sz w:val="22"/>
          <w:szCs w:val="22"/>
        </w:rPr>
        <w:t xml:space="preserve">家外资企业推荐 </w:t>
      </w:r>
      <w:r>
        <w:rPr>
          <w:rFonts w:ascii="Times New Roman" w:hAnsi="Times New Roman" w:eastAsia="Times New Roman" w:cs="Times New Roman"/>
          <w:color w:val="231F20"/>
          <w:spacing w:val="4"/>
          <w:sz w:val="22"/>
          <w:szCs w:val="22"/>
        </w:rPr>
        <w:t xml:space="preserve">20 </w:t>
      </w:r>
      <w:r>
        <w:rPr>
          <w:rFonts w:ascii="微软雅黑" w:hAnsi="微软雅黑" w:eastAsia="微软雅黑" w:cs="微软雅黑"/>
          <w:color w:val="231F20"/>
          <w:spacing w:val="4"/>
          <w:sz w:val="22"/>
          <w:szCs w:val="22"/>
        </w:rPr>
        <w:t>位工作人员担任营商环境观察员。优化营商环境观察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员聘期</w:t>
      </w:r>
      <w:r>
        <w:rPr>
          <w:rFonts w:ascii="微软雅黑" w:hAnsi="微软雅黑" w:eastAsia="微软雅黑" w:cs="微软雅黑"/>
          <w:color w:val="231F20"/>
          <w:spacing w:val="3"/>
          <w:sz w:val="22"/>
          <w:szCs w:val="22"/>
        </w:rPr>
        <w:t>一</w:t>
      </w:r>
      <w:r>
        <w:rPr>
          <w:rFonts w:ascii="微软雅黑" w:hAnsi="微软雅黑" w:eastAsia="微软雅黑" w:cs="微软雅黑"/>
          <w:color w:val="231F20"/>
          <w:spacing w:val="2"/>
          <w:sz w:val="22"/>
          <w:szCs w:val="22"/>
        </w:rPr>
        <w:t xml:space="preserve">年，  到期择优续聘。同时 ，湖北专门邀请 </w:t>
      </w:r>
      <w:r>
        <w:rPr>
          <w:rFonts w:ascii="Times New Roman" w:hAnsi="Times New Roman" w:eastAsia="Times New Roman" w:cs="Times New Roman"/>
          <w:color w:val="231F20"/>
          <w:spacing w:val="2"/>
          <w:sz w:val="22"/>
          <w:szCs w:val="22"/>
        </w:rPr>
        <w:t xml:space="preserve">10 </w:t>
      </w:r>
      <w:r>
        <w:rPr>
          <w:rFonts w:ascii="微软雅黑" w:hAnsi="微软雅黑" w:eastAsia="微软雅黑" w:cs="微软雅黑"/>
          <w:color w:val="231F20"/>
          <w:spacing w:val="2"/>
          <w:sz w:val="22"/>
          <w:szCs w:val="22"/>
        </w:rPr>
        <w:t>余位来自世界</w:t>
      </w:r>
      <w:r>
        <w:rPr>
          <w:rFonts w:ascii="Times New Roman" w:hAnsi="Times New Roman" w:eastAsia="Times New Roman" w:cs="Times New Roman"/>
          <w:color w:val="231F20"/>
          <w:spacing w:val="2"/>
          <w:sz w:val="22"/>
          <w:szCs w:val="22"/>
        </w:rPr>
        <w:t xml:space="preserve">500 </w:t>
      </w:r>
      <w:r>
        <w:rPr>
          <w:rFonts w:ascii="微软雅黑" w:hAnsi="微软雅黑" w:eastAsia="微软雅黑" w:cs="微软雅黑"/>
          <w:color w:val="231F20"/>
          <w:spacing w:val="2"/>
          <w:sz w:val="22"/>
          <w:szCs w:val="22"/>
        </w:rPr>
        <w:t>强企业和知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名跨国公司的高管担任省长国际企业家咨询委员会顾问 ，为政府部门制订相关政</w:t>
      </w:r>
      <w:r>
        <w:rPr>
          <w:rFonts w:ascii="微软雅黑" w:hAnsi="微软雅黑" w:eastAsia="微软雅黑" w:cs="微软雅黑"/>
          <w:color w:val="231F20"/>
          <w:spacing w:val="1"/>
          <w:sz w:val="22"/>
          <w:szCs w:val="22"/>
        </w:rPr>
        <w:t>策</w:t>
      </w:r>
      <w:r>
        <w:rPr>
          <w:rFonts w:ascii="微软雅黑" w:hAnsi="微软雅黑" w:eastAsia="微软雅黑" w:cs="微软雅黑"/>
          <w:color w:val="231F20"/>
          <w:sz w:val="22"/>
          <w:szCs w:val="22"/>
        </w:rPr>
        <w:t xml:space="preserve">建 </w:t>
      </w:r>
      <w:r>
        <w:rPr>
          <w:rFonts w:ascii="微软雅黑" w:hAnsi="微软雅黑" w:eastAsia="微软雅黑" w:cs="微软雅黑"/>
          <w:color w:val="231F20"/>
          <w:spacing w:val="-2"/>
          <w:sz w:val="22"/>
          <w:szCs w:val="22"/>
        </w:rPr>
        <w:t>言献策 ，对政府部门服务提出意见建议 ，</w:t>
      </w:r>
      <w:r>
        <w:rPr>
          <w:rFonts w:ascii="微软雅黑" w:hAnsi="微软雅黑" w:eastAsia="微软雅黑" w:cs="微软雅黑"/>
          <w:color w:val="231F20"/>
          <w:spacing w:val="-1"/>
          <w:sz w:val="22"/>
          <w:szCs w:val="22"/>
        </w:rPr>
        <w:t>进一步提升全省营商环境工作精准度 ，推动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建设一流营</w:t>
      </w:r>
      <w:r>
        <w:rPr>
          <w:rFonts w:ascii="微软雅黑" w:hAnsi="微软雅黑" w:eastAsia="微软雅黑" w:cs="微软雅黑"/>
          <w:color w:val="231F20"/>
          <w:sz w:val="22"/>
          <w:szCs w:val="22"/>
        </w:rPr>
        <w:t>商环境。</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5897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95" name="IM 395"/>
            <wp:cNvGraphicFramePr/>
            <a:graphic xmlns:a="http://schemas.openxmlformats.org/drawingml/2006/main">
              <a:graphicData uri="http://schemas.openxmlformats.org/drawingml/2006/picture">
                <pic:pic xmlns:pic="http://schemas.openxmlformats.org/drawingml/2006/picture">
                  <pic:nvPicPr>
                    <pic:cNvPr id="395" name="IM 395"/>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r>
        <w:rPr>
          <w:rFonts w:ascii="Arial" w:hAnsi="Arial" w:eastAsia="Arial" w:cs="Arial"/>
          <w:color w:val="231F20"/>
          <w:spacing w:val="41"/>
          <w:sz w:val="20"/>
          <w:szCs w:val="20"/>
        </w:rPr>
        <w:t>8</w:t>
      </w:r>
      <w:r>
        <w:rPr>
          <w:rFonts w:ascii="Arial" w:hAnsi="Arial" w:eastAsia="Arial" w:cs="Arial"/>
          <w:color w:val="231F20"/>
          <w:spacing w:val="21"/>
          <w:sz w:val="20"/>
          <w:szCs w:val="20"/>
        </w:rPr>
        <w:t xml:space="preserve">4  </w:t>
      </w:r>
      <w:r>
        <w:rPr>
          <w:position w:val="-5"/>
          <w:sz w:val="20"/>
          <w:szCs w:val="20"/>
        </w:rPr>
        <w:drawing>
          <wp:inline distT="0" distB="0" distL="0" distR="0">
            <wp:extent cx="3175" cy="147320"/>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397" name="IM 397"/>
            <wp:cNvGraphicFramePr/>
            <a:graphic xmlns:a="http://schemas.openxmlformats.org/drawingml/2006/main">
              <a:graphicData uri="http://schemas.openxmlformats.org/drawingml/2006/picture">
                <pic:pic xmlns:pic="http://schemas.openxmlformats.org/drawingml/2006/picture">
                  <pic:nvPicPr>
                    <pic:cNvPr id="397" name="IM 397"/>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91" w:line="228" w:lineRule="auto"/>
        <w:ind w:left="2562"/>
        <w:rPr>
          <w:rFonts w:ascii="SimHei" w:hAnsi="SimHei" w:eastAsia="SimHei" w:cs="SimHei"/>
          <w:sz w:val="28"/>
          <w:szCs w:val="28"/>
        </w:rPr>
      </w:pPr>
      <w:r>
        <w:rPr>
          <w:rFonts w:ascii="SimHei" w:hAnsi="SimHei" w:eastAsia="SimHei" w:cs="SimHei"/>
          <w:color w:val="015DAC"/>
          <w:spacing w:val="-2"/>
          <w:sz w:val="28"/>
          <w:szCs w:val="28"/>
        </w:rPr>
        <w:t>八</w:t>
      </w:r>
      <w:r>
        <w:rPr>
          <w:rFonts w:ascii="SimHei" w:hAnsi="SimHei" w:eastAsia="SimHei" w:cs="SimHei"/>
          <w:color w:val="015DAC"/>
          <w:spacing w:val="-1"/>
          <w:sz w:val="28"/>
          <w:szCs w:val="28"/>
        </w:rPr>
        <w:t>、广东省</w:t>
      </w:r>
    </w:p>
    <w:p>
      <w:pPr>
        <w:spacing w:line="347" w:lineRule="auto"/>
        <w:rPr>
          <w:rFonts w:ascii="Arial"/>
          <w:sz w:val="21"/>
        </w:rPr>
      </w:pPr>
    </w:p>
    <w:p>
      <w:pPr>
        <w:spacing w:before="95" w:line="202" w:lineRule="auto"/>
        <w:ind w:left="2442"/>
        <w:rPr>
          <w:rFonts w:ascii="微软雅黑" w:hAnsi="微软雅黑" w:eastAsia="微软雅黑" w:cs="微软雅黑"/>
          <w:sz w:val="22"/>
          <w:szCs w:val="22"/>
        </w:rPr>
      </w:pPr>
      <w:r>
        <w:rPr>
          <w:rFonts w:ascii="Times New Roman" w:hAnsi="Times New Roman" w:eastAsia="Times New Roman" w:cs="Times New Roman"/>
          <w:color w:val="231F20"/>
          <w:spacing w:val="-4"/>
          <w:sz w:val="22"/>
          <w:szCs w:val="22"/>
        </w:rPr>
        <w:t>202</w:t>
      </w:r>
      <w:r>
        <w:rPr>
          <w:rFonts w:ascii="Times New Roman" w:hAnsi="Times New Roman" w:eastAsia="Times New Roman" w:cs="Times New Roman"/>
          <w:color w:val="231F20"/>
          <w:spacing w:val="-3"/>
          <w:sz w:val="22"/>
          <w:szCs w:val="22"/>
        </w:rPr>
        <w:t>1</w:t>
      </w:r>
      <w:r>
        <w:rPr>
          <w:rFonts w:ascii="Times New Roman" w:hAnsi="Times New Roman" w:eastAsia="Times New Roman" w:cs="Times New Roman"/>
          <w:color w:val="231F20"/>
          <w:spacing w:val="-2"/>
          <w:sz w:val="22"/>
          <w:szCs w:val="22"/>
        </w:rPr>
        <w:t xml:space="preserve"> </w:t>
      </w:r>
      <w:r>
        <w:rPr>
          <w:rFonts w:ascii="微软雅黑" w:hAnsi="微软雅黑" w:eastAsia="微软雅黑" w:cs="微软雅黑"/>
          <w:color w:val="231F20"/>
          <w:spacing w:val="-2"/>
          <w:sz w:val="22"/>
          <w:szCs w:val="22"/>
        </w:rPr>
        <w:t xml:space="preserve">年 ，广东围绕全省 </w:t>
      </w:r>
      <w:r>
        <w:rPr>
          <w:rFonts w:ascii="Times New Roman" w:hAnsi="Times New Roman" w:eastAsia="Times New Roman" w:cs="Times New Roman"/>
          <w:color w:val="231F20"/>
          <w:spacing w:val="-2"/>
          <w:sz w:val="22"/>
          <w:szCs w:val="22"/>
        </w:rPr>
        <w:t xml:space="preserve">20 </w:t>
      </w:r>
      <w:r>
        <w:rPr>
          <w:rFonts w:ascii="微软雅黑" w:hAnsi="微软雅黑" w:eastAsia="微软雅黑" w:cs="微软雅黑"/>
          <w:color w:val="231F20"/>
          <w:spacing w:val="-2"/>
          <w:sz w:val="22"/>
          <w:szCs w:val="22"/>
        </w:rPr>
        <w:t>个战略性产业集群，  实施高水平产业链招商 ，加快构</w:t>
      </w:r>
    </w:p>
    <w:p>
      <w:pPr>
        <w:spacing w:before="81" w:line="272" w:lineRule="auto"/>
        <w:ind w:left="1992" w:right="1914" w:hanging="1"/>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建市场化、法治化、国际化营商环境 ，主动吸引世界</w:t>
      </w:r>
      <w:r>
        <w:rPr>
          <w:rFonts w:ascii="Times New Roman" w:hAnsi="Times New Roman" w:eastAsia="Times New Roman" w:cs="Times New Roman"/>
          <w:color w:val="231F20"/>
          <w:spacing w:val="-1"/>
          <w:sz w:val="22"/>
          <w:szCs w:val="22"/>
        </w:rPr>
        <w:t xml:space="preserve">500 </w:t>
      </w:r>
      <w:r>
        <w:rPr>
          <w:rFonts w:ascii="微软雅黑" w:hAnsi="微软雅黑" w:eastAsia="微软雅黑" w:cs="微软雅黑"/>
          <w:color w:val="231F20"/>
          <w:spacing w:val="-1"/>
          <w:sz w:val="22"/>
          <w:szCs w:val="22"/>
        </w:rPr>
        <w:t>强等优</w:t>
      </w:r>
      <w:r>
        <w:rPr>
          <w:rFonts w:ascii="微软雅黑" w:hAnsi="微软雅黑" w:eastAsia="微软雅黑" w:cs="微软雅黑"/>
          <w:color w:val="231F20"/>
          <w:sz w:val="22"/>
          <w:szCs w:val="22"/>
        </w:rPr>
        <w:t xml:space="preserve">质外资企业深耕发展， </w:t>
      </w:r>
      <w:r>
        <w:rPr>
          <w:rFonts w:ascii="微软雅黑" w:hAnsi="微软雅黑" w:eastAsia="微软雅黑" w:cs="微软雅黑"/>
          <w:color w:val="231F20"/>
          <w:spacing w:val="1"/>
          <w:sz w:val="22"/>
          <w:szCs w:val="22"/>
        </w:rPr>
        <w:t>外资质</w:t>
      </w:r>
      <w:r>
        <w:rPr>
          <w:rFonts w:ascii="微软雅黑" w:hAnsi="微软雅黑" w:eastAsia="微软雅黑" w:cs="微软雅黑"/>
          <w:color w:val="231F20"/>
          <w:sz w:val="22"/>
          <w:szCs w:val="22"/>
        </w:rPr>
        <w:t>量效益显著提升。</w:t>
      </w:r>
    </w:p>
    <w:p>
      <w:pPr>
        <w:spacing w:before="178" w:line="222" w:lineRule="auto"/>
        <w:ind w:left="2462"/>
        <w:rPr>
          <w:rFonts w:ascii="SimHei" w:hAnsi="SimHei" w:eastAsia="SimHei" w:cs="SimHei"/>
          <w:sz w:val="24"/>
          <w:szCs w:val="24"/>
        </w:rPr>
      </w:pPr>
      <w:r>
        <w:rPr>
          <w:rFonts w:ascii="SimHei" w:hAnsi="SimHei" w:eastAsia="SimHei" w:cs="SimHei"/>
          <w:color w:val="015DAC"/>
          <w:spacing w:val="7"/>
          <w:sz w:val="24"/>
          <w:szCs w:val="24"/>
        </w:rPr>
        <w:t>(一) 强化重点产业全产业链招</w:t>
      </w:r>
      <w:r>
        <w:rPr>
          <w:rFonts w:ascii="SimHei" w:hAnsi="SimHei" w:eastAsia="SimHei" w:cs="SimHei"/>
          <w:color w:val="015DAC"/>
          <w:spacing w:val="6"/>
          <w:sz w:val="24"/>
          <w:szCs w:val="24"/>
        </w:rPr>
        <w:t>商</w:t>
      </w:r>
    </w:p>
    <w:p>
      <w:pPr>
        <w:spacing w:before="334" w:line="260" w:lineRule="auto"/>
        <w:ind w:left="1991" w:right="1918" w:firstLine="450"/>
        <w:rPr>
          <w:rFonts w:ascii="微软雅黑" w:hAnsi="微软雅黑" w:eastAsia="微软雅黑" w:cs="微软雅黑"/>
          <w:sz w:val="22"/>
          <w:szCs w:val="22"/>
        </w:rPr>
      </w:pPr>
      <w:r>
        <w:rPr>
          <w:rFonts w:ascii="Times New Roman" w:hAnsi="Times New Roman" w:eastAsia="Times New Roman" w:cs="Times New Roman"/>
          <w:color w:val="231F20"/>
          <w:spacing w:val="4"/>
          <w:sz w:val="22"/>
          <w:szCs w:val="22"/>
        </w:rPr>
        <w:t>202</w:t>
      </w:r>
      <w:r>
        <w:rPr>
          <w:rFonts w:ascii="Times New Roman" w:hAnsi="Times New Roman" w:eastAsia="Times New Roman" w:cs="Times New Roman"/>
          <w:color w:val="231F20"/>
          <w:spacing w:val="3"/>
          <w:sz w:val="22"/>
          <w:szCs w:val="22"/>
        </w:rPr>
        <w:t>1</w:t>
      </w:r>
      <w:r>
        <w:rPr>
          <w:rFonts w:ascii="Times New Roman" w:hAnsi="Times New Roman" w:eastAsia="Times New Roman" w:cs="Times New Roman"/>
          <w:color w:val="231F20"/>
          <w:spacing w:val="2"/>
          <w:sz w:val="22"/>
          <w:szCs w:val="22"/>
        </w:rPr>
        <w:t xml:space="preserve"> </w:t>
      </w:r>
      <w:r>
        <w:rPr>
          <w:rFonts w:ascii="微软雅黑" w:hAnsi="微软雅黑" w:eastAsia="微软雅黑" w:cs="微软雅黑"/>
          <w:color w:val="231F20"/>
          <w:spacing w:val="2"/>
          <w:sz w:val="22"/>
          <w:szCs w:val="22"/>
        </w:rPr>
        <w:t>年 ，广东省聚焦全产业链招商，  印发《广东省加快先进制造业项目投资建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设若干政策措施》</w:t>
      </w:r>
      <w:r>
        <w:rPr>
          <w:rFonts w:ascii="微软雅黑" w:hAnsi="微软雅黑" w:eastAsia="微软雅黑" w:cs="微软雅黑"/>
          <w:color w:val="231F20"/>
          <w:sz w:val="22"/>
          <w:szCs w:val="22"/>
        </w:rPr>
        <w:t xml:space="preserve">   ( 粤府〔 </w:t>
      </w:r>
      <w:r>
        <w:rPr>
          <w:rFonts w:ascii="Times New Roman" w:hAnsi="Times New Roman" w:eastAsia="Times New Roman" w:cs="Times New Roman"/>
          <w:color w:val="231F20"/>
          <w:sz w:val="22"/>
          <w:szCs w:val="22"/>
        </w:rPr>
        <w:t xml:space="preserve">2021 </w:t>
      </w:r>
      <w:r>
        <w:rPr>
          <w:rFonts w:ascii="微软雅黑" w:hAnsi="微软雅黑" w:eastAsia="微软雅黑" w:cs="微软雅黑"/>
          <w:color w:val="231F20"/>
          <w:sz w:val="22"/>
          <w:szCs w:val="22"/>
        </w:rPr>
        <w:t>〕</w:t>
      </w:r>
      <w:r>
        <w:rPr>
          <w:rFonts w:ascii="Times New Roman" w:hAnsi="Times New Roman" w:eastAsia="Times New Roman" w:cs="Times New Roman"/>
          <w:color w:val="231F20"/>
          <w:sz w:val="22"/>
          <w:szCs w:val="22"/>
        </w:rPr>
        <w:t xml:space="preserve">21 </w:t>
      </w:r>
      <w:r>
        <w:rPr>
          <w:rFonts w:ascii="微软雅黑" w:hAnsi="微软雅黑" w:eastAsia="微软雅黑" w:cs="微软雅黑"/>
          <w:color w:val="231F20"/>
          <w:sz w:val="22"/>
          <w:szCs w:val="22"/>
        </w:rPr>
        <w:t xml:space="preserve">号 )  ，提出围绕战略性支柱产业集群和战略性 </w:t>
      </w:r>
      <w:r>
        <w:rPr>
          <w:rFonts w:ascii="微软雅黑" w:hAnsi="微软雅黑" w:eastAsia="微软雅黑" w:cs="微软雅黑"/>
          <w:color w:val="231F20"/>
          <w:spacing w:val="-1"/>
          <w:sz w:val="22"/>
          <w:szCs w:val="22"/>
        </w:rPr>
        <w:t>新兴产业集群开展全产业链招商，引导外商投资中高端制造</w:t>
      </w:r>
      <w:r>
        <w:rPr>
          <w:rFonts w:ascii="微软雅黑" w:hAnsi="微软雅黑" w:eastAsia="微软雅黑" w:cs="微软雅黑"/>
          <w:color w:val="231F20"/>
          <w:sz w:val="22"/>
          <w:szCs w:val="22"/>
        </w:rPr>
        <w:t xml:space="preserve">、高新技术和现代服务业， </w:t>
      </w:r>
      <w:r>
        <w:rPr>
          <w:rFonts w:ascii="微软雅黑" w:hAnsi="微软雅黑" w:eastAsia="微软雅黑" w:cs="微软雅黑"/>
          <w:color w:val="231F20"/>
          <w:spacing w:val="4"/>
          <w:sz w:val="22"/>
          <w:szCs w:val="22"/>
        </w:rPr>
        <w:t>助推传统产业转</w:t>
      </w:r>
      <w:r>
        <w:rPr>
          <w:rFonts w:ascii="微软雅黑" w:hAnsi="微软雅黑" w:eastAsia="微软雅黑" w:cs="微软雅黑"/>
          <w:color w:val="231F20"/>
          <w:spacing w:val="3"/>
          <w:sz w:val="22"/>
          <w:szCs w:val="22"/>
        </w:rPr>
        <w:t>型</w:t>
      </w:r>
      <w:r>
        <w:rPr>
          <w:rFonts w:ascii="微软雅黑" w:hAnsi="微软雅黑" w:eastAsia="微软雅黑" w:cs="微软雅黑"/>
          <w:color w:val="231F20"/>
          <w:spacing w:val="2"/>
          <w:sz w:val="22"/>
          <w:szCs w:val="22"/>
        </w:rPr>
        <w:t xml:space="preserve">升级和新兴产业发展 ，并举办了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跨国公司投资广东年会 ，推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动跨国企业参与粤港澳大湾区和广东省“双十”战略性新兴产业和支柱产业集群</w:t>
      </w:r>
      <w:r>
        <w:rPr>
          <w:rFonts w:ascii="微软雅黑" w:hAnsi="微软雅黑" w:eastAsia="微软雅黑" w:cs="微软雅黑"/>
          <w:color w:val="231F20"/>
          <w:spacing w:val="3"/>
          <w:sz w:val="22"/>
          <w:szCs w:val="22"/>
        </w:rPr>
        <w:t>的</w:t>
      </w:r>
      <w:r>
        <w:rPr>
          <w:rFonts w:ascii="微软雅黑" w:hAnsi="微软雅黑" w:eastAsia="微软雅黑" w:cs="微软雅黑"/>
          <w:color w:val="231F20"/>
          <w:sz w:val="22"/>
          <w:szCs w:val="22"/>
        </w:rPr>
        <w:t xml:space="preserve"> 建设。</w:t>
      </w:r>
    </w:p>
    <w:p>
      <w:pPr>
        <w:spacing w:before="174" w:line="261" w:lineRule="auto"/>
        <w:ind w:left="1993" w:right="1979" w:firstLine="458"/>
        <w:rPr>
          <w:rFonts w:ascii="微软雅黑" w:hAnsi="微软雅黑" w:eastAsia="微软雅黑" w:cs="微软雅黑"/>
          <w:sz w:val="22"/>
          <w:szCs w:val="22"/>
        </w:rPr>
      </w:pPr>
      <w:r>
        <w:rPr>
          <w:rFonts w:ascii="SimHei" w:hAnsi="SimHei" w:eastAsia="SimHei" w:cs="SimHei"/>
          <w:color w:val="231F20"/>
          <w:spacing w:val="3"/>
          <w:sz w:val="22"/>
          <w:szCs w:val="22"/>
        </w:rPr>
        <w:t>发布 20 大产业链招商地图。</w:t>
      </w:r>
      <w:r>
        <w:rPr>
          <w:rFonts w:ascii="微软雅黑" w:hAnsi="微软雅黑" w:eastAsia="微软雅黑" w:cs="微软雅黑"/>
          <w:color w:val="231F20"/>
          <w:spacing w:val="3"/>
          <w:sz w:val="22"/>
          <w:szCs w:val="22"/>
        </w:rPr>
        <w:t>围绕半导体与集成电路、高端装备制造、智能机器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人等 </w:t>
      </w:r>
      <w:r>
        <w:rPr>
          <w:rFonts w:ascii="Times New Roman" w:hAnsi="Times New Roman" w:eastAsia="Times New Roman" w:cs="Times New Roman"/>
          <w:color w:val="231F20"/>
          <w:spacing w:val="1"/>
          <w:sz w:val="22"/>
          <w:szCs w:val="22"/>
        </w:rPr>
        <w:t xml:space="preserve">20 </w:t>
      </w:r>
      <w:r>
        <w:rPr>
          <w:rFonts w:ascii="微软雅黑" w:hAnsi="微软雅黑" w:eastAsia="微软雅黑" w:cs="微软雅黑"/>
          <w:color w:val="231F20"/>
          <w:spacing w:val="1"/>
          <w:sz w:val="22"/>
          <w:szCs w:val="22"/>
        </w:rPr>
        <w:t>个战略性产业集群 ，按照“ 一产业一地图” 、“产业政策一地图</w:t>
      </w:r>
      <w:r>
        <w:rPr>
          <w:rFonts w:ascii="微软雅黑" w:hAnsi="微软雅黑" w:eastAsia="微软雅黑" w:cs="微软雅黑"/>
          <w:color w:val="231F20"/>
          <w:sz w:val="22"/>
          <w:szCs w:val="22"/>
        </w:rPr>
        <w:t xml:space="preserve">”，“投资 </w:t>
      </w:r>
      <w:r>
        <w:rPr>
          <w:rFonts w:ascii="微软雅黑" w:hAnsi="微软雅黑" w:eastAsia="微软雅黑" w:cs="微软雅黑"/>
          <w:color w:val="231F20"/>
          <w:spacing w:val="4"/>
          <w:sz w:val="22"/>
          <w:szCs w:val="22"/>
        </w:rPr>
        <w:t xml:space="preserve">要素一地图”要求 ，分三类设计编制了可视化产业链招商地图 ，全面展示 </w:t>
      </w:r>
      <w:r>
        <w:rPr>
          <w:rFonts w:ascii="Times New Roman" w:hAnsi="Times New Roman" w:eastAsia="Times New Roman" w:cs="Times New Roman"/>
          <w:color w:val="231F20"/>
          <w:spacing w:val="4"/>
          <w:sz w:val="22"/>
          <w:szCs w:val="22"/>
        </w:rPr>
        <w:t>20</w:t>
      </w:r>
      <w:r>
        <w:rPr>
          <w:rFonts w:ascii="微软雅黑" w:hAnsi="微软雅黑" w:eastAsia="微软雅黑" w:cs="微软雅黑"/>
          <w:color w:val="231F20"/>
          <w:spacing w:val="4"/>
          <w:sz w:val="22"/>
          <w:szCs w:val="22"/>
        </w:rPr>
        <w:t>个</w:t>
      </w:r>
      <w:r>
        <w:rPr>
          <w:rFonts w:ascii="微软雅黑" w:hAnsi="微软雅黑" w:eastAsia="微软雅黑" w:cs="微软雅黑"/>
          <w:color w:val="231F20"/>
          <w:spacing w:val="2"/>
          <w:sz w:val="22"/>
          <w:szCs w:val="22"/>
        </w:rPr>
        <w:t>战</w:t>
      </w:r>
      <w:r>
        <w:rPr>
          <w:rFonts w:ascii="微软雅黑" w:hAnsi="微软雅黑" w:eastAsia="微软雅黑" w:cs="微软雅黑"/>
          <w:color w:val="231F20"/>
          <w:sz w:val="22"/>
          <w:szCs w:val="22"/>
        </w:rPr>
        <w:t xml:space="preserve">略 </w:t>
      </w:r>
      <w:r>
        <w:rPr>
          <w:rFonts w:ascii="微软雅黑" w:hAnsi="微软雅黑" w:eastAsia="微软雅黑" w:cs="微软雅黑"/>
          <w:color w:val="231F20"/>
          <w:spacing w:val="2"/>
          <w:sz w:val="22"/>
          <w:szCs w:val="22"/>
        </w:rPr>
        <w:t>性产业布局区域、产业配套、产业政策、投资要素以及投</w:t>
      </w:r>
      <w:r>
        <w:rPr>
          <w:rFonts w:ascii="微软雅黑" w:hAnsi="微软雅黑" w:eastAsia="微软雅黑" w:cs="微软雅黑"/>
          <w:color w:val="231F20"/>
          <w:spacing w:val="1"/>
          <w:sz w:val="22"/>
          <w:szCs w:val="22"/>
        </w:rPr>
        <w:t>资促进服务等情况 ，为企业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来广</w:t>
      </w:r>
      <w:r>
        <w:rPr>
          <w:rFonts w:ascii="微软雅黑" w:hAnsi="微软雅黑" w:eastAsia="微软雅黑" w:cs="微软雅黑"/>
          <w:color w:val="231F20"/>
          <w:sz w:val="22"/>
          <w:szCs w:val="22"/>
        </w:rPr>
        <w:t>东投资提供精准指引。</w:t>
      </w:r>
    </w:p>
    <w:p>
      <w:pPr>
        <w:spacing w:before="171" w:line="260" w:lineRule="auto"/>
        <w:ind w:left="1988" w:right="1982" w:firstLine="458"/>
        <w:rPr>
          <w:rFonts w:ascii="微软雅黑" w:hAnsi="微软雅黑" w:eastAsia="微软雅黑" w:cs="微软雅黑"/>
          <w:sz w:val="22"/>
          <w:szCs w:val="22"/>
        </w:rPr>
      </w:pPr>
      <w:r>
        <w:rPr>
          <w:rFonts w:ascii="SimHei" w:hAnsi="SimHei" w:eastAsia="SimHei" w:cs="SimHei"/>
          <w:color w:val="231F20"/>
          <w:spacing w:val="14"/>
          <w:sz w:val="22"/>
          <w:szCs w:val="22"/>
        </w:rPr>
        <w:t>聘请广</w:t>
      </w:r>
      <w:r>
        <w:rPr>
          <w:rFonts w:ascii="SimHei" w:hAnsi="SimHei" w:eastAsia="SimHei" w:cs="SimHei"/>
          <w:color w:val="231F20"/>
          <w:spacing w:val="11"/>
          <w:sz w:val="22"/>
          <w:szCs w:val="22"/>
        </w:rPr>
        <w:t>东</w:t>
      </w:r>
      <w:r>
        <w:rPr>
          <w:rFonts w:ascii="SimHei" w:hAnsi="SimHei" w:eastAsia="SimHei" w:cs="SimHei"/>
          <w:color w:val="231F20"/>
          <w:spacing w:val="7"/>
          <w:sz w:val="22"/>
          <w:szCs w:val="22"/>
        </w:rPr>
        <w:t>首批全球招商顾问。</w:t>
      </w:r>
      <w:r>
        <w:rPr>
          <w:rFonts w:ascii="微软雅黑" w:hAnsi="微软雅黑" w:eastAsia="微软雅黑" w:cs="微软雅黑"/>
          <w:color w:val="231F20"/>
          <w:spacing w:val="7"/>
          <w:sz w:val="22"/>
          <w:szCs w:val="22"/>
        </w:rPr>
        <w:t>为深入实施产业链招商工程 ，进一步创新招商工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作机制，  面向发达经济体加强产业集群招商，  广东省商务</w:t>
      </w:r>
      <w:r>
        <w:rPr>
          <w:rFonts w:ascii="微软雅黑" w:hAnsi="微软雅黑" w:eastAsia="微软雅黑" w:cs="微软雅黑"/>
          <w:color w:val="231F20"/>
          <w:sz w:val="22"/>
          <w:szCs w:val="22"/>
        </w:rPr>
        <w:t xml:space="preserve">厅从经济界 、工商界中挑 </w:t>
      </w:r>
      <w:r>
        <w:rPr>
          <w:rFonts w:ascii="微软雅黑" w:hAnsi="微软雅黑" w:eastAsia="微软雅黑" w:cs="微软雅黑"/>
          <w:color w:val="231F20"/>
          <w:spacing w:val="6"/>
          <w:sz w:val="22"/>
          <w:szCs w:val="22"/>
        </w:rPr>
        <w:t xml:space="preserve">选 </w:t>
      </w:r>
      <w:r>
        <w:rPr>
          <w:rFonts w:ascii="Times New Roman" w:hAnsi="Times New Roman" w:eastAsia="Times New Roman" w:cs="Times New Roman"/>
          <w:color w:val="231F20"/>
          <w:spacing w:val="6"/>
          <w:sz w:val="22"/>
          <w:szCs w:val="22"/>
        </w:rPr>
        <w:t xml:space="preserve">22 </w:t>
      </w:r>
      <w:r>
        <w:rPr>
          <w:rFonts w:ascii="微软雅黑" w:hAnsi="微软雅黑" w:eastAsia="微软雅黑" w:cs="微软雅黑"/>
          <w:color w:val="231F20"/>
          <w:spacing w:val="6"/>
          <w:sz w:val="22"/>
          <w:szCs w:val="22"/>
        </w:rPr>
        <w:t>位知名人士</w:t>
      </w:r>
      <w:r>
        <w:rPr>
          <w:rFonts w:ascii="微软雅黑" w:hAnsi="微软雅黑" w:eastAsia="微软雅黑" w:cs="微软雅黑"/>
          <w:color w:val="231F20"/>
          <w:spacing w:val="3"/>
          <w:sz w:val="22"/>
          <w:szCs w:val="22"/>
        </w:rPr>
        <w:t xml:space="preserve">聘为广东省全球招商顾问。其中 ，包括重点外资企业在内的 </w:t>
      </w:r>
      <w:r>
        <w:rPr>
          <w:rFonts w:ascii="Times New Roman" w:hAnsi="Times New Roman" w:eastAsia="Times New Roman" w:cs="Times New Roman"/>
          <w:color w:val="231F20"/>
          <w:spacing w:val="3"/>
          <w:sz w:val="22"/>
          <w:szCs w:val="22"/>
        </w:rPr>
        <w:t xml:space="preserve">6 </w:t>
      </w:r>
      <w:r>
        <w:rPr>
          <w:rFonts w:ascii="微软雅黑" w:hAnsi="微软雅黑" w:eastAsia="微软雅黑" w:cs="微软雅黑"/>
          <w:color w:val="231F20"/>
          <w:spacing w:val="3"/>
          <w:sz w:val="22"/>
          <w:szCs w:val="22"/>
        </w:rPr>
        <w:t>家省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4"/>
          <w:sz w:val="22"/>
          <w:szCs w:val="22"/>
        </w:rPr>
        <w:t>长经济</w:t>
      </w:r>
      <w:r>
        <w:rPr>
          <w:rFonts w:ascii="微软雅黑" w:hAnsi="微软雅黑" w:eastAsia="微软雅黑" w:cs="微软雅黑"/>
          <w:color w:val="231F20"/>
          <w:spacing w:val="13"/>
          <w:sz w:val="22"/>
          <w:szCs w:val="22"/>
        </w:rPr>
        <w:t>顾</w:t>
      </w:r>
      <w:r>
        <w:rPr>
          <w:rFonts w:ascii="微软雅黑" w:hAnsi="微软雅黑" w:eastAsia="微软雅黑" w:cs="微软雅黑"/>
          <w:color w:val="231F20"/>
          <w:spacing w:val="7"/>
          <w:sz w:val="22"/>
          <w:szCs w:val="22"/>
        </w:rPr>
        <w:t>问机构入选首批广东省全球招商顾问。未来 ，全球招商顾问将一起积极宣</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传推介广东投资营商环境 ，在信息互通 、项目投资 、人</w:t>
      </w:r>
      <w:r>
        <w:rPr>
          <w:rFonts w:ascii="微软雅黑" w:hAnsi="微软雅黑" w:eastAsia="微软雅黑" w:cs="微软雅黑"/>
          <w:color w:val="231F20"/>
          <w:sz w:val="22"/>
          <w:szCs w:val="22"/>
        </w:rPr>
        <w:t xml:space="preserve">才引进等方面牵线搭桥，  帮 </w:t>
      </w:r>
      <w:r>
        <w:rPr>
          <w:rFonts w:ascii="微软雅黑" w:hAnsi="微软雅黑" w:eastAsia="微软雅黑" w:cs="微软雅黑"/>
          <w:color w:val="231F20"/>
          <w:spacing w:val="4"/>
          <w:sz w:val="22"/>
          <w:szCs w:val="22"/>
        </w:rPr>
        <w:t>助更多全球高端优质项目和人才到广东投资兴业</w:t>
      </w:r>
      <w:r>
        <w:rPr>
          <w:rFonts w:ascii="微软雅黑" w:hAnsi="微软雅黑" w:eastAsia="微软雅黑" w:cs="微软雅黑"/>
          <w:color w:val="231F20"/>
          <w:sz w:val="22"/>
          <w:szCs w:val="22"/>
        </w:rPr>
        <w:t>。</w:t>
      </w:r>
    </w:p>
    <w:p>
      <w:pPr>
        <w:spacing w:before="176" w:line="259" w:lineRule="auto"/>
        <w:ind w:left="1995" w:right="1984" w:firstLine="451"/>
        <w:rPr>
          <w:rFonts w:ascii="微软雅黑" w:hAnsi="微软雅黑" w:eastAsia="微软雅黑" w:cs="微软雅黑"/>
          <w:sz w:val="22"/>
          <w:szCs w:val="22"/>
        </w:rPr>
      </w:pPr>
      <w:r>
        <w:rPr>
          <w:rFonts w:ascii="SimHei" w:hAnsi="SimHei" w:eastAsia="SimHei" w:cs="SimHei"/>
          <w:color w:val="231F20"/>
          <w:spacing w:val="6"/>
          <w:sz w:val="22"/>
          <w:szCs w:val="22"/>
        </w:rPr>
        <w:t>完善</w:t>
      </w:r>
      <w:r>
        <w:rPr>
          <w:rFonts w:ascii="SimHei" w:hAnsi="SimHei" w:eastAsia="SimHei" w:cs="SimHei"/>
          <w:color w:val="231F20"/>
          <w:spacing w:val="5"/>
          <w:sz w:val="22"/>
          <w:szCs w:val="22"/>
        </w:rPr>
        <w:t>产</w:t>
      </w:r>
      <w:r>
        <w:rPr>
          <w:rFonts w:ascii="SimHei" w:hAnsi="SimHei" w:eastAsia="SimHei" w:cs="SimHei"/>
          <w:color w:val="231F20"/>
          <w:spacing w:val="3"/>
          <w:sz w:val="22"/>
          <w:szCs w:val="22"/>
        </w:rPr>
        <w:t>业链招商引资工作机制。</w:t>
      </w:r>
      <w:r>
        <w:rPr>
          <w:rFonts w:ascii="微软雅黑" w:hAnsi="微软雅黑" w:eastAsia="微软雅黑" w:cs="微软雅黑"/>
          <w:color w:val="231F20"/>
          <w:spacing w:val="3"/>
          <w:sz w:val="22"/>
          <w:szCs w:val="22"/>
        </w:rPr>
        <w:t>成立产业链招商联盟，建立产业数据库和目标企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业清单 ，推</w:t>
      </w:r>
      <w:r>
        <w:rPr>
          <w:rFonts w:ascii="微软雅黑" w:hAnsi="微软雅黑" w:eastAsia="微软雅黑" w:cs="微软雅黑"/>
          <w:color w:val="231F20"/>
          <w:sz w:val="22"/>
          <w:szCs w:val="22"/>
        </w:rPr>
        <w:t xml:space="preserve">进实施产业链“集群式”招商。健全省领导联系跨国公司直通车制度 ，定 </w:t>
      </w:r>
      <w:r>
        <w:rPr>
          <w:rFonts w:ascii="微软雅黑" w:hAnsi="微软雅黑" w:eastAsia="微软雅黑" w:cs="微软雅黑"/>
          <w:color w:val="231F20"/>
          <w:spacing w:val="-5"/>
          <w:sz w:val="22"/>
          <w:szCs w:val="22"/>
        </w:rPr>
        <w:t>期</w:t>
      </w:r>
      <w:r>
        <w:rPr>
          <w:rFonts w:ascii="微软雅黑" w:hAnsi="微软雅黑" w:eastAsia="微软雅黑" w:cs="微软雅黑"/>
          <w:color w:val="231F20"/>
          <w:spacing w:val="-4"/>
          <w:sz w:val="22"/>
          <w:szCs w:val="22"/>
        </w:rPr>
        <w:t xml:space="preserve">组织省长与外资企业 </w:t>
      </w:r>
      <w:r>
        <w:rPr>
          <w:rFonts w:ascii="Times New Roman" w:hAnsi="Times New Roman" w:eastAsia="Times New Roman" w:cs="Times New Roman"/>
          <w:color w:val="231F20"/>
          <w:spacing w:val="-4"/>
          <w:sz w:val="22"/>
          <w:szCs w:val="22"/>
        </w:rPr>
        <w:t>CEO</w:t>
      </w:r>
      <w:r>
        <w:rPr>
          <w:rFonts w:ascii="微软雅黑" w:hAnsi="微软雅黑" w:eastAsia="微软雅黑" w:cs="微软雅黑"/>
          <w:color w:val="231F20"/>
          <w:spacing w:val="-4"/>
          <w:sz w:val="22"/>
          <w:szCs w:val="22"/>
        </w:rPr>
        <w:t>圆桌会，搭建了省领导与跨国公司高层直接交流沟通的“绿</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色</w:t>
      </w:r>
      <w:r>
        <w:rPr>
          <w:rFonts w:ascii="微软雅黑" w:hAnsi="微软雅黑" w:eastAsia="微软雅黑" w:cs="微软雅黑"/>
          <w:color w:val="231F20"/>
          <w:spacing w:val="-2"/>
          <w:sz w:val="22"/>
          <w:szCs w:val="22"/>
        </w:rPr>
        <w:t>通道。</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6000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r>
        <w:rPr>
          <w:rFonts w:ascii="SimHei" w:hAnsi="SimHei" w:eastAsia="SimHei" w:cs="SimHei"/>
          <w:color w:val="1A67B3"/>
          <w:spacing w:val="35"/>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399" name="IM 399"/>
            <wp:cNvGraphicFramePr/>
            <a:graphic xmlns:a="http://schemas.openxmlformats.org/drawingml/2006/main">
              <a:graphicData uri="http://schemas.openxmlformats.org/drawingml/2006/picture">
                <pic:pic xmlns:pic="http://schemas.openxmlformats.org/drawingml/2006/picture">
                  <pic:nvPicPr>
                    <pic:cNvPr id="399" name="IM 399"/>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85</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8" w:line="222" w:lineRule="auto"/>
        <w:ind w:left="2462"/>
        <w:rPr>
          <w:rFonts w:ascii="SimHei" w:hAnsi="SimHei" w:eastAsia="SimHei" w:cs="SimHei"/>
          <w:sz w:val="24"/>
          <w:szCs w:val="24"/>
        </w:rPr>
      </w:pPr>
      <w:r>
        <w:rPr>
          <w:rFonts w:ascii="SimHei" w:hAnsi="SimHei" w:eastAsia="SimHei" w:cs="SimHei"/>
          <w:color w:val="015DAC"/>
          <w:spacing w:val="7"/>
          <w:sz w:val="24"/>
          <w:szCs w:val="24"/>
        </w:rPr>
        <w:t>(二) 优化跨国公司总部投资政</w:t>
      </w:r>
      <w:r>
        <w:rPr>
          <w:rFonts w:ascii="SimHei" w:hAnsi="SimHei" w:eastAsia="SimHei" w:cs="SimHei"/>
          <w:color w:val="015DAC"/>
          <w:spacing w:val="6"/>
          <w:sz w:val="24"/>
          <w:szCs w:val="24"/>
        </w:rPr>
        <w:t>策</w:t>
      </w:r>
    </w:p>
    <w:p>
      <w:pPr>
        <w:spacing w:before="335" w:line="258" w:lineRule="auto"/>
        <w:ind w:left="1993" w:right="1893" w:firstLine="449"/>
        <w:rPr>
          <w:rFonts w:ascii="微软雅黑" w:hAnsi="微软雅黑" w:eastAsia="微软雅黑" w:cs="微软雅黑"/>
          <w:sz w:val="22"/>
          <w:szCs w:val="22"/>
        </w:rPr>
      </w:pP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z w:val="22"/>
          <w:szCs w:val="22"/>
        </w:rPr>
        <w:t xml:space="preserve">8 </w:t>
      </w:r>
      <w:r>
        <w:rPr>
          <w:rFonts w:ascii="微软雅黑" w:hAnsi="微软雅黑" w:eastAsia="微软雅黑" w:cs="微软雅黑"/>
          <w:color w:val="231F20"/>
          <w:sz w:val="22"/>
          <w:szCs w:val="22"/>
        </w:rPr>
        <w:t xml:space="preserve">月 ，广东省商务厅出台了《广东省鼓励跨国公司设立地区总部办法 ( 修 </w:t>
      </w:r>
      <w:r>
        <w:rPr>
          <w:rFonts w:ascii="微软雅黑" w:hAnsi="微软雅黑" w:eastAsia="微软雅黑" w:cs="微软雅黑"/>
          <w:color w:val="231F20"/>
          <w:spacing w:val="-2"/>
          <w:sz w:val="22"/>
          <w:szCs w:val="22"/>
        </w:rPr>
        <w:t xml:space="preserve">订版 ) </w:t>
      </w:r>
      <w:r>
        <w:rPr>
          <w:rFonts w:ascii="微软雅黑" w:hAnsi="微软雅黑" w:eastAsia="微软雅黑" w:cs="微软雅黑"/>
          <w:color w:val="231F20"/>
          <w:spacing w:val="-1"/>
          <w:sz w:val="22"/>
          <w:szCs w:val="22"/>
        </w:rPr>
        <w:t xml:space="preserve"> 》  ，通过制定实施与新的开放形势相适应的、与国际相接轨的认定标准和强有</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力的扶持措施 ，加快培育总部经济，  力争吸引聚焦一批知识含量高、产业关联度强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集聚带动作</w:t>
      </w:r>
      <w:r>
        <w:rPr>
          <w:rFonts w:ascii="微软雅黑" w:hAnsi="微软雅黑" w:eastAsia="微软雅黑" w:cs="微软雅黑"/>
          <w:color w:val="231F20"/>
          <w:spacing w:val="-7"/>
          <w:sz w:val="22"/>
          <w:szCs w:val="22"/>
        </w:rPr>
        <w:t>用</w:t>
      </w:r>
      <w:r>
        <w:rPr>
          <w:rFonts w:ascii="微软雅黑" w:hAnsi="微软雅黑" w:eastAsia="微软雅黑" w:cs="微软雅黑"/>
          <w:color w:val="231F20"/>
          <w:spacing w:val="-5"/>
          <w:sz w:val="22"/>
          <w:szCs w:val="22"/>
        </w:rPr>
        <w:t>大的跨国总部企业投资落户。新《办法》除优化认定标准，加大政策激励、</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强化配套保障外 ，还突出了广东的特色 ，如在</w:t>
      </w:r>
      <w:r>
        <w:rPr>
          <w:rFonts w:ascii="微软雅黑" w:hAnsi="微软雅黑" w:eastAsia="微软雅黑" w:cs="微软雅黑"/>
          <w:color w:val="231F20"/>
          <w:spacing w:val="-1"/>
          <w:sz w:val="22"/>
          <w:szCs w:val="22"/>
        </w:rPr>
        <w:t>认定具有总部功能的机构方面 ，将“供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应链”列入总部型机构功能 ，突出制造业发展。结合广东独有</w:t>
      </w:r>
      <w:r>
        <w:rPr>
          <w:rFonts w:ascii="微软雅黑" w:hAnsi="微软雅黑" w:eastAsia="微软雅黑" w:cs="微软雅黑"/>
          <w:color w:val="231F20"/>
          <w:spacing w:val="-1"/>
          <w:sz w:val="22"/>
          <w:szCs w:val="22"/>
        </w:rPr>
        <w:t>的一些优惠和支持措施，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将跨国公司地</w:t>
      </w:r>
      <w:r>
        <w:rPr>
          <w:rFonts w:ascii="微软雅黑" w:hAnsi="微软雅黑" w:eastAsia="微软雅黑" w:cs="微软雅黑"/>
          <w:color w:val="231F20"/>
          <w:sz w:val="22"/>
          <w:szCs w:val="22"/>
        </w:rPr>
        <w:t xml:space="preserve">区总部按程序纳入省长联系跨国公司直通车机制；  将跨国公司地区总部 </w:t>
      </w:r>
      <w:r>
        <w:rPr>
          <w:rFonts w:ascii="微软雅黑" w:hAnsi="微软雅黑" w:eastAsia="微软雅黑" w:cs="微软雅黑"/>
          <w:color w:val="231F20"/>
          <w:spacing w:val="2"/>
          <w:sz w:val="22"/>
          <w:szCs w:val="22"/>
        </w:rPr>
        <w:t>高级管理人员等人才纳为“优粤卡”服务对象 ，持卡人及其配偶、未成年子女可</w:t>
      </w:r>
      <w:r>
        <w:rPr>
          <w:rFonts w:ascii="微软雅黑" w:hAnsi="微软雅黑" w:eastAsia="微软雅黑" w:cs="微软雅黑"/>
          <w:color w:val="231F20"/>
          <w:spacing w:val="1"/>
          <w:sz w:val="22"/>
          <w:szCs w:val="22"/>
        </w:rPr>
        <w:t>享</w:t>
      </w:r>
      <w:r>
        <w:rPr>
          <w:rFonts w:ascii="微软雅黑" w:hAnsi="微软雅黑" w:eastAsia="微软雅黑" w:cs="微软雅黑"/>
          <w:color w:val="231F20"/>
          <w:sz w:val="22"/>
          <w:szCs w:val="22"/>
        </w:rPr>
        <w:t xml:space="preserve">受 </w:t>
      </w:r>
      <w:r>
        <w:rPr>
          <w:rFonts w:ascii="微软雅黑" w:hAnsi="微软雅黑" w:eastAsia="微软雅黑" w:cs="微软雅黑"/>
          <w:color w:val="231F20"/>
          <w:spacing w:val="1"/>
          <w:sz w:val="22"/>
          <w:szCs w:val="22"/>
        </w:rPr>
        <w:t>当地居民待遇等。</w:t>
      </w:r>
    </w:p>
    <w:p>
      <w:pPr>
        <w:spacing w:before="167" w:line="262" w:lineRule="auto"/>
        <w:ind w:left="1996" w:right="1968" w:firstLine="464"/>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为支持外资</w:t>
      </w:r>
      <w:r>
        <w:rPr>
          <w:rFonts w:ascii="微软雅黑" w:hAnsi="微软雅黑" w:eastAsia="微软雅黑" w:cs="微软雅黑"/>
          <w:color w:val="231F20"/>
          <w:spacing w:val="3"/>
          <w:sz w:val="22"/>
          <w:szCs w:val="22"/>
        </w:rPr>
        <w:t>研</w:t>
      </w:r>
      <w:r>
        <w:rPr>
          <w:rFonts w:ascii="微软雅黑" w:hAnsi="微软雅黑" w:eastAsia="微软雅黑" w:cs="微软雅黑"/>
          <w:color w:val="231F20"/>
          <w:spacing w:val="2"/>
          <w:sz w:val="22"/>
          <w:szCs w:val="22"/>
        </w:rPr>
        <w:t>发中心发展，</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10 </w:t>
      </w:r>
      <w:r>
        <w:rPr>
          <w:rFonts w:ascii="微软雅黑" w:hAnsi="微软雅黑" w:eastAsia="微软雅黑" w:cs="微软雅黑"/>
          <w:color w:val="231F20"/>
          <w:spacing w:val="2"/>
          <w:sz w:val="22"/>
          <w:szCs w:val="22"/>
        </w:rPr>
        <w:t>月 ，广东省商务厅、广东省财政厅、海关</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总署广东</w:t>
      </w:r>
      <w:r>
        <w:rPr>
          <w:rFonts w:ascii="微软雅黑" w:hAnsi="微软雅黑" w:eastAsia="微软雅黑" w:cs="微软雅黑"/>
          <w:color w:val="231F20"/>
          <w:spacing w:val="4"/>
          <w:sz w:val="22"/>
          <w:szCs w:val="22"/>
        </w:rPr>
        <w:t>分</w:t>
      </w:r>
      <w:r>
        <w:rPr>
          <w:rFonts w:ascii="微软雅黑" w:hAnsi="微软雅黑" w:eastAsia="微软雅黑" w:cs="微软雅黑"/>
          <w:color w:val="231F20"/>
          <w:spacing w:val="3"/>
          <w:sz w:val="22"/>
          <w:szCs w:val="22"/>
        </w:rPr>
        <w:t xml:space="preserve">署、广东省税务局等 </w:t>
      </w:r>
      <w:r>
        <w:rPr>
          <w:rFonts w:ascii="Times New Roman" w:hAnsi="Times New Roman" w:eastAsia="Times New Roman" w:cs="Times New Roman"/>
          <w:color w:val="231F20"/>
          <w:spacing w:val="3"/>
          <w:sz w:val="22"/>
          <w:szCs w:val="22"/>
        </w:rPr>
        <w:t xml:space="preserve">5 </w:t>
      </w:r>
      <w:r>
        <w:rPr>
          <w:rFonts w:ascii="微软雅黑" w:hAnsi="微软雅黑" w:eastAsia="微软雅黑" w:cs="微软雅黑"/>
          <w:color w:val="231F20"/>
          <w:spacing w:val="3"/>
          <w:sz w:val="22"/>
          <w:szCs w:val="22"/>
        </w:rPr>
        <w:t>部门出台了《广东省外资研发中心免税进口设备资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格审核认定</w:t>
      </w:r>
      <w:r>
        <w:rPr>
          <w:rFonts w:ascii="微软雅黑" w:hAnsi="微软雅黑" w:eastAsia="微软雅黑" w:cs="微软雅黑"/>
          <w:color w:val="231F20"/>
          <w:sz w:val="22"/>
          <w:szCs w:val="22"/>
        </w:rPr>
        <w:t xml:space="preserve">办法》，  明确了符合有关文件规定条件的外资研发中心申请免税资格认定 </w:t>
      </w:r>
      <w:r>
        <w:rPr>
          <w:rFonts w:ascii="微软雅黑" w:hAnsi="微软雅黑" w:eastAsia="微软雅黑" w:cs="微软雅黑"/>
          <w:color w:val="231F20"/>
          <w:spacing w:val="-1"/>
          <w:sz w:val="22"/>
          <w:szCs w:val="22"/>
        </w:rPr>
        <w:t>的具体操作</w:t>
      </w:r>
      <w:r>
        <w:rPr>
          <w:rFonts w:ascii="微软雅黑" w:hAnsi="微软雅黑" w:eastAsia="微软雅黑" w:cs="微软雅黑"/>
          <w:color w:val="231F20"/>
          <w:sz w:val="22"/>
          <w:szCs w:val="22"/>
        </w:rPr>
        <w:t xml:space="preserve">办法 ，进一步鼓励外商投资企业加大在华研发力度 ，为外商投资企业创新 </w:t>
      </w:r>
      <w:r>
        <w:rPr>
          <w:rFonts w:ascii="微软雅黑" w:hAnsi="微软雅黑" w:eastAsia="微软雅黑" w:cs="微软雅黑"/>
          <w:color w:val="231F20"/>
          <w:spacing w:val="-1"/>
          <w:sz w:val="22"/>
          <w:szCs w:val="22"/>
        </w:rPr>
        <w:t>发展提供保障</w:t>
      </w:r>
      <w:r>
        <w:rPr>
          <w:rFonts w:ascii="微软雅黑" w:hAnsi="微软雅黑" w:eastAsia="微软雅黑" w:cs="微软雅黑"/>
          <w:color w:val="231F20"/>
          <w:sz w:val="22"/>
          <w:szCs w:val="22"/>
        </w:rPr>
        <w:t>。</w:t>
      </w:r>
    </w:p>
    <w:p>
      <w:pPr>
        <w:spacing w:before="178" w:line="224" w:lineRule="auto"/>
        <w:ind w:left="2462"/>
        <w:rPr>
          <w:rFonts w:ascii="SimHei" w:hAnsi="SimHei" w:eastAsia="SimHei" w:cs="SimHei"/>
          <w:sz w:val="24"/>
          <w:szCs w:val="24"/>
        </w:rPr>
      </w:pPr>
      <w:r>
        <w:rPr>
          <w:rFonts w:ascii="SimHei" w:hAnsi="SimHei" w:eastAsia="SimHei" w:cs="SimHei"/>
          <w:color w:val="015DAC"/>
          <w:spacing w:val="12"/>
          <w:sz w:val="24"/>
          <w:szCs w:val="24"/>
        </w:rPr>
        <w:t>(</w:t>
      </w:r>
      <w:r>
        <w:rPr>
          <w:rFonts w:ascii="SimHei" w:hAnsi="SimHei" w:eastAsia="SimHei" w:cs="SimHei"/>
          <w:color w:val="015DAC"/>
          <w:spacing w:val="7"/>
          <w:sz w:val="24"/>
          <w:szCs w:val="24"/>
        </w:rPr>
        <w:t>三) 健全“稳外资”服务机制</w:t>
      </w:r>
    </w:p>
    <w:p>
      <w:pPr>
        <w:spacing w:before="328" w:line="257" w:lineRule="auto"/>
        <w:ind w:left="1986" w:right="1982" w:firstLine="463"/>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广东省围绕战略产业集</w:t>
      </w:r>
      <w:r>
        <w:rPr>
          <w:rFonts w:ascii="微软雅黑" w:hAnsi="微软雅黑" w:eastAsia="微软雅黑" w:cs="微软雅黑"/>
          <w:color w:val="231F20"/>
          <w:spacing w:val="1"/>
          <w:sz w:val="22"/>
          <w:szCs w:val="22"/>
        </w:rPr>
        <w:t>群招商工作 ，加强在广东的重点外资企业，特别是拟落户</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广东的外资企业 ( 项目 ) 协调服务保障 ，为外资稳定增长 、在广东生根</w:t>
      </w:r>
      <w:r>
        <w:rPr>
          <w:rFonts w:ascii="微软雅黑" w:hAnsi="微软雅黑" w:eastAsia="微软雅黑" w:cs="微软雅黑"/>
          <w:color w:val="231F20"/>
          <w:sz w:val="22"/>
          <w:szCs w:val="22"/>
        </w:rPr>
        <w:t xml:space="preserve">发展注入了强 </w:t>
      </w:r>
      <w:r>
        <w:rPr>
          <w:rFonts w:ascii="微软雅黑" w:hAnsi="微软雅黑" w:eastAsia="微软雅黑" w:cs="微软雅黑"/>
          <w:color w:val="231F20"/>
          <w:spacing w:val="-6"/>
          <w:sz w:val="22"/>
          <w:szCs w:val="22"/>
        </w:rPr>
        <w:t>大的</w:t>
      </w:r>
      <w:r>
        <w:rPr>
          <w:rFonts w:ascii="微软雅黑" w:hAnsi="微软雅黑" w:eastAsia="微软雅黑" w:cs="微软雅黑"/>
          <w:color w:val="231F20"/>
          <w:spacing w:val="-3"/>
          <w:sz w:val="22"/>
          <w:szCs w:val="22"/>
        </w:rPr>
        <w:t>后劲。在市级层面 ，为帮助外资企业应对疫情冲击 ，实现稳定 、持续 、高质量发</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展，广州市成</w:t>
      </w:r>
      <w:r>
        <w:rPr>
          <w:rFonts w:ascii="微软雅黑" w:hAnsi="微软雅黑" w:eastAsia="微软雅黑" w:cs="微软雅黑"/>
          <w:color w:val="231F20"/>
          <w:spacing w:val="-3"/>
          <w:sz w:val="22"/>
          <w:szCs w:val="22"/>
        </w:rPr>
        <w:t>立</w:t>
      </w:r>
      <w:r>
        <w:rPr>
          <w:rFonts w:ascii="微软雅黑" w:hAnsi="微软雅黑" w:eastAsia="微软雅黑" w:cs="微软雅黑"/>
          <w:color w:val="231F20"/>
          <w:spacing w:val="-2"/>
          <w:sz w:val="22"/>
          <w:szCs w:val="22"/>
        </w:rPr>
        <w:t>了稳外资工作专班，发布了全国首个投资政策智能化运算服务平台“投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资政策大算盘”，推</w:t>
      </w:r>
      <w:r>
        <w:rPr>
          <w:rFonts w:ascii="微软雅黑" w:hAnsi="微软雅黑" w:eastAsia="微软雅黑" w:cs="微软雅黑"/>
          <w:color w:val="231F20"/>
          <w:sz w:val="22"/>
          <w:szCs w:val="22"/>
        </w:rPr>
        <w:t xml:space="preserve">出全国首个 </w:t>
      </w:r>
      <w:r>
        <w:rPr>
          <w:rFonts w:ascii="Times New Roman" w:hAnsi="Times New Roman" w:eastAsia="Times New Roman" w:cs="Times New Roman"/>
          <w:color w:val="231F20"/>
          <w:sz w:val="22"/>
          <w:szCs w:val="22"/>
        </w:rPr>
        <w:t xml:space="preserve">RCEP </w:t>
      </w:r>
      <w:r>
        <w:rPr>
          <w:rFonts w:ascii="微软雅黑" w:hAnsi="微软雅黑" w:eastAsia="微软雅黑" w:cs="微软雅黑"/>
          <w:color w:val="231F20"/>
          <w:sz w:val="22"/>
          <w:szCs w:val="22"/>
        </w:rPr>
        <w:t xml:space="preserve">跨境电商专项政策 ，在广东省率先启动达 </w:t>
      </w:r>
      <w:r>
        <w:rPr>
          <w:rFonts w:ascii="Times New Roman" w:hAnsi="Times New Roman" w:eastAsia="Times New Roman" w:cs="Times New Roman"/>
          <w:color w:val="231F20"/>
          <w:sz w:val="22"/>
          <w:szCs w:val="22"/>
        </w:rPr>
        <w:t xml:space="preserve">7200 </w:t>
      </w:r>
      <w:r>
        <w:rPr>
          <w:rFonts w:ascii="微软雅黑" w:hAnsi="微软雅黑" w:eastAsia="微软雅黑" w:cs="微软雅黑"/>
          <w:color w:val="231F20"/>
          <w:spacing w:val="8"/>
          <w:sz w:val="22"/>
          <w:szCs w:val="22"/>
        </w:rPr>
        <w:t>亿的</w:t>
      </w:r>
      <w:r>
        <w:rPr>
          <w:rFonts w:ascii="微软雅黑" w:hAnsi="微软雅黑" w:eastAsia="微软雅黑" w:cs="微软雅黑"/>
          <w:color w:val="231F20"/>
          <w:spacing w:val="7"/>
          <w:sz w:val="22"/>
          <w:szCs w:val="22"/>
        </w:rPr>
        <w:t>金</w:t>
      </w:r>
      <w:r>
        <w:rPr>
          <w:rFonts w:ascii="微软雅黑" w:hAnsi="微软雅黑" w:eastAsia="微软雅黑" w:cs="微软雅黑"/>
          <w:color w:val="231F20"/>
          <w:spacing w:val="4"/>
          <w:sz w:val="22"/>
          <w:szCs w:val="22"/>
        </w:rPr>
        <w:t>融支持广州市稳外资战略合作计划 ，促进外资稳定发展。深圳市围绕“法制</w:t>
      </w:r>
      <w:r>
        <w:rPr>
          <w:rFonts w:ascii="Times New Roman" w:hAnsi="Times New Roman" w:eastAsia="Times New Roman" w:cs="Times New Roman"/>
          <w:color w:val="231F20"/>
          <w:spacing w:val="4"/>
          <w:sz w:val="22"/>
          <w:szCs w:val="22"/>
        </w:rPr>
        <w:t>+</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1"/>
          <w:sz w:val="22"/>
          <w:szCs w:val="22"/>
        </w:rPr>
        <w:t xml:space="preserve">政策 </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服务”三大理念，积极推进《深圳经</w:t>
      </w:r>
      <w:r>
        <w:rPr>
          <w:rFonts w:ascii="微软雅黑" w:hAnsi="微软雅黑" w:eastAsia="微软雅黑" w:cs="微软雅黑"/>
          <w:color w:val="231F20"/>
          <w:sz w:val="22"/>
          <w:szCs w:val="22"/>
        </w:rPr>
        <w:t xml:space="preserve">济特区外商投资条例》立法工作，  以“市 </w:t>
      </w:r>
      <w:r>
        <w:rPr>
          <w:rFonts w:ascii="微软雅黑" w:hAnsi="微软雅黑" w:eastAsia="微软雅黑" w:cs="微软雅黑"/>
          <w:color w:val="231F20"/>
          <w:spacing w:val="1"/>
          <w:sz w:val="22"/>
          <w:szCs w:val="22"/>
        </w:rPr>
        <w:t xml:space="preserve">级 </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 xml:space="preserve">区级 </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园区”模式建设“深圳市外企服</w:t>
      </w:r>
      <w:r>
        <w:rPr>
          <w:rFonts w:ascii="微软雅黑" w:hAnsi="微软雅黑" w:eastAsia="微软雅黑" w:cs="微软雅黑"/>
          <w:color w:val="231F20"/>
          <w:sz w:val="22"/>
          <w:szCs w:val="22"/>
        </w:rPr>
        <w:t xml:space="preserve">务工作站”服务外商投资企业 ，配套建设 </w:t>
      </w:r>
      <w:r>
        <w:rPr>
          <w:rFonts w:ascii="微软雅黑" w:hAnsi="微软雅黑" w:eastAsia="微软雅黑" w:cs="微软雅黑"/>
          <w:color w:val="231F20"/>
          <w:spacing w:val="2"/>
          <w:sz w:val="22"/>
          <w:szCs w:val="22"/>
        </w:rPr>
        <w:t>“深圳外商投资促进服务信息平台”，健全外资服务机制</w:t>
      </w:r>
      <w:r>
        <w:rPr>
          <w:rFonts w:ascii="微软雅黑" w:hAnsi="微软雅黑" w:eastAsia="微软雅黑" w:cs="微软雅黑"/>
          <w:color w:val="231F20"/>
          <w:sz w:val="22"/>
          <w:szCs w:val="22"/>
        </w:rPr>
        <w:t>。</w:t>
      </w:r>
    </w:p>
    <w:p>
      <w:pPr>
        <w:spacing w:before="195" w:line="221" w:lineRule="auto"/>
        <w:ind w:left="2462"/>
        <w:rPr>
          <w:rFonts w:ascii="SimHei" w:hAnsi="SimHei" w:eastAsia="SimHei" w:cs="SimHei"/>
          <w:sz w:val="24"/>
          <w:szCs w:val="24"/>
        </w:rPr>
      </w:pPr>
      <w:r>
        <w:rPr>
          <w:rFonts w:ascii="SimHei" w:hAnsi="SimHei" w:eastAsia="SimHei" w:cs="SimHei"/>
          <w:color w:val="015DAC"/>
          <w:spacing w:val="7"/>
          <w:sz w:val="24"/>
          <w:szCs w:val="24"/>
        </w:rPr>
        <w:t>(四) 推进粤港澳大湾区投资合</w:t>
      </w:r>
      <w:r>
        <w:rPr>
          <w:rFonts w:ascii="SimHei" w:hAnsi="SimHei" w:eastAsia="SimHei" w:cs="SimHei"/>
          <w:color w:val="015DAC"/>
          <w:spacing w:val="6"/>
          <w:sz w:val="24"/>
          <w:szCs w:val="24"/>
        </w:rPr>
        <w:t>作</w:t>
      </w:r>
    </w:p>
    <w:p>
      <w:pPr>
        <w:spacing w:before="333" w:line="272" w:lineRule="auto"/>
        <w:ind w:left="1996" w:right="1981" w:firstLine="445"/>
        <w:rPr>
          <w:rFonts w:ascii="微软雅黑" w:hAnsi="微软雅黑" w:eastAsia="微软雅黑" w:cs="微软雅黑"/>
          <w:sz w:val="22"/>
          <w:szCs w:val="22"/>
        </w:rPr>
      </w:pP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年围绕粤港澳大湾区建设，  中共中央、</w:t>
      </w:r>
      <w:r>
        <w:rPr>
          <w:rFonts w:ascii="微软雅黑" w:hAnsi="微软雅黑" w:eastAsia="微软雅黑" w:cs="微软雅黑"/>
          <w:color w:val="231F20"/>
          <w:spacing w:val="-1"/>
          <w:sz w:val="22"/>
          <w:szCs w:val="22"/>
        </w:rPr>
        <w:t>国务院发布《横琴粤澳深度合作区建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设总体方案》《全面深化前海深港现代服务业合</w:t>
      </w:r>
      <w:r>
        <w:rPr>
          <w:rFonts w:ascii="微软雅黑" w:hAnsi="微软雅黑" w:eastAsia="微软雅黑" w:cs="微软雅黑"/>
          <w:color w:val="231F20"/>
          <w:spacing w:val="1"/>
          <w:sz w:val="22"/>
          <w:szCs w:val="22"/>
        </w:rPr>
        <w:t>作区改革开放方案》等文件 ，促进粤</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6102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401" name="IM 401"/>
            <wp:cNvGraphicFramePr/>
            <a:graphic xmlns:a="http://schemas.openxmlformats.org/drawingml/2006/main">
              <a:graphicData uri="http://schemas.openxmlformats.org/drawingml/2006/picture">
                <pic:pic xmlns:pic="http://schemas.openxmlformats.org/drawingml/2006/picture">
                  <pic:nvPicPr>
                    <pic:cNvPr id="401" name="IM 401"/>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r>
        <w:rPr>
          <w:rFonts w:ascii="Arial" w:hAnsi="Arial" w:eastAsia="Arial" w:cs="Arial"/>
          <w:color w:val="231F20"/>
          <w:spacing w:val="41"/>
          <w:sz w:val="20"/>
          <w:szCs w:val="20"/>
        </w:rPr>
        <w:t>8</w:t>
      </w:r>
      <w:r>
        <w:rPr>
          <w:rFonts w:ascii="Arial" w:hAnsi="Arial" w:eastAsia="Arial" w:cs="Arial"/>
          <w:color w:val="231F20"/>
          <w:spacing w:val="21"/>
          <w:sz w:val="20"/>
          <w:szCs w:val="20"/>
        </w:rPr>
        <w:t xml:space="preserve">6  </w:t>
      </w:r>
      <w:r>
        <w:rPr>
          <w:position w:val="-5"/>
          <w:sz w:val="20"/>
          <w:szCs w:val="20"/>
        </w:rPr>
        <w:drawing>
          <wp:inline distT="0" distB="0" distL="0" distR="0">
            <wp:extent cx="3175" cy="14732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403" name="IM 403"/>
            <wp:cNvGraphicFramePr/>
            <a:graphic xmlns:a="http://schemas.openxmlformats.org/drawingml/2006/main">
              <a:graphicData uri="http://schemas.openxmlformats.org/drawingml/2006/picture">
                <pic:pic xmlns:pic="http://schemas.openxmlformats.org/drawingml/2006/picture">
                  <pic:nvPicPr>
                    <pic:cNvPr id="403" name="IM 403"/>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95" w:line="202" w:lineRule="auto"/>
        <w:ind w:left="1992"/>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港澳大湾</w:t>
      </w:r>
      <w:r>
        <w:rPr>
          <w:rFonts w:ascii="微软雅黑" w:hAnsi="微软雅黑" w:eastAsia="微软雅黑" w:cs="微软雅黑"/>
          <w:color w:val="231F20"/>
          <w:spacing w:val="-3"/>
          <w:sz w:val="22"/>
          <w:szCs w:val="22"/>
        </w:rPr>
        <w:t>区</w:t>
      </w:r>
      <w:r>
        <w:rPr>
          <w:rFonts w:ascii="微软雅黑" w:hAnsi="微软雅黑" w:eastAsia="微软雅黑" w:cs="微软雅黑"/>
          <w:color w:val="231F20"/>
          <w:spacing w:val="-2"/>
          <w:sz w:val="22"/>
          <w:szCs w:val="22"/>
        </w:rPr>
        <w:t>投资合作 ，拓展港澳企业发展空间。</w:t>
      </w:r>
    </w:p>
    <w:p>
      <w:pPr>
        <w:spacing w:before="309" w:line="260" w:lineRule="auto"/>
        <w:ind w:left="1989" w:right="1983" w:firstLine="455"/>
        <w:rPr>
          <w:rFonts w:ascii="微软雅黑" w:hAnsi="微软雅黑" w:eastAsia="微软雅黑" w:cs="微软雅黑"/>
          <w:sz w:val="22"/>
          <w:szCs w:val="22"/>
        </w:rPr>
      </w:pPr>
      <w:r>
        <w:rPr>
          <w:rFonts w:ascii="SimHei" w:hAnsi="SimHei" w:eastAsia="SimHei" w:cs="SimHei"/>
          <w:color w:val="231F20"/>
          <w:spacing w:val="6"/>
          <w:sz w:val="22"/>
          <w:szCs w:val="22"/>
        </w:rPr>
        <w:t>提升粤</w:t>
      </w:r>
      <w:r>
        <w:rPr>
          <w:rFonts w:ascii="SimHei" w:hAnsi="SimHei" w:eastAsia="SimHei" w:cs="SimHei"/>
          <w:color w:val="231F20"/>
          <w:spacing w:val="4"/>
          <w:sz w:val="22"/>
          <w:szCs w:val="22"/>
        </w:rPr>
        <w:t>港</w:t>
      </w:r>
      <w:r>
        <w:rPr>
          <w:rFonts w:ascii="SimHei" w:hAnsi="SimHei" w:eastAsia="SimHei" w:cs="SimHei"/>
          <w:color w:val="231F20"/>
          <w:spacing w:val="3"/>
          <w:sz w:val="22"/>
          <w:szCs w:val="22"/>
        </w:rPr>
        <w:t>澳投资便利化水平。</w:t>
      </w:r>
      <w:r>
        <w:rPr>
          <w:rFonts w:ascii="微软雅黑" w:hAnsi="微软雅黑" w:eastAsia="微软雅黑" w:cs="微软雅黑"/>
          <w:color w:val="231F20"/>
          <w:spacing w:val="3"/>
          <w:sz w:val="22"/>
          <w:szCs w:val="22"/>
        </w:rPr>
        <w:t>广东在《内地与香港关于建立更紧密经贸关系的安</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排》</w:t>
      </w:r>
      <w:r>
        <w:rPr>
          <w:rFonts w:ascii="微软雅黑" w:hAnsi="微软雅黑" w:eastAsia="微软雅黑" w:cs="微软雅黑"/>
          <w:color w:val="231F20"/>
          <w:spacing w:val="-3"/>
          <w:sz w:val="22"/>
          <w:szCs w:val="22"/>
        </w:rPr>
        <w:t xml:space="preserve">   ( </w:t>
      </w:r>
      <w:r>
        <w:rPr>
          <w:rFonts w:ascii="Times New Roman" w:hAnsi="Times New Roman" w:eastAsia="Times New Roman" w:cs="Times New Roman"/>
          <w:color w:val="231F20"/>
          <w:spacing w:val="-3"/>
          <w:sz w:val="22"/>
          <w:szCs w:val="22"/>
        </w:rPr>
        <w:t xml:space="preserve">CEPA </w:t>
      </w:r>
      <w:r>
        <w:rPr>
          <w:rFonts w:ascii="微软雅黑" w:hAnsi="微软雅黑" w:eastAsia="微软雅黑" w:cs="微软雅黑"/>
          <w:color w:val="231F20"/>
          <w:spacing w:val="-3"/>
          <w:sz w:val="22"/>
          <w:szCs w:val="22"/>
        </w:rPr>
        <w:t>) 框架下对港澳实施更短的负面清单 ，降低港澳机构在粤港澳大湾区投资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服务业的准入门槛 ，便利港澳企业投资。  目前港</w:t>
      </w:r>
      <w:r>
        <w:rPr>
          <w:rFonts w:ascii="微软雅黑" w:hAnsi="微软雅黑" w:eastAsia="微软雅黑" w:cs="微软雅黑"/>
          <w:color w:val="231F20"/>
          <w:spacing w:val="-1"/>
          <w:sz w:val="22"/>
          <w:szCs w:val="22"/>
        </w:rPr>
        <w:t>澳企业在法律、会计、建筑等领域投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资营商享受国民待遇 ，港澳企业商事登记实现“ 一 网通办” ，企业开办时间压缩到 </w:t>
      </w:r>
      <w:r>
        <w:rPr>
          <w:rFonts w:ascii="Times New Roman" w:hAnsi="Times New Roman" w:eastAsia="Times New Roman" w:cs="Times New Roman"/>
          <w:color w:val="231F20"/>
          <w:spacing w:val="-1"/>
          <w:sz w:val="22"/>
          <w:szCs w:val="22"/>
        </w:rPr>
        <w:t>1</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pacing w:val="2"/>
          <w:sz w:val="22"/>
          <w:szCs w:val="22"/>
        </w:rPr>
        <w:t>个工作日内办结。横琴合作区推出商事登记跨境通办服务 ，澳门企</w:t>
      </w:r>
      <w:r>
        <w:rPr>
          <w:rFonts w:ascii="微软雅黑" w:hAnsi="微软雅黑" w:eastAsia="微软雅黑" w:cs="微软雅黑"/>
          <w:color w:val="231F20"/>
          <w:spacing w:val="1"/>
          <w:sz w:val="22"/>
          <w:szCs w:val="22"/>
        </w:rPr>
        <w:t>业足不出户即可落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户合作区，   自揭牌以来新设立澳资企业 </w:t>
      </w:r>
      <w:r>
        <w:rPr>
          <w:rFonts w:ascii="Times New Roman" w:hAnsi="Times New Roman" w:eastAsia="Times New Roman" w:cs="Times New Roman"/>
          <w:color w:val="231F20"/>
          <w:spacing w:val="-6"/>
          <w:sz w:val="22"/>
          <w:szCs w:val="22"/>
        </w:rPr>
        <w:t xml:space="preserve">253 </w:t>
      </w:r>
      <w:r>
        <w:rPr>
          <w:rFonts w:ascii="微软雅黑" w:hAnsi="微软雅黑" w:eastAsia="微软雅黑" w:cs="微软雅黑"/>
          <w:color w:val="231F20"/>
          <w:spacing w:val="-6"/>
          <w:sz w:val="22"/>
          <w:szCs w:val="22"/>
        </w:rPr>
        <w:t xml:space="preserve">家 ，实有澳资企业 </w:t>
      </w:r>
      <w:r>
        <w:rPr>
          <w:rFonts w:ascii="Times New Roman" w:hAnsi="Times New Roman" w:eastAsia="Times New Roman" w:cs="Times New Roman"/>
          <w:color w:val="231F20"/>
          <w:spacing w:val="-6"/>
          <w:sz w:val="22"/>
          <w:szCs w:val="22"/>
        </w:rPr>
        <w:t xml:space="preserve">4771 </w:t>
      </w:r>
      <w:r>
        <w:rPr>
          <w:rFonts w:ascii="微软雅黑" w:hAnsi="微软雅黑" w:eastAsia="微软雅黑" w:cs="微软雅黑"/>
          <w:color w:val="231F20"/>
          <w:spacing w:val="-6"/>
          <w:sz w:val="22"/>
          <w:szCs w:val="22"/>
        </w:rPr>
        <w:t>家</w:t>
      </w:r>
      <w:r>
        <w:rPr>
          <w:rFonts w:ascii="微软雅黑" w:hAnsi="微软雅黑" w:eastAsia="微软雅黑" w:cs="微软雅黑"/>
          <w:color w:val="231F20"/>
          <w:spacing w:val="-4"/>
          <w:sz w:val="22"/>
          <w:szCs w:val="22"/>
        </w:rPr>
        <w:t>。</w:t>
      </w:r>
    </w:p>
    <w:p>
      <w:pPr>
        <w:spacing w:before="174" w:line="261" w:lineRule="auto"/>
        <w:ind w:left="1991" w:right="1985" w:firstLine="454"/>
        <w:rPr>
          <w:rFonts w:ascii="微软雅黑" w:hAnsi="微软雅黑" w:eastAsia="微软雅黑" w:cs="微软雅黑"/>
          <w:sz w:val="22"/>
          <w:szCs w:val="22"/>
        </w:rPr>
      </w:pPr>
      <w:r>
        <w:rPr>
          <w:rFonts w:ascii="SimHei" w:hAnsi="SimHei" w:eastAsia="SimHei" w:cs="SimHei"/>
          <w:color w:val="231F20"/>
          <w:spacing w:val="2"/>
          <w:sz w:val="22"/>
          <w:szCs w:val="22"/>
        </w:rPr>
        <w:t>促进粤港澳人才跨境高效流动</w:t>
      </w:r>
      <w:r>
        <w:rPr>
          <w:rFonts w:ascii="SimHei" w:hAnsi="SimHei" w:eastAsia="SimHei" w:cs="SimHei"/>
          <w:color w:val="231F20"/>
          <w:spacing w:val="1"/>
          <w:sz w:val="22"/>
          <w:szCs w:val="22"/>
        </w:rPr>
        <w:t>。</w:t>
      </w:r>
      <w:r>
        <w:rPr>
          <w:rFonts w:ascii="微软雅黑" w:hAnsi="微软雅黑" w:eastAsia="微软雅黑" w:cs="微软雅黑"/>
          <w:color w:val="231F20"/>
          <w:spacing w:val="1"/>
          <w:sz w:val="22"/>
          <w:szCs w:val="22"/>
        </w:rPr>
        <w:t>放宽赴港澳签注管理 ，试行往返港澳便利政策。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推进大湾区职称评价和职业资格认可 ，支持符合条件的港</w:t>
      </w:r>
      <w:r>
        <w:rPr>
          <w:rFonts w:ascii="微软雅黑" w:hAnsi="微软雅黑" w:eastAsia="微软雅黑" w:cs="微软雅黑"/>
          <w:color w:val="231F20"/>
          <w:spacing w:val="1"/>
          <w:sz w:val="22"/>
          <w:szCs w:val="22"/>
        </w:rPr>
        <w:t>澳专业人才申报职称评审、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参加职业资格考试 ，促进粤港澳人才互认 ，加强人才流</w:t>
      </w:r>
      <w:r>
        <w:rPr>
          <w:rFonts w:ascii="微软雅黑" w:hAnsi="微软雅黑" w:eastAsia="微软雅黑" w:cs="微软雅黑"/>
          <w:color w:val="231F20"/>
          <w:spacing w:val="-1"/>
          <w:sz w:val="22"/>
          <w:szCs w:val="22"/>
        </w:rPr>
        <w:t>动 ，为粤港澳大湾区发展提供</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人才支持。如横琴合作区港澳建筑工程和专业人士跨境备案系统正式启用，  累计 </w:t>
      </w:r>
      <w:r>
        <w:rPr>
          <w:rFonts w:ascii="Times New Roman" w:hAnsi="Times New Roman" w:eastAsia="Times New Roman" w:cs="Times New Roman"/>
          <w:color w:val="231F20"/>
          <w:spacing w:val="2"/>
          <w:sz w:val="22"/>
          <w:szCs w:val="22"/>
        </w:rPr>
        <w:t>6</w:t>
      </w:r>
      <w:r>
        <w:rPr>
          <w:rFonts w:ascii="Times New Roman" w:hAnsi="Times New Roman" w:eastAsia="Times New Roman" w:cs="Times New Roman"/>
          <w:color w:val="231F20"/>
          <w:sz w:val="22"/>
          <w:szCs w:val="22"/>
        </w:rPr>
        <w:t xml:space="preserve">3 </w:t>
      </w:r>
      <w:r>
        <w:rPr>
          <w:rFonts w:ascii="微软雅黑" w:hAnsi="微软雅黑" w:eastAsia="微软雅黑" w:cs="微软雅黑"/>
          <w:color w:val="231F20"/>
          <w:spacing w:val="3"/>
          <w:sz w:val="22"/>
          <w:szCs w:val="22"/>
        </w:rPr>
        <w:t>家港澳企业和</w:t>
      </w:r>
      <w:r>
        <w:rPr>
          <w:rFonts w:ascii="Times New Roman" w:hAnsi="Times New Roman" w:eastAsia="Times New Roman" w:cs="Times New Roman"/>
          <w:color w:val="231F20"/>
          <w:spacing w:val="3"/>
          <w:sz w:val="22"/>
          <w:szCs w:val="22"/>
        </w:rPr>
        <w:t xml:space="preserve">324 </w:t>
      </w:r>
      <w:r>
        <w:rPr>
          <w:rFonts w:ascii="微软雅黑" w:hAnsi="微软雅黑" w:eastAsia="微软雅黑" w:cs="微软雅黑"/>
          <w:color w:val="231F20"/>
          <w:spacing w:val="3"/>
          <w:sz w:val="22"/>
          <w:szCs w:val="22"/>
        </w:rPr>
        <w:t>名专业人士获跨境执业资格。</w:t>
      </w:r>
    </w:p>
    <w:p>
      <w:pPr>
        <w:spacing w:before="171" w:line="266" w:lineRule="auto"/>
        <w:ind w:left="1989" w:right="1893" w:firstLine="454"/>
        <w:rPr>
          <w:rFonts w:ascii="微软雅黑" w:hAnsi="微软雅黑" w:eastAsia="微软雅黑" w:cs="微软雅黑"/>
          <w:sz w:val="22"/>
          <w:szCs w:val="22"/>
        </w:rPr>
      </w:pPr>
      <w:r>
        <w:rPr>
          <w:rFonts w:ascii="SimHei" w:hAnsi="SimHei" w:eastAsia="SimHei" w:cs="SimHei"/>
          <w:color w:val="231F20"/>
          <w:spacing w:val="6"/>
          <w:sz w:val="22"/>
          <w:szCs w:val="22"/>
        </w:rPr>
        <w:t>优化粤港</w:t>
      </w:r>
      <w:r>
        <w:rPr>
          <w:rFonts w:ascii="SimHei" w:hAnsi="SimHei" w:eastAsia="SimHei" w:cs="SimHei"/>
          <w:color w:val="231F20"/>
          <w:spacing w:val="3"/>
          <w:sz w:val="22"/>
          <w:szCs w:val="22"/>
        </w:rPr>
        <w:t>澳大湾区港澳企业投资政策。</w:t>
      </w:r>
      <w:r>
        <w:rPr>
          <w:rFonts w:ascii="微软雅黑" w:hAnsi="微软雅黑" w:eastAsia="微软雅黑" w:cs="微软雅黑"/>
          <w:color w:val="231F20"/>
          <w:spacing w:val="3"/>
          <w:sz w:val="22"/>
          <w:szCs w:val="22"/>
        </w:rPr>
        <w:t>在粤港澳大湾区探索试点港澳机构与大型</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银行合</w:t>
      </w:r>
      <w:r>
        <w:rPr>
          <w:rFonts w:ascii="微软雅黑" w:hAnsi="微软雅黑" w:eastAsia="微软雅黑" w:cs="微软雅黑"/>
          <w:color w:val="231F20"/>
          <w:sz w:val="22"/>
          <w:szCs w:val="22"/>
        </w:rPr>
        <w:t xml:space="preserve">资设立理财公司，保险资产管理公司参股境外资产管理机构等设立的理财公司。 </w:t>
      </w:r>
      <w:r>
        <w:rPr>
          <w:rFonts w:ascii="微软雅黑" w:hAnsi="微软雅黑" w:eastAsia="微软雅黑" w:cs="微软雅黑"/>
          <w:color w:val="231F20"/>
          <w:spacing w:val="1"/>
          <w:sz w:val="22"/>
          <w:szCs w:val="22"/>
        </w:rPr>
        <w:t>支持外资机构设立或控股证券、基金、期货、保险公司在粤港澳大湾区内</w:t>
      </w:r>
      <w:r>
        <w:rPr>
          <w:rFonts w:ascii="微软雅黑" w:hAnsi="微软雅黑" w:eastAsia="微软雅黑" w:cs="微软雅黑"/>
          <w:color w:val="231F20"/>
          <w:sz w:val="22"/>
          <w:szCs w:val="22"/>
        </w:rPr>
        <w:t>地落地。</w:t>
      </w:r>
    </w:p>
    <w:p>
      <w:pPr>
        <w:spacing w:before="179" w:line="222" w:lineRule="auto"/>
        <w:ind w:left="2462"/>
        <w:rPr>
          <w:rFonts w:ascii="SimHei" w:hAnsi="SimHei" w:eastAsia="SimHei" w:cs="SimHei"/>
          <w:sz w:val="24"/>
          <w:szCs w:val="24"/>
        </w:rPr>
      </w:pPr>
      <w:r>
        <w:rPr>
          <w:rFonts w:ascii="SimHei" w:hAnsi="SimHei" w:eastAsia="SimHei" w:cs="SimHei"/>
          <w:color w:val="015DAC"/>
          <w:spacing w:val="7"/>
          <w:sz w:val="24"/>
          <w:szCs w:val="24"/>
        </w:rPr>
        <w:t>(五) 加强外商投资合法权益保</w:t>
      </w:r>
      <w:r>
        <w:rPr>
          <w:rFonts w:ascii="SimHei" w:hAnsi="SimHei" w:eastAsia="SimHei" w:cs="SimHei"/>
          <w:color w:val="015DAC"/>
          <w:spacing w:val="6"/>
          <w:sz w:val="24"/>
          <w:szCs w:val="24"/>
        </w:rPr>
        <w:t>护</w:t>
      </w:r>
    </w:p>
    <w:p>
      <w:pPr>
        <w:spacing w:before="335" w:line="259" w:lineRule="auto"/>
        <w:ind w:left="1990" w:right="1978" w:firstLine="451"/>
        <w:rPr>
          <w:rFonts w:ascii="微软雅黑" w:hAnsi="微软雅黑" w:eastAsia="微软雅黑" w:cs="微软雅黑"/>
          <w:sz w:val="22"/>
          <w:szCs w:val="22"/>
        </w:rPr>
      </w:pPr>
      <w:r>
        <w:rPr>
          <w:rFonts w:ascii="Times New Roman" w:hAnsi="Times New Roman" w:eastAsia="Times New Roman" w:cs="Times New Roman"/>
          <w:color w:val="231F20"/>
          <w:spacing w:val="4"/>
          <w:sz w:val="22"/>
          <w:szCs w:val="22"/>
        </w:rPr>
        <w:t>2</w:t>
      </w:r>
      <w:r>
        <w:rPr>
          <w:rFonts w:ascii="Times New Roman" w:hAnsi="Times New Roman" w:eastAsia="Times New Roman" w:cs="Times New Roman"/>
          <w:color w:val="231F20"/>
          <w:spacing w:val="2"/>
          <w:sz w:val="22"/>
          <w:szCs w:val="22"/>
        </w:rPr>
        <w:t xml:space="preserve">022 </w:t>
      </w:r>
      <w:r>
        <w:rPr>
          <w:rFonts w:ascii="微软雅黑" w:hAnsi="微软雅黑" w:eastAsia="微软雅黑" w:cs="微软雅黑"/>
          <w:color w:val="231F20"/>
          <w:spacing w:val="2"/>
          <w:sz w:val="22"/>
          <w:szCs w:val="22"/>
        </w:rPr>
        <w:t xml:space="preserve">年 </w:t>
      </w:r>
      <w:r>
        <w:rPr>
          <w:rFonts w:ascii="Times New Roman" w:hAnsi="Times New Roman" w:eastAsia="Times New Roman" w:cs="Times New Roman"/>
          <w:color w:val="231F20"/>
          <w:spacing w:val="2"/>
          <w:sz w:val="22"/>
          <w:szCs w:val="22"/>
        </w:rPr>
        <w:t xml:space="preserve">1 </w:t>
      </w:r>
      <w:r>
        <w:rPr>
          <w:rFonts w:ascii="微软雅黑" w:hAnsi="微软雅黑" w:eastAsia="微软雅黑" w:cs="微软雅黑"/>
          <w:color w:val="231F20"/>
          <w:spacing w:val="2"/>
          <w:sz w:val="22"/>
          <w:szCs w:val="22"/>
        </w:rPr>
        <w:t xml:space="preserve">月 </w:t>
      </w:r>
      <w:r>
        <w:rPr>
          <w:rFonts w:ascii="Times New Roman" w:hAnsi="Times New Roman" w:eastAsia="Times New Roman" w:cs="Times New Roman"/>
          <w:color w:val="231F20"/>
          <w:spacing w:val="2"/>
          <w:sz w:val="22"/>
          <w:szCs w:val="22"/>
        </w:rPr>
        <w:t xml:space="preserve">16 </w:t>
      </w:r>
      <w:r>
        <w:rPr>
          <w:rFonts w:ascii="微软雅黑" w:hAnsi="微软雅黑" w:eastAsia="微软雅黑" w:cs="微软雅黑"/>
          <w:color w:val="231F20"/>
          <w:spacing w:val="2"/>
          <w:sz w:val="22"/>
          <w:szCs w:val="22"/>
        </w:rPr>
        <w:t>日 ，广东省十三届人大常委会第三十九次会议表决通过《广东省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外商</w:t>
      </w:r>
      <w:r>
        <w:rPr>
          <w:rFonts w:ascii="微软雅黑" w:hAnsi="微软雅黑" w:eastAsia="微软雅黑" w:cs="微软雅黑"/>
          <w:color w:val="231F20"/>
          <w:sz w:val="22"/>
          <w:szCs w:val="22"/>
        </w:rPr>
        <w:t xml:space="preserve">投资权益保护条例》  ，针对外商投资企业关切的知识产权保护、标准制定、政府 </w:t>
      </w:r>
      <w:r>
        <w:rPr>
          <w:rFonts w:ascii="微软雅黑" w:hAnsi="微软雅黑" w:eastAsia="微软雅黑" w:cs="微软雅黑"/>
          <w:color w:val="231F20"/>
          <w:spacing w:val="2"/>
          <w:sz w:val="22"/>
          <w:szCs w:val="22"/>
        </w:rPr>
        <w:t>采购、技术合作等权益问题 ，制定了明确的规定。如在健全知识产权保护机制</w:t>
      </w:r>
      <w:r>
        <w:rPr>
          <w:rFonts w:ascii="微软雅黑" w:hAnsi="微软雅黑" w:eastAsia="微软雅黑" w:cs="微软雅黑"/>
          <w:color w:val="231F20"/>
          <w:spacing w:val="1"/>
          <w:sz w:val="22"/>
          <w:szCs w:val="22"/>
        </w:rPr>
        <w:t>方</w:t>
      </w:r>
      <w:r>
        <w:rPr>
          <w:rFonts w:ascii="微软雅黑" w:hAnsi="微软雅黑" w:eastAsia="微软雅黑" w:cs="微软雅黑"/>
          <w:color w:val="231F20"/>
          <w:sz w:val="22"/>
          <w:szCs w:val="22"/>
        </w:rPr>
        <w:t xml:space="preserve">面， </w:t>
      </w:r>
      <w:r>
        <w:rPr>
          <w:rFonts w:ascii="微软雅黑" w:hAnsi="微软雅黑" w:eastAsia="微软雅黑" w:cs="微软雅黑"/>
          <w:color w:val="231F20"/>
          <w:spacing w:val="6"/>
          <w:sz w:val="22"/>
          <w:szCs w:val="22"/>
        </w:rPr>
        <w:t>条例明确要建立</w:t>
      </w:r>
      <w:r>
        <w:rPr>
          <w:rFonts w:ascii="微软雅黑" w:hAnsi="微软雅黑" w:eastAsia="微软雅黑" w:cs="微软雅黑"/>
          <w:color w:val="231F20"/>
          <w:spacing w:val="4"/>
          <w:sz w:val="22"/>
          <w:szCs w:val="22"/>
        </w:rPr>
        <w:t>跨</w:t>
      </w:r>
      <w:r>
        <w:rPr>
          <w:rFonts w:ascii="微软雅黑" w:hAnsi="微软雅黑" w:eastAsia="微软雅黑" w:cs="微软雅黑"/>
          <w:color w:val="231F20"/>
          <w:spacing w:val="3"/>
          <w:sz w:val="22"/>
          <w:szCs w:val="22"/>
        </w:rPr>
        <w:t>区域、跨部门知识产权快速协同保护机制，保障外商投资企业依法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公平利</w:t>
      </w:r>
      <w:r>
        <w:rPr>
          <w:rFonts w:ascii="微软雅黑" w:hAnsi="微软雅黑" w:eastAsia="微软雅黑" w:cs="微软雅黑"/>
          <w:color w:val="231F20"/>
          <w:sz w:val="22"/>
          <w:szCs w:val="22"/>
        </w:rPr>
        <w:t xml:space="preserve">用知识产权公共服务资源，  同等享受知识产权快速审查、快速确权和快速维权 </w:t>
      </w:r>
      <w:r>
        <w:rPr>
          <w:rFonts w:ascii="微软雅黑" w:hAnsi="微软雅黑" w:eastAsia="微软雅黑" w:cs="微软雅黑"/>
          <w:color w:val="231F20"/>
          <w:spacing w:val="6"/>
          <w:sz w:val="22"/>
          <w:szCs w:val="22"/>
        </w:rPr>
        <w:t>方面的服务以及依</w:t>
      </w:r>
      <w:r>
        <w:rPr>
          <w:rFonts w:ascii="微软雅黑" w:hAnsi="微软雅黑" w:eastAsia="微软雅黑" w:cs="微软雅黑"/>
          <w:color w:val="231F20"/>
          <w:spacing w:val="4"/>
          <w:sz w:val="22"/>
          <w:szCs w:val="22"/>
        </w:rPr>
        <w:t>法</w:t>
      </w:r>
      <w:r>
        <w:rPr>
          <w:rFonts w:ascii="微软雅黑" w:hAnsi="微软雅黑" w:eastAsia="微软雅黑" w:cs="微软雅黑"/>
          <w:color w:val="231F20"/>
          <w:spacing w:val="3"/>
          <w:sz w:val="22"/>
          <w:szCs w:val="22"/>
        </w:rPr>
        <w:t>适用惩罚性赔偿制度。条例的出台有利于更好保护外商投资的合</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法权益 ，为广东高水平对外开放</w:t>
      </w:r>
      <w:r>
        <w:rPr>
          <w:rFonts w:ascii="微软雅黑" w:hAnsi="微软雅黑" w:eastAsia="微软雅黑" w:cs="微软雅黑"/>
          <w:color w:val="231F20"/>
          <w:spacing w:val="-1"/>
          <w:sz w:val="22"/>
          <w:szCs w:val="22"/>
        </w:rPr>
        <w:t>提供强有力的法治保障。</w:t>
      </w:r>
    </w:p>
    <w:p>
      <w:pPr>
        <w:spacing w:before="179" w:line="221" w:lineRule="auto"/>
        <w:ind w:left="2462"/>
        <w:rPr>
          <w:rFonts w:ascii="SimHei" w:hAnsi="SimHei" w:eastAsia="SimHei" w:cs="SimHei"/>
          <w:sz w:val="24"/>
          <w:szCs w:val="24"/>
        </w:rPr>
      </w:pPr>
      <w:r>
        <w:rPr>
          <w:rFonts w:ascii="SimHei" w:hAnsi="SimHei" w:eastAsia="SimHei" w:cs="SimHei"/>
          <w:color w:val="015DAC"/>
          <w:spacing w:val="7"/>
          <w:sz w:val="24"/>
          <w:szCs w:val="24"/>
        </w:rPr>
        <w:t>(六) 完善外商投资促进合作机</w:t>
      </w:r>
      <w:r>
        <w:rPr>
          <w:rFonts w:ascii="SimHei" w:hAnsi="SimHei" w:eastAsia="SimHei" w:cs="SimHei"/>
          <w:color w:val="015DAC"/>
          <w:spacing w:val="6"/>
          <w:sz w:val="24"/>
          <w:szCs w:val="24"/>
        </w:rPr>
        <w:t>制</w:t>
      </w:r>
    </w:p>
    <w:p>
      <w:pPr>
        <w:spacing w:before="332" w:line="266" w:lineRule="auto"/>
        <w:ind w:left="1988" w:right="1898" w:firstLine="453"/>
        <w:rPr>
          <w:rFonts w:ascii="微软雅黑" w:hAnsi="微软雅黑" w:eastAsia="微软雅黑" w:cs="微软雅黑"/>
          <w:sz w:val="22"/>
          <w:szCs w:val="22"/>
        </w:rPr>
      </w:pP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4"/>
          <w:sz w:val="22"/>
          <w:szCs w:val="22"/>
        </w:rPr>
        <w:t>年 ，广东省配合商务部全面提升广交会能级 ，高质量建设完成广交会四</w:t>
      </w:r>
      <w:r>
        <w:rPr>
          <w:rFonts w:ascii="微软雅黑" w:hAnsi="微软雅黑" w:eastAsia="微软雅黑" w:cs="微软雅黑"/>
          <w:color w:val="231F20"/>
          <w:spacing w:val="2"/>
          <w:sz w:val="22"/>
          <w:szCs w:val="22"/>
        </w:rPr>
        <w:t>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展馆，举</w:t>
      </w:r>
      <w:r>
        <w:rPr>
          <w:rFonts w:ascii="微软雅黑" w:hAnsi="微软雅黑" w:eastAsia="微软雅黑" w:cs="微软雅黑"/>
          <w:color w:val="231F20"/>
          <w:spacing w:val="-3"/>
          <w:sz w:val="22"/>
          <w:szCs w:val="22"/>
        </w:rPr>
        <w:t>办</w:t>
      </w:r>
      <w:r>
        <w:rPr>
          <w:rFonts w:ascii="微软雅黑" w:hAnsi="微软雅黑" w:eastAsia="微软雅黑" w:cs="微软雅黑"/>
          <w:color w:val="231F20"/>
          <w:spacing w:val="-2"/>
          <w:sz w:val="22"/>
          <w:szCs w:val="22"/>
        </w:rPr>
        <w:t>了广交会 、高交会 、中博会 、海丝博览会 、</w:t>
      </w:r>
      <w:r>
        <w:rPr>
          <w:rFonts w:ascii="Times New Roman" w:hAnsi="Times New Roman" w:eastAsia="Times New Roman" w:cs="Times New Roman"/>
          <w:color w:val="231F20"/>
          <w:spacing w:val="-2"/>
          <w:sz w:val="22"/>
          <w:szCs w:val="22"/>
        </w:rPr>
        <w:t xml:space="preserve">2021 </w:t>
      </w:r>
      <w:r>
        <w:rPr>
          <w:rFonts w:ascii="微软雅黑" w:hAnsi="微软雅黑" w:eastAsia="微软雅黑" w:cs="微软雅黑"/>
          <w:color w:val="231F20"/>
          <w:spacing w:val="-2"/>
          <w:sz w:val="22"/>
          <w:szCs w:val="22"/>
        </w:rPr>
        <w:t>跨国公司投资广东年会、</w:t>
      </w:r>
      <w:r>
        <w:rPr>
          <w:rFonts w:ascii="微软雅黑" w:hAnsi="微软雅黑" w:eastAsia="微软雅黑" w:cs="微软雅黑"/>
          <w:color w:val="231F20"/>
          <w:sz w:val="22"/>
          <w:szCs w:val="22"/>
        </w:rPr>
        <w:t xml:space="preserve"> </w:t>
      </w:r>
      <w:r>
        <w:rPr>
          <w:rFonts w:ascii="Times New Roman" w:hAnsi="Times New Roman" w:eastAsia="Times New Roman" w:cs="Times New Roman"/>
          <w:color w:val="231F20"/>
          <w:spacing w:val="6"/>
          <w:sz w:val="22"/>
          <w:szCs w:val="22"/>
        </w:rPr>
        <w:t xml:space="preserve">2021 </w:t>
      </w:r>
      <w:r>
        <w:rPr>
          <w:rFonts w:ascii="微软雅黑" w:hAnsi="微软雅黑" w:eastAsia="微软雅黑" w:cs="微软雅黑"/>
          <w:color w:val="231F20"/>
          <w:spacing w:val="6"/>
          <w:sz w:val="22"/>
          <w:szCs w:val="22"/>
        </w:rPr>
        <w:t>前海招商大会 、</w:t>
      </w:r>
      <w:r>
        <w:rPr>
          <w:rFonts w:ascii="Times New Roman" w:hAnsi="Times New Roman" w:eastAsia="Times New Roman" w:cs="Times New Roman"/>
          <w:color w:val="231F20"/>
          <w:spacing w:val="6"/>
          <w:sz w:val="22"/>
          <w:szCs w:val="22"/>
        </w:rPr>
        <w:t xml:space="preserve">2021 </w:t>
      </w:r>
      <w:r>
        <w:rPr>
          <w:rFonts w:ascii="微软雅黑" w:hAnsi="微软雅黑" w:eastAsia="微软雅黑" w:cs="微软雅黑"/>
          <w:color w:val="231F20"/>
          <w:spacing w:val="6"/>
          <w:sz w:val="22"/>
          <w:szCs w:val="22"/>
        </w:rPr>
        <w:t>年第七届中国广州国际投资年会 、</w:t>
      </w:r>
      <w:r>
        <w:rPr>
          <w:rFonts w:ascii="Times New Roman" w:hAnsi="Times New Roman" w:eastAsia="Times New Roman" w:cs="Times New Roman"/>
          <w:color w:val="231F20"/>
          <w:spacing w:val="6"/>
          <w:sz w:val="22"/>
          <w:szCs w:val="22"/>
        </w:rPr>
        <w:t xml:space="preserve">2021 </w:t>
      </w:r>
      <w:r>
        <w:rPr>
          <w:rFonts w:ascii="微软雅黑" w:hAnsi="微软雅黑" w:eastAsia="微软雅黑" w:cs="微软雅黑"/>
          <w:color w:val="231F20"/>
          <w:spacing w:val="6"/>
          <w:sz w:val="22"/>
          <w:szCs w:val="22"/>
        </w:rPr>
        <w:t>深圳全球招商大</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6204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r>
        <w:rPr>
          <w:rFonts w:ascii="SimHei" w:hAnsi="SimHei" w:eastAsia="SimHei" w:cs="SimHei"/>
          <w:color w:val="1A67B3"/>
          <w:spacing w:val="35"/>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405" name="IM 405"/>
            <wp:cNvGraphicFramePr/>
            <a:graphic xmlns:a="http://schemas.openxmlformats.org/drawingml/2006/main">
              <a:graphicData uri="http://schemas.openxmlformats.org/drawingml/2006/picture">
                <pic:pic xmlns:pic="http://schemas.openxmlformats.org/drawingml/2006/picture">
                  <pic:nvPicPr>
                    <pic:cNvPr id="405" name="IM 405"/>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87</w:t>
      </w: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95" w:line="263" w:lineRule="auto"/>
        <w:ind w:left="1991" w:right="1983" w:hanging="1"/>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会等一 系列外资促进活动 。同时，  发挥广东国际商</w:t>
      </w:r>
      <w:r>
        <w:rPr>
          <w:rFonts w:ascii="微软雅黑" w:hAnsi="微软雅黑" w:eastAsia="微软雅黑" w:cs="微软雅黑"/>
          <w:color w:val="231F20"/>
          <w:sz w:val="22"/>
          <w:szCs w:val="22"/>
        </w:rPr>
        <w:t xml:space="preserve">会的投资促进作用 ，通过举办中 </w:t>
      </w:r>
      <w:r>
        <w:rPr>
          <w:rFonts w:ascii="微软雅黑" w:hAnsi="微软雅黑" w:eastAsia="微软雅黑" w:cs="微软雅黑"/>
          <w:color w:val="231F20"/>
          <w:spacing w:val="4"/>
          <w:sz w:val="22"/>
          <w:szCs w:val="22"/>
        </w:rPr>
        <w:t>印尼经贸合作 、探寻格鲁吉亚 、走进俄罗斯与白俄罗斯 、粤港澳大湾区与泰国东部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0"/>
          <w:sz w:val="22"/>
          <w:szCs w:val="22"/>
        </w:rPr>
        <w:t>经济走廊线</w:t>
      </w:r>
      <w:r>
        <w:rPr>
          <w:rFonts w:ascii="微软雅黑" w:hAnsi="微软雅黑" w:eastAsia="微软雅黑" w:cs="微软雅黑"/>
          <w:color w:val="231F20"/>
          <w:spacing w:val="8"/>
          <w:sz w:val="22"/>
          <w:szCs w:val="22"/>
        </w:rPr>
        <w:t>上</w:t>
      </w:r>
      <w:r>
        <w:rPr>
          <w:rFonts w:ascii="微软雅黑" w:hAnsi="微软雅黑" w:eastAsia="微软雅黑" w:cs="微软雅黑"/>
          <w:color w:val="231F20"/>
          <w:spacing w:val="5"/>
          <w:sz w:val="22"/>
          <w:szCs w:val="22"/>
        </w:rPr>
        <w:t>研讨会 、</w:t>
      </w:r>
      <w:r>
        <w:rPr>
          <w:rFonts w:ascii="Times New Roman" w:hAnsi="Times New Roman" w:eastAsia="Times New Roman" w:cs="Times New Roman"/>
          <w:color w:val="231F20"/>
          <w:spacing w:val="5"/>
          <w:sz w:val="22"/>
          <w:szCs w:val="22"/>
        </w:rPr>
        <w:t xml:space="preserve">2021 </w:t>
      </w:r>
      <w:r>
        <w:rPr>
          <w:rFonts w:ascii="微软雅黑" w:hAnsi="微软雅黑" w:eastAsia="微软雅黑" w:cs="微软雅黑"/>
          <w:color w:val="231F20"/>
          <w:spacing w:val="5"/>
          <w:sz w:val="22"/>
          <w:szCs w:val="22"/>
        </w:rPr>
        <w:t>以色列智能网联行业对接交流洽谈会等一系列对外交流</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洽谈活动 ，推介广东省营商环境，  吸引全球的企业来</w:t>
      </w:r>
      <w:r>
        <w:rPr>
          <w:rFonts w:ascii="微软雅黑" w:hAnsi="微软雅黑" w:eastAsia="微软雅黑" w:cs="微软雅黑"/>
          <w:color w:val="231F20"/>
          <w:sz w:val="22"/>
          <w:szCs w:val="22"/>
        </w:rPr>
        <w:t>粤投资兴业。</w:t>
      </w:r>
    </w:p>
    <w:p>
      <w:pPr>
        <w:spacing w:line="336" w:lineRule="auto"/>
        <w:rPr>
          <w:rFonts w:ascii="Arial"/>
          <w:sz w:val="21"/>
        </w:rPr>
      </w:pPr>
    </w:p>
    <w:p>
      <w:pPr>
        <w:spacing w:line="336" w:lineRule="auto"/>
        <w:rPr>
          <w:rFonts w:ascii="Arial"/>
          <w:sz w:val="21"/>
        </w:rPr>
      </w:pPr>
    </w:p>
    <w:p>
      <w:pPr>
        <w:spacing w:line="10148" w:lineRule="exact"/>
        <w:ind w:firstLine="1989"/>
        <w:textAlignment w:val="center"/>
      </w:pPr>
      <w:r>
        <w:pict>
          <v:group id="_x0000_s1486" o:spid="_x0000_s1486" o:spt="203" style="height:507.45pt;width:413.6pt;" coordsize="8272,10149">
            <o:lock v:ext="edit"/>
            <v:rect id="_x0000_s1487" o:spid="_x0000_s1487" o:spt="1" style="position:absolute;left:0;top:0;height:10149;width:8272;" fillcolor="#004876" filled="t" stroked="f" coordsize="21600,21600">
              <v:path/>
              <v:fill on="t" opacity="6425f" focussize="0,0"/>
              <v:stroke on="f"/>
              <v:imagedata o:title=""/>
              <o:lock v:ext="edit"/>
            </v:rect>
            <v:shape id="_x0000_s1488" o:spid="_x0000_s1488" o:spt="202" type="#_x0000_t202" style="position:absolute;left:377;top:398;height:9535;width:7504;" filled="f" stroked="f" coordsize="21600,21600">
              <v:path/>
              <v:fill on="f" focussize="0,0"/>
              <v:stroke on="f"/>
              <v:imagedata o:title=""/>
              <o:lock v:ext="edit" aspectratio="f"/>
              <v:textbox inset="0mm,0mm,0mm,0mm">
                <w:txbxContent>
                  <w:p>
                    <w:pPr>
                      <w:spacing w:before="20" w:line="40" w:lineRule="exact"/>
                      <w:ind w:firstLine="20"/>
                      <w:textAlignment w:val="center"/>
                    </w:pPr>
                    <w:r>
                      <w:drawing>
                        <wp:inline distT="0" distB="0" distL="0" distR="0">
                          <wp:extent cx="4739005" cy="25400"/>
                          <wp:effectExtent l="0" t="0" r="0" b="0"/>
                          <wp:docPr id="407" name="IM 407"/>
                          <wp:cNvGraphicFramePr/>
                          <a:graphic xmlns:a="http://schemas.openxmlformats.org/drawingml/2006/main">
                            <a:graphicData uri="http://schemas.openxmlformats.org/drawingml/2006/picture">
                              <pic:pic xmlns:pic="http://schemas.openxmlformats.org/drawingml/2006/picture">
                                <pic:nvPicPr>
                                  <pic:cNvPr id="407" name="IM 407"/>
                                  <pic:cNvPicPr/>
                                </pic:nvPicPr>
                                <pic:blipFill>
                                  <a:blip r:embed="rId157"/>
                                  <a:stretch>
                                    <a:fillRect/>
                                  </a:stretch>
                                </pic:blipFill>
                                <pic:spPr>
                                  <a:xfrm>
                                    <a:off x="0" y="0"/>
                                    <a:ext cx="4739398" cy="25400"/>
                                  </a:xfrm>
                                  <a:prstGeom prst="rect">
                                    <a:avLst/>
                                  </a:prstGeom>
                                </pic:spPr>
                              </pic:pic>
                            </a:graphicData>
                          </a:graphic>
                        </wp:inline>
                      </w:drawing>
                    </w:r>
                  </w:p>
                  <w:p>
                    <w:pPr>
                      <w:spacing w:before="133" w:line="195" w:lineRule="auto"/>
                      <w:ind w:left="148"/>
                      <w:rPr>
                        <w:rFonts w:ascii="Times New Roman" w:hAnsi="Times New Roman" w:eastAsia="Times New Roman" w:cs="Times New Roman"/>
                        <w:sz w:val="21"/>
                        <w:szCs w:val="21"/>
                      </w:rPr>
                    </w:pPr>
                    <w:r>
                      <w:rPr>
                        <w:rFonts w:ascii="SimHei" w:hAnsi="SimHei" w:eastAsia="SimHei" w:cs="SimHei"/>
                        <w:color w:val="015DAC"/>
                        <w:spacing w:val="-5"/>
                        <w:sz w:val="21"/>
                        <w:szCs w:val="21"/>
                      </w:rPr>
                      <w:t>专</w:t>
                    </w:r>
                    <w:r>
                      <w:rPr>
                        <w:rFonts w:ascii="SimHei" w:hAnsi="SimHei" w:eastAsia="SimHei" w:cs="SimHei"/>
                        <w:color w:val="015DAC"/>
                        <w:spacing w:val="-3"/>
                        <w:sz w:val="21"/>
                        <w:szCs w:val="21"/>
                      </w:rPr>
                      <w:t xml:space="preserve">栏 </w:t>
                    </w:r>
                    <w:r>
                      <w:rPr>
                        <w:rFonts w:ascii="Times New Roman" w:hAnsi="Times New Roman" w:eastAsia="Times New Roman" w:cs="Times New Roman"/>
                        <w:color w:val="015DAC"/>
                        <w:spacing w:val="-3"/>
                        <w:sz w:val="21"/>
                        <w:szCs w:val="21"/>
                      </w:rPr>
                      <w:t>3-6</w:t>
                    </w:r>
                  </w:p>
                  <w:p>
                    <w:pPr>
                      <w:spacing w:line="366" w:lineRule="exact"/>
                      <w:ind w:left="1304"/>
                      <w:rPr>
                        <w:rFonts w:ascii="SimHei" w:hAnsi="SimHei" w:eastAsia="SimHei" w:cs="SimHei"/>
                        <w:sz w:val="27"/>
                        <w:szCs w:val="27"/>
                      </w:rPr>
                    </w:pPr>
                    <w:r>
                      <w:rPr>
                        <w:rFonts w:ascii="SimHei" w:hAnsi="SimHei" w:eastAsia="SimHei" w:cs="SimHei"/>
                        <w:color w:val="015DAC"/>
                        <w:spacing w:val="14"/>
                        <w:position w:val="1"/>
                        <w:sz w:val="27"/>
                        <w:szCs w:val="27"/>
                        <w14:textOutline w14:w="3175" w14:cap="flat" w14:cmpd="sng">
                          <w14:solidFill>
                            <w14:srgbClr w14:val="015DAC"/>
                          </w14:solidFill>
                          <w14:prstDash w14:val="solid"/>
                          <w14:miter w14:val="0"/>
                        </w14:textOutline>
                      </w:rPr>
                      <w:t>2</w:t>
                    </w:r>
                    <w:r>
                      <w:rPr>
                        <w:rFonts w:ascii="SimHei" w:hAnsi="SimHei" w:eastAsia="SimHei" w:cs="SimHei"/>
                        <w:color w:val="015DAC"/>
                        <w:spacing w:val="9"/>
                        <w:position w:val="1"/>
                        <w:sz w:val="27"/>
                        <w:szCs w:val="27"/>
                        <w14:textOutline w14:w="3175" w14:cap="flat" w14:cmpd="sng">
                          <w14:solidFill>
                            <w14:srgbClr w14:val="015DAC"/>
                          </w14:solidFill>
                          <w14:prstDash w14:val="solid"/>
                          <w14:miter w14:val="0"/>
                        </w14:textOutline>
                      </w:rPr>
                      <w:t>021</w:t>
                    </w:r>
                    <w:r>
                      <w:rPr>
                        <w:rFonts w:ascii="SimHei" w:hAnsi="SimHei" w:eastAsia="SimHei" w:cs="SimHei"/>
                        <w:color w:val="015DAC"/>
                        <w:spacing w:val="9"/>
                        <w:position w:val="1"/>
                        <w:sz w:val="27"/>
                        <w:szCs w:val="27"/>
                      </w:rPr>
                      <w:t xml:space="preserve"> </w:t>
                    </w:r>
                    <w:r>
                      <w:rPr>
                        <w:rFonts w:ascii="SimHei" w:hAnsi="SimHei" w:eastAsia="SimHei" w:cs="SimHei"/>
                        <w:color w:val="015DAC"/>
                        <w:spacing w:val="9"/>
                        <w:position w:val="1"/>
                        <w:sz w:val="27"/>
                        <w:szCs w:val="27"/>
                        <w14:textOutline w14:w="3175" w14:cap="flat" w14:cmpd="sng">
                          <w14:solidFill>
                            <w14:srgbClr w14:val="015DAC"/>
                          </w14:solidFill>
                          <w14:prstDash w14:val="solid"/>
                          <w14:miter w14:val="0"/>
                        </w14:textOutline>
                      </w:rPr>
                      <w:t>年广东省召开的部分投资促进展会</w:t>
                    </w:r>
                  </w:p>
                  <w:p>
                    <w:pPr>
                      <w:spacing w:line="262" w:lineRule="auto"/>
                      <w:rPr>
                        <w:rFonts w:ascii="Arial"/>
                        <w:sz w:val="21"/>
                      </w:rPr>
                    </w:pPr>
                  </w:p>
                  <w:p>
                    <w:pPr>
                      <w:spacing w:line="40" w:lineRule="exact"/>
                      <w:ind w:firstLine="20"/>
                      <w:textAlignment w:val="center"/>
                    </w:pPr>
                    <w:r>
                      <w:drawing>
                        <wp:inline distT="0" distB="0" distL="0" distR="0">
                          <wp:extent cx="4739005" cy="25400"/>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158"/>
                                  <a:stretch>
                                    <a:fillRect/>
                                  </a:stretch>
                                </pic:blipFill>
                                <pic:spPr>
                                  <a:xfrm>
                                    <a:off x="0" y="0"/>
                                    <a:ext cx="4739398" cy="25400"/>
                                  </a:xfrm>
                                  <a:prstGeom prst="rect">
                                    <a:avLst/>
                                  </a:prstGeom>
                                </pic:spPr>
                              </pic:pic>
                            </a:graphicData>
                          </a:graphic>
                        </wp:inline>
                      </w:drawing>
                    </w: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86" w:line="288" w:lineRule="auto"/>
                      <w:ind w:left="150" w:right="97" w:firstLine="407"/>
                      <w:rPr>
                        <w:rFonts w:ascii="微软雅黑" w:hAnsi="微软雅黑" w:eastAsia="微软雅黑" w:cs="微软雅黑"/>
                        <w:sz w:val="20"/>
                        <w:szCs w:val="20"/>
                      </w:rPr>
                    </w:pPr>
                    <w:r>
                      <w:rPr>
                        <w:rFonts w:ascii="SimHei" w:hAnsi="SimHei" w:eastAsia="SimHei" w:cs="SimHei"/>
                        <w:color w:val="231F20"/>
                        <w:spacing w:val="6"/>
                        <w:sz w:val="20"/>
                        <w:szCs w:val="20"/>
                      </w:rPr>
                      <w:t>第七届中国广</w:t>
                    </w:r>
                    <w:r>
                      <w:rPr>
                        <w:rFonts w:ascii="SimHei" w:hAnsi="SimHei" w:eastAsia="SimHei" w:cs="SimHei"/>
                        <w:color w:val="231F20"/>
                        <w:spacing w:val="3"/>
                        <w:sz w:val="20"/>
                        <w:szCs w:val="20"/>
                      </w:rPr>
                      <w:t>州国际投资年会。</w:t>
                    </w:r>
                    <w:r>
                      <w:rPr>
                        <w:rFonts w:ascii="Times New Roman" w:hAnsi="Times New Roman" w:eastAsia="Times New Roman" w:cs="Times New Roman"/>
                        <w:color w:val="231F20"/>
                        <w:spacing w:val="3"/>
                        <w:sz w:val="20"/>
                        <w:szCs w:val="20"/>
                      </w:rPr>
                      <w:t xml:space="preserve">2021 </w:t>
                    </w:r>
                    <w:r>
                      <w:rPr>
                        <w:rFonts w:ascii="微软雅黑" w:hAnsi="微软雅黑" w:eastAsia="微软雅黑" w:cs="微软雅黑"/>
                        <w:color w:val="231F20"/>
                        <w:spacing w:val="3"/>
                        <w:sz w:val="20"/>
                        <w:szCs w:val="20"/>
                      </w:rPr>
                      <w:t xml:space="preserve">年 </w:t>
                    </w:r>
                    <w:r>
                      <w:rPr>
                        <w:rFonts w:ascii="Times New Roman" w:hAnsi="Times New Roman" w:eastAsia="Times New Roman" w:cs="Times New Roman"/>
                        <w:color w:val="231F20"/>
                        <w:spacing w:val="3"/>
                        <w:sz w:val="20"/>
                        <w:szCs w:val="20"/>
                      </w:rPr>
                      <w:t xml:space="preserve">3 </w:t>
                    </w:r>
                    <w:r>
                      <w:rPr>
                        <w:rFonts w:ascii="微软雅黑" w:hAnsi="微软雅黑" w:eastAsia="微软雅黑" w:cs="微软雅黑"/>
                        <w:color w:val="231F20"/>
                        <w:spacing w:val="3"/>
                        <w:sz w:val="20"/>
                        <w:szCs w:val="20"/>
                      </w:rPr>
                      <w:t xml:space="preserve">月 </w:t>
                    </w:r>
                    <w:r>
                      <w:rPr>
                        <w:rFonts w:ascii="Times New Roman" w:hAnsi="Times New Roman" w:eastAsia="Times New Roman" w:cs="Times New Roman"/>
                        <w:color w:val="231F20"/>
                        <w:spacing w:val="3"/>
                        <w:sz w:val="20"/>
                        <w:szCs w:val="20"/>
                      </w:rPr>
                      <w:t xml:space="preserve">30 </w:t>
                    </w:r>
                    <w:r>
                      <w:rPr>
                        <w:rFonts w:ascii="微软雅黑" w:hAnsi="微软雅黑" w:eastAsia="微软雅黑" w:cs="微软雅黑"/>
                        <w:color w:val="231F20"/>
                        <w:spacing w:val="3"/>
                        <w:sz w:val="20"/>
                        <w:szCs w:val="20"/>
                      </w:rPr>
                      <w:t>日 ，第七届中国广州国际投</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资年会举</w:t>
                    </w:r>
                    <w:r>
                      <w:rPr>
                        <w:rFonts w:ascii="微软雅黑" w:hAnsi="微软雅黑" w:eastAsia="微软雅黑" w:cs="微软雅黑"/>
                        <w:color w:val="231F20"/>
                        <w:spacing w:val="5"/>
                        <w:sz w:val="20"/>
                        <w:szCs w:val="20"/>
                      </w:rPr>
                      <w:t>行</w:t>
                    </w:r>
                    <w:r>
                      <w:rPr>
                        <w:rFonts w:ascii="微软雅黑" w:hAnsi="微软雅黑" w:eastAsia="微软雅黑" w:cs="微软雅黑"/>
                        <w:color w:val="231F20"/>
                        <w:spacing w:val="3"/>
                        <w:sz w:val="20"/>
                        <w:szCs w:val="20"/>
                      </w:rPr>
                      <w:t xml:space="preserve"> ，来自 </w:t>
                    </w:r>
                    <w:r>
                      <w:rPr>
                        <w:rFonts w:ascii="Times New Roman" w:hAnsi="Times New Roman" w:eastAsia="Times New Roman" w:cs="Times New Roman"/>
                        <w:color w:val="231F20"/>
                        <w:spacing w:val="3"/>
                        <w:sz w:val="20"/>
                        <w:szCs w:val="20"/>
                      </w:rPr>
                      <w:t xml:space="preserve">35 </w:t>
                    </w:r>
                    <w:r>
                      <w:rPr>
                        <w:rFonts w:ascii="微软雅黑" w:hAnsi="微软雅黑" w:eastAsia="微软雅黑" w:cs="微软雅黑"/>
                        <w:color w:val="231F20"/>
                        <w:spacing w:val="3"/>
                        <w:sz w:val="20"/>
                        <w:szCs w:val="20"/>
                      </w:rPr>
                      <w:t xml:space="preserve">个国家和地区的 </w:t>
                    </w:r>
                    <w:r>
                      <w:rPr>
                        <w:rFonts w:ascii="Times New Roman" w:hAnsi="Times New Roman" w:eastAsia="Times New Roman" w:cs="Times New Roman"/>
                        <w:color w:val="231F20"/>
                        <w:spacing w:val="3"/>
                        <w:sz w:val="20"/>
                        <w:szCs w:val="20"/>
                      </w:rPr>
                      <w:t xml:space="preserve">496 </w:t>
                    </w:r>
                    <w:r>
                      <w:rPr>
                        <w:rFonts w:ascii="微软雅黑" w:hAnsi="微软雅黑" w:eastAsia="微软雅黑" w:cs="微软雅黑"/>
                        <w:color w:val="231F20"/>
                        <w:spacing w:val="3"/>
                        <w:sz w:val="20"/>
                        <w:szCs w:val="20"/>
                      </w:rPr>
                      <w:t>家企业和机构负责人齐聚一堂 ，共商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 xml:space="preserve">深化投资合作 。共签约项目 </w:t>
                    </w:r>
                    <w:r>
                      <w:rPr>
                        <w:rFonts w:ascii="Times New Roman" w:hAnsi="Times New Roman" w:eastAsia="Times New Roman" w:cs="Times New Roman"/>
                        <w:color w:val="231F20"/>
                        <w:spacing w:val="-1"/>
                        <w:sz w:val="20"/>
                        <w:szCs w:val="20"/>
                      </w:rPr>
                      <w:t xml:space="preserve">183 </w:t>
                    </w:r>
                    <w:r>
                      <w:rPr>
                        <w:rFonts w:ascii="微软雅黑" w:hAnsi="微软雅黑" w:eastAsia="微软雅黑" w:cs="微软雅黑"/>
                        <w:color w:val="231F20"/>
                        <w:spacing w:val="-1"/>
                        <w:sz w:val="20"/>
                        <w:szCs w:val="20"/>
                      </w:rPr>
                      <w:t xml:space="preserve">个 ，累计投资总额超 </w:t>
                    </w:r>
                    <w:r>
                      <w:rPr>
                        <w:rFonts w:ascii="Times New Roman" w:hAnsi="Times New Roman" w:eastAsia="Times New Roman" w:cs="Times New Roman"/>
                        <w:color w:val="231F20"/>
                        <w:spacing w:val="-1"/>
                        <w:sz w:val="20"/>
                        <w:szCs w:val="20"/>
                      </w:rPr>
                      <w:t xml:space="preserve">8600 </w:t>
                    </w:r>
                    <w:r>
                      <w:rPr>
                        <w:rFonts w:ascii="微软雅黑" w:hAnsi="微软雅黑" w:eastAsia="微软雅黑" w:cs="微软雅黑"/>
                        <w:color w:val="231F20"/>
                        <w:spacing w:val="-1"/>
                        <w:sz w:val="20"/>
                        <w:szCs w:val="20"/>
                      </w:rPr>
                      <w:t>亿元 ，涉及人</w:t>
                    </w:r>
                    <w:r>
                      <w:rPr>
                        <w:rFonts w:ascii="微软雅黑" w:hAnsi="微软雅黑" w:eastAsia="微软雅黑" w:cs="微软雅黑"/>
                        <w:color w:val="231F20"/>
                        <w:sz w:val="20"/>
                        <w:szCs w:val="20"/>
                      </w:rPr>
                      <w:t xml:space="preserve">工智能、 </w:t>
                    </w:r>
                    <w:r>
                      <w:rPr>
                        <w:rFonts w:ascii="微软雅黑" w:hAnsi="微软雅黑" w:eastAsia="微软雅黑" w:cs="微软雅黑"/>
                        <w:color w:val="231F20"/>
                        <w:spacing w:val="-2"/>
                        <w:sz w:val="20"/>
                        <w:szCs w:val="20"/>
                      </w:rPr>
                      <w:t>数字经济 、生物医药 、新基建等行业</w:t>
                    </w:r>
                    <w:r>
                      <w:rPr>
                        <w:rFonts w:ascii="微软雅黑" w:hAnsi="微软雅黑" w:eastAsia="微软雅黑" w:cs="微软雅黑"/>
                        <w:color w:val="231F20"/>
                        <w:spacing w:val="-1"/>
                        <w:sz w:val="20"/>
                        <w:szCs w:val="20"/>
                      </w:rPr>
                      <w:t>。</w:t>
                    </w:r>
                  </w:p>
                  <w:p>
                    <w:pPr>
                      <w:spacing w:before="180" w:line="288" w:lineRule="auto"/>
                      <w:ind w:left="146" w:right="174" w:firstLine="410"/>
                      <w:rPr>
                        <w:rFonts w:ascii="微软雅黑" w:hAnsi="微软雅黑" w:eastAsia="微软雅黑" w:cs="微软雅黑"/>
                        <w:sz w:val="20"/>
                        <w:szCs w:val="20"/>
                      </w:rPr>
                    </w:pPr>
                    <w:r>
                      <w:rPr>
                        <w:rFonts w:ascii="SimHei" w:hAnsi="SimHei" w:eastAsia="SimHei" w:cs="SimHei"/>
                        <w:color w:val="231F20"/>
                        <w:spacing w:val="8"/>
                        <w:sz w:val="20"/>
                        <w:szCs w:val="20"/>
                      </w:rPr>
                      <w:t xml:space="preserve">2021 </w:t>
                    </w:r>
                    <w:r>
                      <w:rPr>
                        <w:rFonts w:ascii="SimHei" w:hAnsi="SimHei" w:eastAsia="SimHei" w:cs="SimHei"/>
                        <w:color w:val="231F20"/>
                        <w:spacing w:val="6"/>
                        <w:sz w:val="20"/>
                        <w:szCs w:val="20"/>
                      </w:rPr>
                      <w:t>跨</w:t>
                    </w:r>
                    <w:r>
                      <w:rPr>
                        <w:rFonts w:ascii="SimHei" w:hAnsi="SimHei" w:eastAsia="SimHei" w:cs="SimHei"/>
                        <w:color w:val="231F20"/>
                        <w:spacing w:val="4"/>
                        <w:sz w:val="20"/>
                        <w:szCs w:val="20"/>
                      </w:rPr>
                      <w:t>国公司投资广东年会。</w:t>
                    </w:r>
                    <w:r>
                      <w:rPr>
                        <w:rFonts w:ascii="Times New Roman" w:hAnsi="Times New Roman" w:eastAsia="Times New Roman" w:cs="Times New Roman"/>
                        <w:color w:val="231F20"/>
                        <w:spacing w:val="4"/>
                        <w:sz w:val="20"/>
                        <w:szCs w:val="20"/>
                      </w:rPr>
                      <w:t xml:space="preserve">2021 </w:t>
                    </w:r>
                    <w:r>
                      <w:rPr>
                        <w:rFonts w:ascii="微软雅黑" w:hAnsi="微软雅黑" w:eastAsia="微软雅黑" w:cs="微软雅黑"/>
                        <w:color w:val="231F20"/>
                        <w:spacing w:val="4"/>
                        <w:sz w:val="20"/>
                        <w:szCs w:val="20"/>
                      </w:rPr>
                      <w:t xml:space="preserve">年 </w:t>
                    </w:r>
                    <w:r>
                      <w:rPr>
                        <w:rFonts w:ascii="Times New Roman" w:hAnsi="Times New Roman" w:eastAsia="Times New Roman" w:cs="Times New Roman"/>
                        <w:color w:val="231F20"/>
                        <w:spacing w:val="4"/>
                        <w:sz w:val="20"/>
                        <w:szCs w:val="20"/>
                      </w:rPr>
                      <w:t xml:space="preserve">9 </w:t>
                    </w:r>
                    <w:r>
                      <w:rPr>
                        <w:rFonts w:ascii="微软雅黑" w:hAnsi="微软雅黑" w:eastAsia="微软雅黑" w:cs="微软雅黑"/>
                        <w:color w:val="231F20"/>
                        <w:spacing w:val="4"/>
                        <w:sz w:val="20"/>
                        <w:szCs w:val="20"/>
                      </w:rPr>
                      <w:t xml:space="preserve">月 </w:t>
                    </w:r>
                    <w:r>
                      <w:rPr>
                        <w:rFonts w:ascii="Times New Roman" w:hAnsi="Times New Roman" w:eastAsia="Times New Roman" w:cs="Times New Roman"/>
                        <w:color w:val="231F20"/>
                        <w:spacing w:val="4"/>
                        <w:sz w:val="20"/>
                        <w:szCs w:val="20"/>
                      </w:rPr>
                      <w:t xml:space="preserve">27 </w:t>
                    </w:r>
                    <w:r>
                      <w:rPr>
                        <w:rFonts w:ascii="微软雅黑" w:hAnsi="微软雅黑" w:eastAsia="微软雅黑" w:cs="微软雅黑"/>
                        <w:color w:val="231F20"/>
                        <w:spacing w:val="4"/>
                        <w:sz w:val="20"/>
                        <w:szCs w:val="20"/>
                      </w:rPr>
                      <w:t xml:space="preserve">日 </w:t>
                    </w:r>
                    <w:r>
                      <w:rPr>
                        <w:rFonts w:ascii="Times New Roman" w:hAnsi="Times New Roman" w:eastAsia="Times New Roman" w:cs="Times New Roman"/>
                        <w:color w:val="231F20"/>
                        <w:spacing w:val="4"/>
                        <w:sz w:val="20"/>
                        <w:szCs w:val="20"/>
                      </w:rPr>
                      <w:t xml:space="preserve">-29 </w:t>
                    </w:r>
                    <w:r>
                      <w:rPr>
                        <w:rFonts w:ascii="微软雅黑" w:hAnsi="微软雅黑" w:eastAsia="微软雅黑" w:cs="微软雅黑"/>
                        <w:color w:val="231F20"/>
                        <w:spacing w:val="4"/>
                        <w:sz w:val="20"/>
                        <w:szCs w:val="20"/>
                      </w:rPr>
                      <w:t>日 ，</w:t>
                    </w:r>
                    <w:r>
                      <w:rPr>
                        <w:rFonts w:ascii="Times New Roman" w:hAnsi="Times New Roman" w:eastAsia="Times New Roman" w:cs="Times New Roman"/>
                        <w:color w:val="231F20"/>
                        <w:spacing w:val="4"/>
                        <w:sz w:val="20"/>
                        <w:szCs w:val="20"/>
                      </w:rPr>
                      <w:t xml:space="preserve">2021 </w:t>
                    </w:r>
                    <w:r>
                      <w:rPr>
                        <w:rFonts w:ascii="微软雅黑" w:hAnsi="微软雅黑" w:eastAsia="微软雅黑" w:cs="微软雅黑"/>
                        <w:color w:val="231F20"/>
                        <w:spacing w:val="4"/>
                        <w:sz w:val="20"/>
                        <w:szCs w:val="20"/>
                      </w:rPr>
                      <w:t>跨国公司投</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 xml:space="preserve">资广东年会在穗举行 ，来自日本 、韩国 、美国 、英国 、德国 、法国等 </w:t>
                    </w:r>
                    <w:r>
                      <w:rPr>
                        <w:rFonts w:ascii="Times New Roman" w:hAnsi="Times New Roman" w:eastAsia="Times New Roman" w:cs="Times New Roman"/>
                        <w:color w:val="231F20"/>
                        <w:spacing w:val="-2"/>
                        <w:sz w:val="20"/>
                        <w:szCs w:val="20"/>
                      </w:rPr>
                      <w:t xml:space="preserve">16 </w:t>
                    </w:r>
                    <w:r>
                      <w:rPr>
                        <w:rFonts w:ascii="微软雅黑" w:hAnsi="微软雅黑" w:eastAsia="微软雅黑" w:cs="微软雅黑"/>
                        <w:color w:val="231F20"/>
                        <w:spacing w:val="-2"/>
                        <w:sz w:val="20"/>
                        <w:szCs w:val="20"/>
                      </w:rPr>
                      <w:t>个</w:t>
                    </w:r>
                    <w:r>
                      <w:rPr>
                        <w:rFonts w:ascii="微软雅黑" w:hAnsi="微软雅黑" w:eastAsia="微软雅黑" w:cs="微软雅黑"/>
                        <w:color w:val="231F20"/>
                        <w:spacing w:val="-1"/>
                        <w:sz w:val="20"/>
                        <w:szCs w:val="20"/>
                      </w:rPr>
                      <w:t>国</w:t>
                    </w:r>
                    <w:r>
                      <w:rPr>
                        <w:rFonts w:ascii="微软雅黑" w:hAnsi="微软雅黑" w:eastAsia="微软雅黑" w:cs="微软雅黑"/>
                        <w:color w:val="231F20"/>
                        <w:sz w:val="20"/>
                        <w:szCs w:val="20"/>
                      </w:rPr>
                      <w:t xml:space="preserve">家 </w:t>
                    </w:r>
                    <w:r>
                      <w:rPr>
                        <w:rFonts w:ascii="微软雅黑" w:hAnsi="微软雅黑" w:eastAsia="微软雅黑" w:cs="微软雅黑"/>
                        <w:color w:val="231F20"/>
                        <w:spacing w:val="8"/>
                        <w:sz w:val="20"/>
                        <w:szCs w:val="20"/>
                      </w:rPr>
                      <w:t>及地区的超</w:t>
                    </w:r>
                    <w:r>
                      <w:rPr>
                        <w:rFonts w:ascii="微软雅黑" w:hAnsi="微软雅黑" w:eastAsia="微软雅黑" w:cs="微软雅黑"/>
                        <w:color w:val="231F20"/>
                        <w:spacing w:val="4"/>
                        <w:sz w:val="20"/>
                        <w:szCs w:val="20"/>
                      </w:rPr>
                      <w:t xml:space="preserve">过 </w:t>
                    </w:r>
                    <w:r>
                      <w:rPr>
                        <w:rFonts w:ascii="Times New Roman" w:hAnsi="Times New Roman" w:eastAsia="Times New Roman" w:cs="Times New Roman"/>
                        <w:color w:val="231F20"/>
                        <w:spacing w:val="4"/>
                        <w:sz w:val="20"/>
                        <w:szCs w:val="20"/>
                      </w:rPr>
                      <w:t xml:space="preserve">200 </w:t>
                    </w:r>
                    <w:r>
                      <w:rPr>
                        <w:rFonts w:ascii="微软雅黑" w:hAnsi="微软雅黑" w:eastAsia="微软雅黑" w:cs="微软雅黑"/>
                        <w:color w:val="231F20"/>
                        <w:spacing w:val="4"/>
                        <w:sz w:val="20"/>
                        <w:szCs w:val="20"/>
                      </w:rPr>
                      <w:t xml:space="preserve">家在华跨国企业及机构 </w:t>
                    </w:r>
                    <w:r>
                      <w:rPr>
                        <w:rFonts w:ascii="Times New Roman" w:hAnsi="Times New Roman" w:eastAsia="Times New Roman" w:cs="Times New Roman"/>
                        <w:color w:val="231F20"/>
                        <w:spacing w:val="4"/>
                        <w:sz w:val="20"/>
                        <w:szCs w:val="20"/>
                      </w:rPr>
                      <w:t xml:space="preserve">300 </w:t>
                    </w:r>
                    <w:r>
                      <w:rPr>
                        <w:rFonts w:ascii="微软雅黑" w:hAnsi="微软雅黑" w:eastAsia="微软雅黑" w:cs="微软雅黑"/>
                        <w:color w:val="231F20"/>
                        <w:spacing w:val="4"/>
                        <w:sz w:val="20"/>
                        <w:szCs w:val="20"/>
                      </w:rPr>
                      <w:t xml:space="preserve">多人参会 ，共签订了 </w:t>
                    </w:r>
                    <w:r>
                      <w:rPr>
                        <w:rFonts w:ascii="Times New Roman" w:hAnsi="Times New Roman" w:eastAsia="Times New Roman" w:cs="Times New Roman"/>
                        <w:color w:val="231F20"/>
                        <w:spacing w:val="4"/>
                        <w:sz w:val="20"/>
                        <w:szCs w:val="20"/>
                      </w:rPr>
                      <w:t xml:space="preserve">27 </w:t>
                    </w:r>
                    <w:r>
                      <w:rPr>
                        <w:rFonts w:ascii="微软雅黑" w:hAnsi="微软雅黑" w:eastAsia="微软雅黑" w:cs="微软雅黑"/>
                        <w:color w:val="231F20"/>
                        <w:spacing w:val="4"/>
                        <w:sz w:val="20"/>
                        <w:szCs w:val="20"/>
                      </w:rPr>
                      <w:t>个外资战</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略合作</w:t>
                    </w:r>
                    <w:r>
                      <w:rPr>
                        <w:rFonts w:ascii="微软雅黑" w:hAnsi="微软雅黑" w:eastAsia="微软雅黑" w:cs="微软雅黑"/>
                        <w:color w:val="231F20"/>
                        <w:spacing w:val="1"/>
                        <w:sz w:val="20"/>
                        <w:szCs w:val="20"/>
                      </w:rPr>
                      <w:t xml:space="preserve">项目 ，投资总额超 </w:t>
                    </w:r>
                    <w:r>
                      <w:rPr>
                        <w:rFonts w:ascii="Times New Roman" w:hAnsi="Times New Roman" w:eastAsia="Times New Roman" w:cs="Times New Roman"/>
                        <w:color w:val="231F20"/>
                        <w:spacing w:val="1"/>
                        <w:sz w:val="20"/>
                        <w:szCs w:val="20"/>
                      </w:rPr>
                      <w:t xml:space="preserve">1000 </w:t>
                    </w:r>
                    <w:r>
                      <w:rPr>
                        <w:rFonts w:ascii="微软雅黑" w:hAnsi="微软雅黑" w:eastAsia="微软雅黑" w:cs="微软雅黑"/>
                        <w:color w:val="231F20"/>
                        <w:spacing w:val="1"/>
                        <w:sz w:val="20"/>
                        <w:szCs w:val="20"/>
                      </w:rPr>
                      <w:t>亿元。</w:t>
                    </w:r>
                  </w:p>
                  <w:p>
                    <w:pPr>
                      <w:spacing w:before="184" w:line="286" w:lineRule="auto"/>
                      <w:ind w:left="151" w:right="114" w:firstLine="406"/>
                      <w:rPr>
                        <w:rFonts w:ascii="微软雅黑" w:hAnsi="微软雅黑" w:eastAsia="微软雅黑" w:cs="微软雅黑"/>
                        <w:sz w:val="20"/>
                        <w:szCs w:val="20"/>
                      </w:rPr>
                    </w:pPr>
                    <w:r>
                      <w:rPr>
                        <w:rFonts w:ascii="SimHei" w:hAnsi="SimHei" w:eastAsia="SimHei" w:cs="SimHei"/>
                        <w:color w:val="231F20"/>
                        <w:spacing w:val="2"/>
                        <w:sz w:val="20"/>
                        <w:szCs w:val="20"/>
                      </w:rPr>
                      <w:t>2021 前海招商大会。</w:t>
                    </w:r>
                    <w:r>
                      <w:rPr>
                        <w:rFonts w:ascii="Times New Roman" w:hAnsi="Times New Roman" w:eastAsia="Times New Roman" w:cs="Times New Roman"/>
                        <w:color w:val="231F20"/>
                        <w:spacing w:val="2"/>
                        <w:sz w:val="20"/>
                        <w:szCs w:val="20"/>
                      </w:rPr>
                      <w:t xml:space="preserve">2021 </w:t>
                    </w:r>
                    <w:r>
                      <w:rPr>
                        <w:rFonts w:ascii="微软雅黑" w:hAnsi="微软雅黑" w:eastAsia="微软雅黑" w:cs="微软雅黑"/>
                        <w:color w:val="231F20"/>
                        <w:spacing w:val="2"/>
                        <w:sz w:val="20"/>
                        <w:szCs w:val="20"/>
                      </w:rPr>
                      <w:t>年</w:t>
                    </w:r>
                    <w:r>
                      <w:rPr>
                        <w:rFonts w:ascii="微软雅黑" w:hAnsi="微软雅黑" w:eastAsia="微软雅黑" w:cs="微软雅黑"/>
                        <w:color w:val="231F20"/>
                        <w:spacing w:val="1"/>
                        <w:sz w:val="20"/>
                        <w:szCs w:val="20"/>
                      </w:rPr>
                      <w:t xml:space="preserve"> </w:t>
                    </w:r>
                    <w:r>
                      <w:rPr>
                        <w:rFonts w:ascii="Times New Roman" w:hAnsi="Times New Roman" w:eastAsia="Times New Roman" w:cs="Times New Roman"/>
                        <w:color w:val="231F20"/>
                        <w:spacing w:val="1"/>
                        <w:sz w:val="20"/>
                        <w:szCs w:val="20"/>
                      </w:rPr>
                      <w:t xml:space="preserve">11 </w:t>
                    </w:r>
                    <w:r>
                      <w:rPr>
                        <w:rFonts w:ascii="微软雅黑" w:hAnsi="微软雅黑" w:eastAsia="微软雅黑" w:cs="微软雅黑"/>
                        <w:color w:val="231F20"/>
                        <w:spacing w:val="1"/>
                        <w:sz w:val="20"/>
                        <w:szCs w:val="20"/>
                      </w:rPr>
                      <w:t>月，</w:t>
                    </w:r>
                    <w:r>
                      <w:rPr>
                        <w:rFonts w:ascii="Times New Roman" w:hAnsi="Times New Roman" w:eastAsia="Times New Roman" w:cs="Times New Roman"/>
                        <w:color w:val="231F20"/>
                        <w:spacing w:val="1"/>
                        <w:sz w:val="20"/>
                        <w:szCs w:val="20"/>
                      </w:rPr>
                      <w:t xml:space="preserve">2021 </w:t>
                    </w:r>
                    <w:r>
                      <w:rPr>
                        <w:rFonts w:ascii="微软雅黑" w:hAnsi="微软雅黑" w:eastAsia="微软雅黑" w:cs="微软雅黑"/>
                        <w:color w:val="231F20"/>
                        <w:spacing w:val="1"/>
                        <w:sz w:val="20"/>
                        <w:szCs w:val="20"/>
                      </w:rPr>
                      <w:t>前海招商大会集中在深圳香港两地</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同步举行，会上</w:t>
                    </w:r>
                    <w:r>
                      <w:rPr>
                        <w:rFonts w:ascii="微软雅黑" w:hAnsi="微软雅黑" w:eastAsia="微软雅黑" w:cs="微软雅黑"/>
                        <w:color w:val="231F20"/>
                        <w:sz w:val="20"/>
                        <w:szCs w:val="20"/>
                      </w:rPr>
                      <w:t xml:space="preserve">集中展示的 </w:t>
                    </w:r>
                    <w:r>
                      <w:rPr>
                        <w:rFonts w:ascii="Times New Roman" w:hAnsi="Times New Roman" w:eastAsia="Times New Roman" w:cs="Times New Roman"/>
                        <w:color w:val="231F20"/>
                        <w:sz w:val="20"/>
                        <w:szCs w:val="20"/>
                      </w:rPr>
                      <w:t xml:space="preserve">40 </w:t>
                    </w:r>
                    <w:r>
                      <w:rPr>
                        <w:rFonts w:ascii="微软雅黑" w:hAnsi="微软雅黑" w:eastAsia="微软雅黑" w:cs="微软雅黑"/>
                        <w:color w:val="231F20"/>
                        <w:sz w:val="20"/>
                        <w:szCs w:val="20"/>
                      </w:rPr>
                      <w:t xml:space="preserve">个重点代表项目中 ，世界五百强企业投资设立的项 </w:t>
                    </w:r>
                    <w:r>
                      <w:rPr>
                        <w:rFonts w:ascii="微软雅黑" w:hAnsi="微软雅黑" w:eastAsia="微软雅黑" w:cs="微软雅黑"/>
                        <w:color w:val="231F20"/>
                        <w:spacing w:val="-4"/>
                        <w:sz w:val="20"/>
                        <w:szCs w:val="20"/>
                      </w:rPr>
                      <w:t xml:space="preserve">目 </w:t>
                    </w:r>
                    <w:r>
                      <w:rPr>
                        <w:rFonts w:ascii="Times New Roman" w:hAnsi="Times New Roman" w:eastAsia="Times New Roman" w:cs="Times New Roman"/>
                        <w:color w:val="231F20"/>
                        <w:spacing w:val="-3"/>
                        <w:sz w:val="20"/>
                        <w:szCs w:val="20"/>
                      </w:rPr>
                      <w:t>1</w:t>
                    </w:r>
                    <w:r>
                      <w:rPr>
                        <w:rFonts w:ascii="Times New Roman" w:hAnsi="Times New Roman" w:eastAsia="Times New Roman" w:cs="Times New Roman"/>
                        <w:color w:val="231F20"/>
                        <w:spacing w:val="-2"/>
                        <w:sz w:val="20"/>
                        <w:szCs w:val="20"/>
                      </w:rPr>
                      <w:t xml:space="preserve">6 </w:t>
                    </w:r>
                    <w:r>
                      <w:rPr>
                        <w:rFonts w:ascii="微软雅黑" w:hAnsi="微软雅黑" w:eastAsia="微软雅黑" w:cs="微软雅黑"/>
                        <w:color w:val="231F20"/>
                        <w:spacing w:val="-2"/>
                        <w:sz w:val="20"/>
                        <w:szCs w:val="20"/>
                      </w:rPr>
                      <w:t xml:space="preserve">个、境内外上市公司投资设立的项目 </w:t>
                    </w:r>
                    <w:r>
                      <w:rPr>
                        <w:rFonts w:ascii="Times New Roman" w:hAnsi="Times New Roman" w:eastAsia="Times New Roman" w:cs="Times New Roman"/>
                        <w:color w:val="231F20"/>
                        <w:spacing w:val="-2"/>
                        <w:sz w:val="20"/>
                        <w:szCs w:val="20"/>
                      </w:rPr>
                      <w:t xml:space="preserve">3 </w:t>
                    </w:r>
                    <w:r>
                      <w:rPr>
                        <w:rFonts w:ascii="微软雅黑" w:hAnsi="微软雅黑" w:eastAsia="微软雅黑" w:cs="微软雅黑"/>
                        <w:color w:val="231F20"/>
                        <w:spacing w:val="-2"/>
                        <w:sz w:val="20"/>
                        <w:szCs w:val="20"/>
                      </w:rPr>
                      <w:t xml:space="preserve">个、独角兽企业投资设立的项目 </w:t>
                    </w:r>
                    <w:r>
                      <w:rPr>
                        <w:rFonts w:ascii="Times New Roman" w:hAnsi="Times New Roman" w:eastAsia="Times New Roman" w:cs="Times New Roman"/>
                        <w:color w:val="231F20"/>
                        <w:spacing w:val="-2"/>
                        <w:sz w:val="20"/>
                        <w:szCs w:val="20"/>
                      </w:rPr>
                      <w:t xml:space="preserve">4 </w:t>
                    </w:r>
                    <w:r>
                      <w:rPr>
                        <w:rFonts w:ascii="微软雅黑" w:hAnsi="微软雅黑" w:eastAsia="微软雅黑" w:cs="微软雅黑"/>
                        <w:color w:val="231F20"/>
                        <w:spacing w:val="-2"/>
                        <w:sz w:val="20"/>
                        <w:szCs w:val="20"/>
                      </w:rPr>
                      <w:t>个，</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单个</w:t>
                    </w:r>
                    <w:r>
                      <w:rPr>
                        <w:rFonts w:ascii="微软雅黑" w:hAnsi="微软雅黑" w:eastAsia="微软雅黑" w:cs="微软雅黑"/>
                        <w:color w:val="231F20"/>
                        <w:spacing w:val="2"/>
                        <w:sz w:val="20"/>
                        <w:szCs w:val="20"/>
                      </w:rPr>
                      <w:t xml:space="preserve">项目投资金额超百亿元的 </w:t>
                    </w:r>
                    <w:r>
                      <w:rPr>
                        <w:rFonts w:ascii="Times New Roman" w:hAnsi="Times New Roman" w:eastAsia="Times New Roman" w:cs="Times New Roman"/>
                        <w:color w:val="231F20"/>
                        <w:spacing w:val="2"/>
                        <w:sz w:val="20"/>
                        <w:szCs w:val="20"/>
                      </w:rPr>
                      <w:t xml:space="preserve">2 </w:t>
                    </w:r>
                    <w:r>
                      <w:rPr>
                        <w:rFonts w:ascii="微软雅黑" w:hAnsi="微软雅黑" w:eastAsia="微软雅黑" w:cs="微软雅黑"/>
                        <w:color w:val="231F20"/>
                        <w:spacing w:val="2"/>
                        <w:sz w:val="20"/>
                        <w:szCs w:val="20"/>
                      </w:rPr>
                      <w:t xml:space="preserve">个、超十亿元的 </w:t>
                    </w:r>
                    <w:r>
                      <w:rPr>
                        <w:rFonts w:ascii="Times New Roman" w:hAnsi="Times New Roman" w:eastAsia="Times New Roman" w:cs="Times New Roman"/>
                        <w:color w:val="231F20"/>
                        <w:spacing w:val="2"/>
                        <w:sz w:val="20"/>
                        <w:szCs w:val="20"/>
                      </w:rPr>
                      <w:t xml:space="preserve">16 </w:t>
                    </w:r>
                    <w:r>
                      <w:rPr>
                        <w:rFonts w:ascii="微软雅黑" w:hAnsi="微软雅黑" w:eastAsia="微软雅黑" w:cs="微软雅黑"/>
                        <w:color w:val="231F20"/>
                        <w:spacing w:val="2"/>
                        <w:sz w:val="20"/>
                        <w:szCs w:val="20"/>
                      </w:rPr>
                      <w:t xml:space="preserve">个、超亿元的 </w:t>
                    </w:r>
                    <w:r>
                      <w:rPr>
                        <w:rFonts w:ascii="Times New Roman" w:hAnsi="Times New Roman" w:eastAsia="Times New Roman" w:cs="Times New Roman"/>
                        <w:color w:val="231F20"/>
                        <w:spacing w:val="2"/>
                        <w:sz w:val="20"/>
                        <w:szCs w:val="20"/>
                      </w:rPr>
                      <w:t xml:space="preserve">32 </w:t>
                    </w:r>
                    <w:r>
                      <w:rPr>
                        <w:rFonts w:ascii="微软雅黑" w:hAnsi="微软雅黑" w:eastAsia="微软雅黑" w:cs="微软雅黑"/>
                        <w:color w:val="231F20"/>
                        <w:spacing w:val="2"/>
                        <w:sz w:val="20"/>
                        <w:szCs w:val="20"/>
                      </w:rPr>
                      <w:t>个 ，总投资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 xml:space="preserve">超 </w:t>
                    </w:r>
                    <w:r>
                      <w:rPr>
                        <w:rFonts w:ascii="Times New Roman" w:hAnsi="Times New Roman" w:eastAsia="Times New Roman" w:cs="Times New Roman"/>
                        <w:color w:val="231F20"/>
                        <w:spacing w:val="-2"/>
                        <w:sz w:val="20"/>
                        <w:szCs w:val="20"/>
                      </w:rPr>
                      <w:t>86</w:t>
                    </w:r>
                    <w:r>
                      <w:rPr>
                        <w:rFonts w:ascii="Times New Roman" w:hAnsi="Times New Roman" w:eastAsia="Times New Roman" w:cs="Times New Roman"/>
                        <w:color w:val="231F20"/>
                        <w:spacing w:val="-1"/>
                        <w:sz w:val="20"/>
                        <w:szCs w:val="20"/>
                      </w:rPr>
                      <w:t xml:space="preserve">6 </w:t>
                    </w:r>
                    <w:r>
                      <w:rPr>
                        <w:rFonts w:ascii="微软雅黑" w:hAnsi="微软雅黑" w:eastAsia="微软雅黑" w:cs="微软雅黑"/>
                        <w:color w:val="231F20"/>
                        <w:spacing w:val="-1"/>
                        <w:sz w:val="20"/>
                        <w:szCs w:val="20"/>
                      </w:rPr>
                      <w:t>亿元。</w:t>
                    </w:r>
                  </w:p>
                  <w:p>
                    <w:pPr>
                      <w:spacing w:before="178" w:line="280" w:lineRule="auto"/>
                      <w:ind w:left="148" w:right="113" w:firstLine="408"/>
                      <w:rPr>
                        <w:rFonts w:ascii="微软雅黑" w:hAnsi="微软雅黑" w:eastAsia="微软雅黑" w:cs="微软雅黑"/>
                        <w:sz w:val="20"/>
                        <w:szCs w:val="20"/>
                      </w:rPr>
                    </w:pPr>
                    <w:r>
                      <w:rPr>
                        <w:rFonts w:ascii="SimHei" w:hAnsi="SimHei" w:eastAsia="SimHei" w:cs="SimHei"/>
                        <w:color w:val="231F20"/>
                        <w:spacing w:val="-2"/>
                        <w:sz w:val="20"/>
                        <w:szCs w:val="20"/>
                      </w:rPr>
                      <w:t xml:space="preserve">2021 深圳全球招商大会。 </w:t>
                    </w:r>
                    <w:r>
                      <w:rPr>
                        <w:rFonts w:ascii="Times New Roman" w:hAnsi="Times New Roman" w:eastAsia="Times New Roman" w:cs="Times New Roman"/>
                        <w:color w:val="231F20"/>
                        <w:spacing w:val="-2"/>
                        <w:sz w:val="20"/>
                        <w:szCs w:val="20"/>
                      </w:rPr>
                      <w:t xml:space="preserve">2021 </w:t>
                    </w:r>
                    <w:r>
                      <w:rPr>
                        <w:rFonts w:ascii="微软雅黑" w:hAnsi="微软雅黑" w:eastAsia="微软雅黑" w:cs="微软雅黑"/>
                        <w:color w:val="231F20"/>
                        <w:spacing w:val="-2"/>
                        <w:sz w:val="20"/>
                        <w:szCs w:val="20"/>
                      </w:rPr>
                      <w:t xml:space="preserve">年 </w:t>
                    </w:r>
                    <w:r>
                      <w:rPr>
                        <w:rFonts w:ascii="Times New Roman" w:hAnsi="Times New Roman" w:eastAsia="Times New Roman" w:cs="Times New Roman"/>
                        <w:color w:val="231F20"/>
                        <w:spacing w:val="-2"/>
                        <w:sz w:val="20"/>
                        <w:szCs w:val="20"/>
                      </w:rPr>
                      <w:t xml:space="preserve">12 </w:t>
                    </w:r>
                    <w:r>
                      <w:rPr>
                        <w:rFonts w:ascii="微软雅黑" w:hAnsi="微软雅黑" w:eastAsia="微软雅黑" w:cs="微软雅黑"/>
                        <w:color w:val="231F20"/>
                        <w:spacing w:val="-2"/>
                        <w:sz w:val="20"/>
                        <w:szCs w:val="20"/>
                      </w:rPr>
                      <w:t xml:space="preserve">月 </w:t>
                    </w:r>
                    <w:r>
                      <w:rPr>
                        <w:rFonts w:ascii="Times New Roman" w:hAnsi="Times New Roman" w:eastAsia="Times New Roman" w:cs="Times New Roman"/>
                        <w:color w:val="231F20"/>
                        <w:spacing w:val="-2"/>
                        <w:sz w:val="20"/>
                        <w:szCs w:val="20"/>
                      </w:rPr>
                      <w:t xml:space="preserve">15 </w:t>
                    </w:r>
                    <w:r>
                      <w:rPr>
                        <w:rFonts w:ascii="微软雅黑" w:hAnsi="微软雅黑" w:eastAsia="微软雅黑" w:cs="微软雅黑"/>
                        <w:color w:val="231F20"/>
                        <w:spacing w:val="-2"/>
                        <w:sz w:val="20"/>
                        <w:szCs w:val="20"/>
                      </w:rPr>
                      <w:t>日，</w:t>
                    </w:r>
                    <w:r>
                      <w:rPr>
                        <w:rFonts w:ascii="Times New Roman" w:hAnsi="Times New Roman" w:eastAsia="Times New Roman" w:cs="Times New Roman"/>
                        <w:color w:val="231F20"/>
                        <w:spacing w:val="-2"/>
                        <w:sz w:val="20"/>
                        <w:szCs w:val="20"/>
                      </w:rPr>
                      <w:t xml:space="preserve">2021 </w:t>
                    </w:r>
                    <w:r>
                      <w:rPr>
                        <w:rFonts w:ascii="微软雅黑" w:hAnsi="微软雅黑" w:eastAsia="微软雅黑" w:cs="微软雅黑"/>
                        <w:color w:val="231F20"/>
                        <w:spacing w:val="-2"/>
                        <w:sz w:val="20"/>
                        <w:szCs w:val="20"/>
                      </w:rPr>
                      <w:t>深</w:t>
                    </w:r>
                    <w:r>
                      <w:rPr>
                        <w:rFonts w:ascii="微软雅黑" w:hAnsi="微软雅黑" w:eastAsia="微软雅黑" w:cs="微软雅黑"/>
                        <w:color w:val="231F20"/>
                        <w:spacing w:val="-1"/>
                        <w:sz w:val="20"/>
                        <w:szCs w:val="20"/>
                      </w:rPr>
                      <w:t>圳全球招商大会举行，</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 xml:space="preserve">在五大洲设置 </w:t>
                    </w:r>
                    <w:r>
                      <w:rPr>
                        <w:rFonts w:ascii="Times New Roman" w:hAnsi="Times New Roman" w:eastAsia="Times New Roman" w:cs="Times New Roman"/>
                        <w:color w:val="231F20"/>
                        <w:spacing w:val="-2"/>
                        <w:sz w:val="20"/>
                        <w:szCs w:val="20"/>
                      </w:rPr>
                      <w:t xml:space="preserve">12 </w:t>
                    </w:r>
                    <w:r>
                      <w:rPr>
                        <w:rFonts w:ascii="微软雅黑" w:hAnsi="微软雅黑" w:eastAsia="微软雅黑" w:cs="微软雅黑"/>
                        <w:color w:val="231F20"/>
                        <w:spacing w:val="-2"/>
                        <w:sz w:val="20"/>
                        <w:szCs w:val="20"/>
                      </w:rPr>
                      <w:t>个海外分会场，面向全球展现深圳的魅力、</w:t>
                    </w:r>
                    <w:r>
                      <w:rPr>
                        <w:rFonts w:ascii="微软雅黑" w:hAnsi="微软雅黑" w:eastAsia="微软雅黑" w:cs="微软雅黑"/>
                        <w:color w:val="231F20"/>
                        <w:spacing w:val="-1"/>
                        <w:sz w:val="20"/>
                        <w:szCs w:val="20"/>
                      </w:rPr>
                      <w:t>动力、活力和创新力，</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促</w:t>
                    </w:r>
                    <w:r>
                      <w:rPr>
                        <w:rFonts w:ascii="微软雅黑" w:hAnsi="微软雅黑" w:eastAsia="微软雅黑" w:cs="微软雅黑"/>
                        <w:color w:val="231F20"/>
                        <w:spacing w:val="-3"/>
                        <w:sz w:val="20"/>
                        <w:szCs w:val="20"/>
                      </w:rPr>
                      <w:t xml:space="preserve">进国内外企业和企业家、投资人、创业者投资深圳。大会洽谈签约项目超 </w:t>
                    </w:r>
                    <w:r>
                      <w:rPr>
                        <w:rFonts w:ascii="Times New Roman" w:hAnsi="Times New Roman" w:eastAsia="Times New Roman" w:cs="Times New Roman"/>
                        <w:color w:val="231F20"/>
                        <w:spacing w:val="-3"/>
                        <w:sz w:val="20"/>
                        <w:szCs w:val="20"/>
                      </w:rPr>
                      <w:t>260</w:t>
                    </w:r>
                    <w:r>
                      <w:rPr>
                        <w:rFonts w:ascii="微软雅黑" w:hAnsi="微软雅黑" w:eastAsia="微软雅黑" w:cs="微软雅黑"/>
                        <w:color w:val="231F20"/>
                        <w:spacing w:val="-3"/>
                        <w:sz w:val="20"/>
                        <w:szCs w:val="20"/>
                      </w:rPr>
                      <w:t>个，</w:t>
                    </w:r>
                  </w:p>
                  <w:p>
                    <w:pPr>
                      <w:spacing w:before="1" w:line="201" w:lineRule="auto"/>
                      <w:ind w:left="155"/>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 xml:space="preserve">涉及投资总额超 </w:t>
                    </w:r>
                    <w:r>
                      <w:rPr>
                        <w:rFonts w:ascii="Times New Roman" w:hAnsi="Times New Roman" w:eastAsia="Times New Roman" w:cs="Times New Roman"/>
                        <w:color w:val="231F20"/>
                        <w:spacing w:val="2"/>
                        <w:sz w:val="20"/>
                        <w:szCs w:val="20"/>
                      </w:rPr>
                      <w:t>8</w:t>
                    </w:r>
                    <w:r>
                      <w:rPr>
                        <w:rFonts w:ascii="Times New Roman" w:hAnsi="Times New Roman" w:eastAsia="Times New Roman" w:cs="Times New Roman"/>
                        <w:color w:val="231F20"/>
                        <w:spacing w:val="1"/>
                        <w:sz w:val="20"/>
                        <w:szCs w:val="20"/>
                      </w:rPr>
                      <w:t xml:space="preserve">200 </w:t>
                    </w:r>
                    <w:r>
                      <w:rPr>
                        <w:rFonts w:ascii="微软雅黑" w:hAnsi="微软雅黑" w:eastAsia="微软雅黑" w:cs="微软雅黑"/>
                        <w:color w:val="231F20"/>
                        <w:spacing w:val="1"/>
                        <w:sz w:val="20"/>
                        <w:szCs w:val="20"/>
                      </w:rPr>
                      <w:t>亿元。</w:t>
                    </w:r>
                  </w:p>
                </w:txbxContent>
              </v:textbox>
            </v:shape>
            <w10:wrap type="none"/>
            <w10:anchorlock/>
          </v:group>
        </w:pic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6307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409" name="IM 409"/>
            <wp:cNvGraphicFramePr/>
            <a:graphic xmlns:a="http://schemas.openxmlformats.org/drawingml/2006/main">
              <a:graphicData uri="http://schemas.openxmlformats.org/drawingml/2006/picture">
                <pic:pic xmlns:pic="http://schemas.openxmlformats.org/drawingml/2006/picture">
                  <pic:nvPicPr>
                    <pic:cNvPr id="409" name="IM 409"/>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r>
        <w:rPr>
          <w:rFonts w:ascii="Arial" w:hAnsi="Arial" w:eastAsia="Arial" w:cs="Arial"/>
          <w:color w:val="231F20"/>
          <w:spacing w:val="41"/>
          <w:sz w:val="20"/>
          <w:szCs w:val="20"/>
        </w:rPr>
        <w:t>8</w:t>
      </w:r>
      <w:r>
        <w:rPr>
          <w:rFonts w:ascii="Arial" w:hAnsi="Arial" w:eastAsia="Arial" w:cs="Arial"/>
          <w:color w:val="231F20"/>
          <w:spacing w:val="21"/>
          <w:sz w:val="20"/>
          <w:szCs w:val="20"/>
        </w:rPr>
        <w:t xml:space="preserve">8  </w:t>
      </w:r>
      <w:r>
        <w:rPr>
          <w:position w:val="-5"/>
          <w:sz w:val="20"/>
          <w:szCs w:val="20"/>
        </w:rPr>
        <w:drawing>
          <wp:inline distT="0" distB="0" distL="0" distR="0">
            <wp:extent cx="3175" cy="147320"/>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411" name="IM 411"/>
            <wp:cNvGraphicFramePr/>
            <a:graphic xmlns:a="http://schemas.openxmlformats.org/drawingml/2006/main">
              <a:graphicData uri="http://schemas.openxmlformats.org/drawingml/2006/picture">
                <pic:pic xmlns:pic="http://schemas.openxmlformats.org/drawingml/2006/picture">
                  <pic:nvPicPr>
                    <pic:cNvPr id="411" name="IM 411"/>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91" w:line="223" w:lineRule="auto"/>
        <w:ind w:left="2568"/>
        <w:rPr>
          <w:rFonts w:ascii="SimHei" w:hAnsi="SimHei" w:eastAsia="SimHei" w:cs="SimHei"/>
          <w:sz w:val="28"/>
          <w:szCs w:val="28"/>
        </w:rPr>
      </w:pPr>
      <w:r>
        <w:rPr>
          <w:rFonts w:ascii="SimHei" w:hAnsi="SimHei" w:eastAsia="SimHei" w:cs="SimHei"/>
          <w:color w:val="015DAC"/>
          <w:spacing w:val="-4"/>
          <w:sz w:val="28"/>
          <w:szCs w:val="28"/>
        </w:rPr>
        <w:t>九</w:t>
      </w:r>
      <w:r>
        <w:rPr>
          <w:rFonts w:ascii="SimHei" w:hAnsi="SimHei" w:eastAsia="SimHei" w:cs="SimHei"/>
          <w:color w:val="015DAC"/>
          <w:spacing w:val="-3"/>
          <w:sz w:val="28"/>
          <w:szCs w:val="28"/>
        </w:rPr>
        <w:t>、</w:t>
      </w:r>
      <w:r>
        <w:rPr>
          <w:rFonts w:ascii="SimHei" w:hAnsi="SimHei" w:eastAsia="SimHei" w:cs="SimHei"/>
          <w:color w:val="015DAC"/>
          <w:spacing w:val="-2"/>
          <w:sz w:val="28"/>
          <w:szCs w:val="28"/>
        </w:rPr>
        <w:t>重庆市</w:t>
      </w:r>
    </w:p>
    <w:p>
      <w:pPr>
        <w:spacing w:line="355" w:lineRule="auto"/>
        <w:rPr>
          <w:rFonts w:ascii="Arial"/>
          <w:sz w:val="21"/>
        </w:rPr>
      </w:pPr>
    </w:p>
    <w:p>
      <w:pPr>
        <w:spacing w:before="94" w:line="202" w:lineRule="auto"/>
        <w:ind w:left="2442"/>
        <w:rPr>
          <w:rFonts w:ascii="微软雅黑" w:hAnsi="微软雅黑" w:eastAsia="微软雅黑" w:cs="微软雅黑"/>
          <w:sz w:val="22"/>
          <w:szCs w:val="22"/>
        </w:rPr>
      </w:pPr>
      <w:r>
        <w:rPr>
          <w:rFonts w:ascii="Times New Roman" w:hAnsi="Times New Roman" w:eastAsia="Times New Roman" w:cs="Times New Roman"/>
          <w:color w:val="231F20"/>
          <w:spacing w:val="-8"/>
          <w:sz w:val="22"/>
          <w:szCs w:val="22"/>
        </w:rPr>
        <w:t>2021</w:t>
      </w:r>
      <w:r>
        <w:rPr>
          <w:rFonts w:ascii="Times New Roman" w:hAnsi="Times New Roman" w:eastAsia="Times New Roman" w:cs="Times New Roman"/>
          <w:color w:val="231F20"/>
          <w:spacing w:val="-5"/>
          <w:sz w:val="22"/>
          <w:szCs w:val="22"/>
        </w:rPr>
        <w:t xml:space="preserve"> </w:t>
      </w:r>
      <w:r>
        <w:rPr>
          <w:rFonts w:ascii="微软雅黑" w:hAnsi="微软雅黑" w:eastAsia="微软雅黑" w:cs="微软雅黑"/>
          <w:color w:val="231F20"/>
          <w:spacing w:val="-4"/>
          <w:sz w:val="22"/>
          <w:szCs w:val="22"/>
        </w:rPr>
        <w:t>年 ，重庆市着力加强外商投资服务 ，重点提升服务水平 ，加强政策支持 ，持</w:t>
      </w:r>
    </w:p>
    <w:p>
      <w:pPr>
        <w:spacing w:before="82" w:line="272" w:lineRule="auto"/>
        <w:ind w:left="1995" w:right="1982" w:firstLine="1"/>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续释放扩大</w:t>
      </w:r>
      <w:r>
        <w:rPr>
          <w:rFonts w:ascii="微软雅黑" w:hAnsi="微软雅黑" w:eastAsia="微软雅黑" w:cs="微软雅黑"/>
          <w:color w:val="231F20"/>
          <w:sz w:val="22"/>
          <w:szCs w:val="22"/>
        </w:rPr>
        <w:t xml:space="preserve">开放的积极信号 ，吸引投资者加大在重庆的投资力度 ，实际利用外资和新 </w:t>
      </w:r>
      <w:r>
        <w:rPr>
          <w:rFonts w:ascii="微软雅黑" w:hAnsi="微软雅黑" w:eastAsia="微软雅黑" w:cs="微软雅黑"/>
          <w:color w:val="231F20"/>
          <w:spacing w:val="1"/>
          <w:sz w:val="22"/>
          <w:szCs w:val="22"/>
        </w:rPr>
        <w:t>设外资企业取得双增长，</w:t>
      </w:r>
      <w:r>
        <w:rPr>
          <w:rFonts w:ascii="微软雅黑" w:hAnsi="微软雅黑" w:eastAsia="微软雅黑" w:cs="微软雅黑"/>
          <w:color w:val="231F20"/>
          <w:sz w:val="22"/>
          <w:szCs w:val="22"/>
        </w:rPr>
        <w:t>外资质量进一步提高。</w:t>
      </w:r>
    </w:p>
    <w:p>
      <w:pPr>
        <w:spacing w:before="178" w:line="221" w:lineRule="auto"/>
        <w:ind w:left="2462"/>
        <w:rPr>
          <w:rFonts w:ascii="SimHei" w:hAnsi="SimHei" w:eastAsia="SimHei" w:cs="SimHei"/>
          <w:sz w:val="24"/>
          <w:szCs w:val="24"/>
        </w:rPr>
      </w:pPr>
      <w:r>
        <w:rPr>
          <w:rFonts w:ascii="SimHei" w:hAnsi="SimHei" w:eastAsia="SimHei" w:cs="SimHei"/>
          <w:color w:val="015DAC"/>
          <w:spacing w:val="7"/>
          <w:sz w:val="24"/>
          <w:szCs w:val="24"/>
        </w:rPr>
        <w:t>(一) 健全外资服务四级调度机</w:t>
      </w:r>
      <w:r>
        <w:rPr>
          <w:rFonts w:ascii="SimHei" w:hAnsi="SimHei" w:eastAsia="SimHei" w:cs="SimHei"/>
          <w:color w:val="015DAC"/>
          <w:spacing w:val="6"/>
          <w:sz w:val="24"/>
          <w:szCs w:val="24"/>
        </w:rPr>
        <w:t>制</w:t>
      </w:r>
    </w:p>
    <w:p>
      <w:pPr>
        <w:spacing w:before="332" w:line="266" w:lineRule="auto"/>
        <w:ind w:left="2000" w:right="1979" w:firstLine="440"/>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健全市领导高</w:t>
      </w:r>
      <w:r>
        <w:rPr>
          <w:rFonts w:ascii="微软雅黑" w:hAnsi="微软雅黑" w:eastAsia="微软雅黑" w:cs="微软雅黑"/>
          <w:color w:val="231F20"/>
          <w:spacing w:val="3"/>
          <w:sz w:val="22"/>
          <w:szCs w:val="22"/>
        </w:rPr>
        <w:t>位推动、市级部门横向联动、市区纵向联动、部门内部正向循环的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四级外资调度机制。市</w:t>
      </w:r>
      <w:r>
        <w:rPr>
          <w:rFonts w:ascii="微软雅黑" w:hAnsi="微软雅黑" w:eastAsia="微软雅黑" w:cs="微软雅黑"/>
          <w:color w:val="231F20"/>
          <w:spacing w:val="1"/>
          <w:sz w:val="22"/>
          <w:szCs w:val="22"/>
        </w:rPr>
        <w:t xml:space="preserve">政府每半年召开 </w:t>
      </w:r>
      <w:r>
        <w:rPr>
          <w:rFonts w:ascii="Times New Roman" w:hAnsi="Times New Roman" w:eastAsia="Times New Roman" w:cs="Times New Roman"/>
          <w:color w:val="231F20"/>
          <w:spacing w:val="1"/>
          <w:sz w:val="22"/>
          <w:szCs w:val="22"/>
        </w:rPr>
        <w:t xml:space="preserve">1 </w:t>
      </w:r>
      <w:r>
        <w:rPr>
          <w:rFonts w:ascii="微软雅黑" w:hAnsi="微软雅黑" w:eastAsia="微软雅黑" w:cs="微软雅黑"/>
          <w:color w:val="231F20"/>
          <w:spacing w:val="1"/>
          <w:sz w:val="22"/>
          <w:szCs w:val="22"/>
        </w:rPr>
        <w:t>次外商投资企业座谈会 ，通报全市经济社会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发展有</w:t>
      </w:r>
      <w:r>
        <w:rPr>
          <w:rFonts w:ascii="微软雅黑" w:hAnsi="微软雅黑" w:eastAsia="微软雅黑" w:cs="微软雅黑"/>
          <w:color w:val="231F20"/>
          <w:spacing w:val="-6"/>
          <w:sz w:val="22"/>
          <w:szCs w:val="22"/>
        </w:rPr>
        <w:t>关</w:t>
      </w:r>
      <w:r>
        <w:rPr>
          <w:rFonts w:ascii="微软雅黑" w:hAnsi="微软雅黑" w:eastAsia="微软雅黑" w:cs="微软雅黑"/>
          <w:color w:val="231F20"/>
          <w:spacing w:val="-4"/>
          <w:sz w:val="22"/>
          <w:szCs w:val="22"/>
        </w:rPr>
        <w:t>情况，  听取企业的意见和建议 ，点对点精准调度一批重大外资项目到资。</w:t>
      </w:r>
    </w:p>
    <w:p>
      <w:pPr>
        <w:spacing w:before="179" w:line="222" w:lineRule="auto"/>
        <w:ind w:left="2462"/>
        <w:rPr>
          <w:rFonts w:ascii="SimHei" w:hAnsi="SimHei" w:eastAsia="SimHei" w:cs="SimHei"/>
          <w:sz w:val="24"/>
          <w:szCs w:val="24"/>
        </w:rPr>
      </w:pPr>
      <w:r>
        <w:rPr>
          <w:rFonts w:ascii="SimHei" w:hAnsi="SimHei" w:eastAsia="SimHei" w:cs="SimHei"/>
          <w:color w:val="015DAC"/>
          <w:spacing w:val="7"/>
          <w:sz w:val="24"/>
          <w:szCs w:val="24"/>
        </w:rPr>
        <w:t>(二) 提出“五带五新”服务理</w:t>
      </w:r>
      <w:r>
        <w:rPr>
          <w:rFonts w:ascii="SimHei" w:hAnsi="SimHei" w:eastAsia="SimHei" w:cs="SimHei"/>
          <w:color w:val="015DAC"/>
          <w:spacing w:val="6"/>
          <w:sz w:val="24"/>
          <w:szCs w:val="24"/>
        </w:rPr>
        <w:t>念</w:t>
      </w:r>
    </w:p>
    <w:p>
      <w:pPr>
        <w:spacing w:before="320" w:line="257" w:lineRule="auto"/>
        <w:ind w:left="1988" w:right="1917" w:firstLine="463"/>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重</w:t>
      </w:r>
      <w:r>
        <w:rPr>
          <w:rFonts w:ascii="微软雅黑" w:hAnsi="微软雅黑" w:eastAsia="微软雅黑" w:cs="微软雅黑"/>
          <w:color w:val="231F20"/>
          <w:spacing w:val="5"/>
          <w:sz w:val="22"/>
          <w:szCs w:val="22"/>
        </w:rPr>
        <w:t>庆</w:t>
      </w:r>
      <w:r>
        <w:rPr>
          <w:rFonts w:ascii="微软雅黑" w:hAnsi="微软雅黑" w:eastAsia="微软雅黑" w:cs="微软雅黑"/>
          <w:color w:val="231F20"/>
          <w:spacing w:val="3"/>
          <w:sz w:val="22"/>
          <w:szCs w:val="22"/>
        </w:rPr>
        <w:t>提出“五带五新”服务理念。</w:t>
      </w:r>
      <w:r>
        <w:rPr>
          <w:rFonts w:ascii="SimHei" w:hAnsi="SimHei" w:eastAsia="SimHei" w:cs="SimHei"/>
          <w:color w:val="231F20"/>
          <w:spacing w:val="3"/>
          <w:sz w:val="22"/>
          <w:szCs w:val="22"/>
        </w:rPr>
        <w:t>线下带线上，创新服务新方式。</w:t>
      </w:r>
      <w:r>
        <w:rPr>
          <w:rFonts w:ascii="微软雅黑" w:hAnsi="微软雅黑" w:eastAsia="微软雅黑" w:cs="微软雅黑"/>
          <w:color w:val="231F20"/>
          <w:spacing w:val="3"/>
          <w:sz w:val="22"/>
          <w:szCs w:val="22"/>
        </w:rPr>
        <w:t>建设外商投资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企业智慧服务云平台 ，开设外资政策发布 、</w:t>
      </w:r>
      <w:r>
        <w:rPr>
          <w:rFonts w:ascii="微软雅黑" w:hAnsi="微软雅黑" w:eastAsia="微软雅黑" w:cs="微软雅黑"/>
          <w:color w:val="231F20"/>
          <w:spacing w:val="-1"/>
          <w:sz w:val="22"/>
          <w:szCs w:val="22"/>
        </w:rPr>
        <w:t>外资营商环境测评等窗口 ，加大宣传推广</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力度 ，为外商投资市场主体提供线上服务。设立外商投资市场主体线上投诉协</w:t>
      </w:r>
      <w:r>
        <w:rPr>
          <w:rFonts w:ascii="微软雅黑" w:hAnsi="微软雅黑" w:eastAsia="微软雅黑" w:cs="微软雅黑"/>
          <w:color w:val="231F20"/>
          <w:spacing w:val="1"/>
          <w:sz w:val="22"/>
          <w:szCs w:val="22"/>
        </w:rPr>
        <w:t>调</w:t>
      </w:r>
      <w:r>
        <w:rPr>
          <w:rFonts w:ascii="微软雅黑" w:hAnsi="微软雅黑" w:eastAsia="微软雅黑" w:cs="微软雅黑"/>
          <w:color w:val="231F20"/>
          <w:sz w:val="22"/>
          <w:szCs w:val="22"/>
        </w:rPr>
        <w:t xml:space="preserve">专用 </w:t>
      </w:r>
      <w:r>
        <w:rPr>
          <w:rFonts w:ascii="微软雅黑" w:hAnsi="微软雅黑" w:eastAsia="微软雅黑" w:cs="微软雅黑"/>
          <w:color w:val="231F20"/>
          <w:spacing w:val="2"/>
          <w:sz w:val="22"/>
          <w:szCs w:val="22"/>
        </w:rPr>
        <w:t>通道 ，外商投资市</w:t>
      </w:r>
      <w:r>
        <w:rPr>
          <w:rFonts w:ascii="微软雅黑" w:hAnsi="微软雅黑" w:eastAsia="微软雅黑" w:cs="微软雅黑"/>
          <w:color w:val="231F20"/>
          <w:spacing w:val="1"/>
          <w:sz w:val="22"/>
          <w:szCs w:val="22"/>
        </w:rPr>
        <w:t>场主体诉求可一键发送 ，实现“互联网</w:t>
      </w:r>
      <w:r>
        <w:rPr>
          <w:rFonts w:ascii="Times New Roman" w:hAnsi="Times New Roman" w:eastAsia="Times New Roman" w:cs="Times New Roman"/>
          <w:color w:val="231F20"/>
          <w:spacing w:val="1"/>
          <w:sz w:val="22"/>
          <w:szCs w:val="22"/>
        </w:rPr>
        <w:t xml:space="preserve">+ </w:t>
      </w:r>
      <w:r>
        <w:rPr>
          <w:rFonts w:ascii="微软雅黑" w:hAnsi="微软雅黑" w:eastAsia="微软雅黑" w:cs="微软雅黑"/>
          <w:color w:val="231F20"/>
          <w:spacing w:val="1"/>
          <w:sz w:val="22"/>
          <w:szCs w:val="22"/>
        </w:rPr>
        <w:t>政府督查”连接，及时跟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踪办理，保证外</w:t>
      </w:r>
      <w:r>
        <w:rPr>
          <w:rFonts w:ascii="微软雅黑" w:hAnsi="微软雅黑" w:eastAsia="微软雅黑" w:cs="微软雅黑"/>
          <w:color w:val="231F20"/>
          <w:spacing w:val="4"/>
          <w:sz w:val="22"/>
          <w:szCs w:val="22"/>
        </w:rPr>
        <w:t>商</w:t>
      </w:r>
      <w:r>
        <w:rPr>
          <w:rFonts w:ascii="微软雅黑" w:hAnsi="微软雅黑" w:eastAsia="微软雅黑" w:cs="微软雅黑"/>
          <w:color w:val="231F20"/>
          <w:spacing w:val="3"/>
          <w:sz w:val="22"/>
          <w:szCs w:val="22"/>
        </w:rPr>
        <w:t>投资市场主体诉求办结质量。建成服务外商投资市场主体线上数据</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库 ，联系走访外商投资市场主体情况 ，直接线上报</w:t>
      </w:r>
      <w:r>
        <w:rPr>
          <w:rFonts w:ascii="微软雅黑" w:hAnsi="微软雅黑" w:eastAsia="微软雅黑" w:cs="微软雅黑"/>
          <w:color w:val="231F20"/>
          <w:spacing w:val="-1"/>
          <w:sz w:val="22"/>
          <w:szCs w:val="22"/>
        </w:rPr>
        <w:t>送 ，可随时查询进展情况。</w:t>
      </w:r>
      <w:r>
        <w:rPr>
          <w:rFonts w:ascii="SimHei" w:hAnsi="SimHei" w:eastAsia="SimHei" w:cs="SimHei"/>
          <w:color w:val="231F20"/>
          <w:spacing w:val="-1"/>
          <w:sz w:val="22"/>
          <w:szCs w:val="22"/>
        </w:rPr>
        <w:t>市级带</w:t>
      </w:r>
      <w:r>
        <w:rPr>
          <w:rFonts w:ascii="SimHei" w:hAnsi="SimHei" w:eastAsia="SimHei" w:cs="SimHei"/>
          <w:color w:val="231F20"/>
          <w:sz w:val="22"/>
          <w:szCs w:val="22"/>
        </w:rPr>
        <w:t xml:space="preserve"> </w:t>
      </w:r>
      <w:r>
        <w:rPr>
          <w:rFonts w:ascii="SimHei" w:hAnsi="SimHei" w:eastAsia="SimHei" w:cs="SimHei"/>
          <w:color w:val="231F20"/>
          <w:spacing w:val="-7"/>
          <w:sz w:val="22"/>
          <w:szCs w:val="22"/>
        </w:rPr>
        <w:t>区</w:t>
      </w:r>
      <w:r>
        <w:rPr>
          <w:rFonts w:ascii="SimHei" w:hAnsi="SimHei" w:eastAsia="SimHei" w:cs="SimHei"/>
          <w:color w:val="231F20"/>
          <w:spacing w:val="-6"/>
          <w:sz w:val="22"/>
          <w:szCs w:val="22"/>
        </w:rPr>
        <w:t xml:space="preserve">县， 凝聚服务新力量。 </w:t>
      </w:r>
      <w:r>
        <w:rPr>
          <w:rFonts w:ascii="微软雅黑" w:hAnsi="微软雅黑" w:eastAsia="微软雅黑" w:cs="微软雅黑"/>
          <w:color w:val="231F20"/>
          <w:spacing w:val="-6"/>
          <w:sz w:val="22"/>
          <w:szCs w:val="22"/>
        </w:rPr>
        <w:t>联动市级相关部门组建市级“外商投资行政服务管家”队伍，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指导区县进一步充实调整“外商投资行政服务管家”队伍 ，</w:t>
      </w:r>
      <w:r>
        <w:rPr>
          <w:rFonts w:ascii="微软雅黑" w:hAnsi="微软雅黑" w:eastAsia="微软雅黑" w:cs="微软雅黑"/>
          <w:color w:val="231F20"/>
          <w:spacing w:val="1"/>
          <w:sz w:val="22"/>
          <w:szCs w:val="22"/>
        </w:rPr>
        <w:t>全市“外商投资行政服务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 xml:space="preserve">管家”达 </w:t>
      </w:r>
      <w:r>
        <w:rPr>
          <w:rFonts w:ascii="Times New Roman" w:hAnsi="Times New Roman" w:eastAsia="Times New Roman" w:cs="Times New Roman"/>
          <w:color w:val="231F20"/>
          <w:spacing w:val="2"/>
          <w:sz w:val="22"/>
          <w:szCs w:val="22"/>
        </w:rPr>
        <w:t xml:space="preserve">416 </w:t>
      </w:r>
      <w:r>
        <w:rPr>
          <w:rFonts w:ascii="微软雅黑" w:hAnsi="微软雅黑" w:eastAsia="微软雅黑" w:cs="微软雅黑"/>
          <w:color w:val="231F20"/>
          <w:spacing w:val="2"/>
          <w:sz w:val="22"/>
          <w:szCs w:val="22"/>
        </w:rPr>
        <w:t>人。</w:t>
      </w:r>
      <w:r>
        <w:rPr>
          <w:rFonts w:ascii="SimHei" w:hAnsi="SimHei" w:eastAsia="SimHei" w:cs="SimHei"/>
          <w:color w:val="231F20"/>
          <w:spacing w:val="2"/>
          <w:sz w:val="22"/>
          <w:szCs w:val="22"/>
        </w:rPr>
        <w:t>机关带协</w:t>
      </w:r>
      <w:r>
        <w:rPr>
          <w:rFonts w:ascii="SimHei" w:hAnsi="SimHei" w:eastAsia="SimHei" w:cs="SimHei"/>
          <w:color w:val="231F20"/>
          <w:spacing w:val="1"/>
          <w:sz w:val="22"/>
          <w:szCs w:val="22"/>
        </w:rPr>
        <w:t>会，搭建服务新桥梁。</w:t>
      </w:r>
      <w:r>
        <w:rPr>
          <w:rFonts w:ascii="微软雅黑" w:hAnsi="微软雅黑" w:eastAsia="微软雅黑" w:cs="微软雅黑"/>
          <w:color w:val="231F20"/>
          <w:spacing w:val="1"/>
          <w:sz w:val="22"/>
          <w:szCs w:val="22"/>
        </w:rPr>
        <w:t>加强外商协会工作指导 ，注重发挥</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行</w:t>
      </w:r>
      <w:r>
        <w:rPr>
          <w:rFonts w:ascii="微软雅黑" w:hAnsi="微软雅黑" w:eastAsia="微软雅黑" w:cs="微软雅黑"/>
          <w:color w:val="231F20"/>
          <w:sz w:val="22"/>
          <w:szCs w:val="22"/>
        </w:rPr>
        <w:t xml:space="preserve">业协会作用 ，推动外商企业协会做好会员企业服务工作。重点带全面 ，完善服务新 </w:t>
      </w:r>
      <w:r>
        <w:rPr>
          <w:rFonts w:ascii="微软雅黑" w:hAnsi="微软雅黑" w:eastAsia="微软雅黑" w:cs="微软雅黑"/>
          <w:color w:val="231F20"/>
          <w:spacing w:val="4"/>
          <w:sz w:val="22"/>
          <w:szCs w:val="22"/>
        </w:rPr>
        <w:t>机制。重庆市政府领</w:t>
      </w:r>
      <w:r>
        <w:rPr>
          <w:rFonts w:ascii="微软雅黑" w:hAnsi="微软雅黑" w:eastAsia="微软雅黑" w:cs="微软雅黑"/>
          <w:color w:val="231F20"/>
          <w:spacing w:val="2"/>
          <w:sz w:val="22"/>
          <w:szCs w:val="22"/>
        </w:rPr>
        <w:t xml:space="preserve">导定点联系 </w:t>
      </w:r>
      <w:r>
        <w:rPr>
          <w:rFonts w:ascii="Times New Roman" w:hAnsi="Times New Roman" w:eastAsia="Times New Roman" w:cs="Times New Roman"/>
          <w:color w:val="231F20"/>
          <w:spacing w:val="2"/>
          <w:sz w:val="22"/>
          <w:szCs w:val="22"/>
        </w:rPr>
        <w:t xml:space="preserve">21 </w:t>
      </w:r>
      <w:r>
        <w:rPr>
          <w:rFonts w:ascii="微软雅黑" w:hAnsi="微软雅黑" w:eastAsia="微软雅黑" w:cs="微软雅黑"/>
          <w:color w:val="231F20"/>
          <w:spacing w:val="2"/>
          <w:sz w:val="22"/>
          <w:szCs w:val="22"/>
        </w:rPr>
        <w:t>家重点外商投资企业，  重庆市商务委建立定员分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片包干联系服务机制 ，</w:t>
      </w:r>
      <w:r>
        <w:rPr>
          <w:rFonts w:ascii="微软雅黑" w:hAnsi="微软雅黑" w:eastAsia="微软雅黑" w:cs="微软雅黑"/>
          <w:color w:val="231F20"/>
          <w:sz w:val="22"/>
          <w:szCs w:val="22"/>
        </w:rPr>
        <w:t xml:space="preserve">机关干部定点联系 </w:t>
      </w:r>
      <w:r>
        <w:rPr>
          <w:rFonts w:ascii="Times New Roman" w:hAnsi="Times New Roman" w:eastAsia="Times New Roman" w:cs="Times New Roman"/>
          <w:color w:val="231F20"/>
          <w:sz w:val="22"/>
          <w:szCs w:val="22"/>
        </w:rPr>
        <w:t xml:space="preserve">520 </w:t>
      </w:r>
      <w:r>
        <w:rPr>
          <w:rFonts w:ascii="微软雅黑" w:hAnsi="微软雅黑" w:eastAsia="微软雅黑" w:cs="微软雅黑"/>
          <w:color w:val="231F20"/>
          <w:sz w:val="22"/>
          <w:szCs w:val="22"/>
        </w:rPr>
        <w:t xml:space="preserve">家规上线上外商投资企业 ，推动区县定 </w:t>
      </w:r>
      <w:r>
        <w:rPr>
          <w:rFonts w:ascii="微软雅黑" w:hAnsi="微软雅黑" w:eastAsia="微软雅黑" w:cs="微软雅黑"/>
          <w:color w:val="231F20"/>
          <w:spacing w:val="6"/>
          <w:sz w:val="22"/>
          <w:szCs w:val="22"/>
        </w:rPr>
        <w:t>点联系服务辖</w:t>
      </w:r>
      <w:r>
        <w:rPr>
          <w:rFonts w:ascii="微软雅黑" w:hAnsi="微软雅黑" w:eastAsia="微软雅黑" w:cs="微软雅黑"/>
          <w:color w:val="231F20"/>
          <w:spacing w:val="4"/>
          <w:sz w:val="22"/>
          <w:szCs w:val="22"/>
        </w:rPr>
        <w:t>区</w:t>
      </w:r>
      <w:r>
        <w:rPr>
          <w:rFonts w:ascii="微软雅黑" w:hAnsi="微软雅黑" w:eastAsia="微软雅黑" w:cs="微软雅黑"/>
          <w:color w:val="231F20"/>
          <w:spacing w:val="3"/>
          <w:sz w:val="22"/>
          <w:szCs w:val="22"/>
        </w:rPr>
        <w:t>外商投资市场主体全覆盖。</w:t>
      </w:r>
      <w:r>
        <w:rPr>
          <w:rFonts w:ascii="SimHei" w:hAnsi="SimHei" w:eastAsia="SimHei" w:cs="SimHei"/>
          <w:color w:val="231F20"/>
          <w:spacing w:val="3"/>
          <w:sz w:val="22"/>
          <w:szCs w:val="22"/>
        </w:rPr>
        <w:t>服务带管理，强化管理新思路。</w:t>
      </w:r>
      <w:r>
        <w:rPr>
          <w:rFonts w:ascii="微软雅黑" w:hAnsi="微软雅黑" w:eastAsia="微软雅黑" w:cs="微软雅黑"/>
          <w:color w:val="231F20"/>
          <w:spacing w:val="3"/>
          <w:sz w:val="22"/>
          <w:szCs w:val="22"/>
        </w:rPr>
        <w:t>落实好外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商投资信息报告制度 ，组织外商投资企业参与 </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年外商投资信息报告，</w:t>
      </w:r>
      <w:r>
        <w:rPr>
          <w:rFonts w:ascii="微软雅黑" w:hAnsi="微软雅黑" w:eastAsia="微软雅黑" w:cs="微软雅黑"/>
          <w:color w:val="231F20"/>
          <w:sz w:val="22"/>
          <w:szCs w:val="22"/>
        </w:rPr>
        <w:t xml:space="preserve">  实现外商 </w:t>
      </w:r>
      <w:r>
        <w:rPr>
          <w:rFonts w:ascii="微软雅黑" w:hAnsi="微软雅黑" w:eastAsia="微软雅黑" w:cs="微软雅黑"/>
          <w:color w:val="231F20"/>
          <w:spacing w:val="2"/>
          <w:sz w:val="22"/>
          <w:szCs w:val="22"/>
        </w:rPr>
        <w:t>投资企业服务和</w:t>
      </w:r>
      <w:r>
        <w:rPr>
          <w:rFonts w:ascii="微软雅黑" w:hAnsi="微软雅黑" w:eastAsia="微软雅黑" w:cs="微软雅黑"/>
          <w:color w:val="231F20"/>
          <w:spacing w:val="1"/>
          <w:sz w:val="22"/>
          <w:szCs w:val="22"/>
        </w:rPr>
        <w:t>管理同步推进。</w:t>
      </w:r>
    </w:p>
    <w:p>
      <w:pPr>
        <w:spacing w:before="181" w:line="222" w:lineRule="auto"/>
        <w:ind w:left="2462"/>
        <w:rPr>
          <w:rFonts w:ascii="SimHei" w:hAnsi="SimHei" w:eastAsia="SimHei" w:cs="SimHei"/>
          <w:sz w:val="24"/>
          <w:szCs w:val="24"/>
        </w:rPr>
      </w:pPr>
      <w:r>
        <w:rPr>
          <w:rFonts w:ascii="SimHei" w:hAnsi="SimHei" w:eastAsia="SimHei" w:cs="SimHei"/>
          <w:color w:val="015DAC"/>
          <w:spacing w:val="7"/>
          <w:sz w:val="24"/>
          <w:szCs w:val="24"/>
        </w:rPr>
        <w:t>(三) 扎实开展“三送一访”活</w:t>
      </w:r>
      <w:r>
        <w:rPr>
          <w:rFonts w:ascii="SimHei" w:hAnsi="SimHei" w:eastAsia="SimHei" w:cs="SimHei"/>
          <w:color w:val="015DAC"/>
          <w:spacing w:val="6"/>
          <w:sz w:val="24"/>
          <w:szCs w:val="24"/>
        </w:rPr>
        <w:t>动</w:t>
      </w:r>
    </w:p>
    <w:p>
      <w:pPr>
        <w:spacing w:before="332" w:line="272" w:lineRule="auto"/>
        <w:ind w:left="2001" w:right="1983" w:firstLine="449"/>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扎实推进送政策 、送工具 、送咨询 、访企业的“三送一访”活动 ，服务</w:t>
      </w:r>
      <w:r>
        <w:rPr>
          <w:rFonts w:ascii="微软雅黑" w:hAnsi="微软雅黑" w:eastAsia="微软雅黑" w:cs="微软雅黑"/>
          <w:color w:val="231F20"/>
          <w:sz w:val="22"/>
          <w:szCs w:val="22"/>
        </w:rPr>
        <w:t xml:space="preserve">外商投 </w:t>
      </w:r>
      <w:r>
        <w:rPr>
          <w:rFonts w:ascii="微软雅黑" w:hAnsi="微软雅黑" w:eastAsia="微软雅黑" w:cs="微软雅黑"/>
          <w:color w:val="231F20"/>
          <w:spacing w:val="14"/>
          <w:sz w:val="22"/>
          <w:szCs w:val="22"/>
        </w:rPr>
        <w:t>资市场</w:t>
      </w:r>
      <w:r>
        <w:rPr>
          <w:rFonts w:ascii="微软雅黑" w:hAnsi="微软雅黑" w:eastAsia="微软雅黑" w:cs="微软雅黑"/>
          <w:color w:val="231F20"/>
          <w:spacing w:val="8"/>
          <w:sz w:val="22"/>
          <w:szCs w:val="22"/>
        </w:rPr>
        <w:t>主</w:t>
      </w:r>
      <w:r>
        <w:rPr>
          <w:rFonts w:ascii="微软雅黑" w:hAnsi="微软雅黑" w:eastAsia="微软雅黑" w:cs="微软雅黑"/>
          <w:color w:val="231F20"/>
          <w:spacing w:val="7"/>
          <w:sz w:val="22"/>
          <w:szCs w:val="22"/>
        </w:rPr>
        <w:t xml:space="preserve">体，  对全市 </w:t>
      </w:r>
      <w:r>
        <w:rPr>
          <w:rFonts w:ascii="Times New Roman" w:hAnsi="Times New Roman" w:eastAsia="Times New Roman" w:cs="Times New Roman"/>
          <w:color w:val="231F20"/>
          <w:spacing w:val="7"/>
          <w:sz w:val="22"/>
          <w:szCs w:val="22"/>
        </w:rPr>
        <w:t xml:space="preserve">6700 </w:t>
      </w:r>
      <w:r>
        <w:rPr>
          <w:rFonts w:ascii="微软雅黑" w:hAnsi="微软雅黑" w:eastAsia="微软雅黑" w:cs="微软雅黑"/>
          <w:color w:val="231F20"/>
          <w:spacing w:val="7"/>
          <w:sz w:val="22"/>
          <w:szCs w:val="22"/>
        </w:rPr>
        <w:t>余家外商投资市场主体开展了“全覆盖”的直接联系服</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6409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r>
        <w:rPr>
          <w:rFonts w:ascii="SimHei" w:hAnsi="SimHei" w:eastAsia="SimHei" w:cs="SimHei"/>
          <w:color w:val="1A67B3"/>
          <w:spacing w:val="35"/>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413" name="IM 413"/>
            <wp:cNvGraphicFramePr/>
            <a:graphic xmlns:a="http://schemas.openxmlformats.org/drawingml/2006/main">
              <a:graphicData uri="http://schemas.openxmlformats.org/drawingml/2006/picture">
                <pic:pic xmlns:pic="http://schemas.openxmlformats.org/drawingml/2006/picture">
                  <pic:nvPicPr>
                    <pic:cNvPr id="413" name="IM 413"/>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89</w:t>
      </w: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95" w:line="259" w:lineRule="auto"/>
        <w:ind w:left="1991" w:right="1890" w:firstLine="5"/>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务 。</w:t>
      </w:r>
      <w:r>
        <w:rPr>
          <w:rFonts w:ascii="微软雅黑" w:hAnsi="微软雅黑" w:eastAsia="微软雅黑" w:cs="微软雅黑"/>
          <w:color w:val="231F20"/>
          <w:spacing w:val="-1"/>
          <w:sz w:val="22"/>
          <w:szCs w:val="22"/>
        </w:rPr>
        <w:t>建立走访联系服务台账 、项目清单 、问题建议清单 、典型案例等“ 一账 、三张</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清单”</w:t>
      </w:r>
      <w:r>
        <w:rPr>
          <w:rFonts w:ascii="微软雅黑" w:hAnsi="微软雅黑" w:eastAsia="微软雅黑" w:cs="微软雅黑"/>
          <w:color w:val="231F20"/>
          <w:spacing w:val="2"/>
          <w:sz w:val="22"/>
          <w:szCs w:val="22"/>
        </w:rPr>
        <w:t>。通过“线上</w:t>
      </w:r>
      <w:r>
        <w:rPr>
          <w:rFonts w:ascii="Times New Roman" w:hAnsi="Times New Roman" w:eastAsia="Times New Roman" w:cs="Times New Roman"/>
          <w:color w:val="231F20"/>
          <w:spacing w:val="2"/>
          <w:sz w:val="22"/>
          <w:szCs w:val="22"/>
        </w:rPr>
        <w:t xml:space="preserve">+ </w:t>
      </w:r>
      <w:r>
        <w:rPr>
          <w:rFonts w:ascii="微软雅黑" w:hAnsi="微软雅黑" w:eastAsia="微软雅黑" w:cs="微软雅黑"/>
          <w:color w:val="231F20"/>
          <w:spacing w:val="2"/>
          <w:sz w:val="22"/>
          <w:szCs w:val="22"/>
        </w:rPr>
        <w:t xml:space="preserve">线下”的精心服务，累计帮助企业协调解决困难和问题 </w:t>
      </w:r>
      <w:r>
        <w:rPr>
          <w:rFonts w:ascii="Times New Roman" w:hAnsi="Times New Roman" w:eastAsia="Times New Roman" w:cs="Times New Roman"/>
          <w:color w:val="231F20"/>
          <w:spacing w:val="2"/>
          <w:sz w:val="22"/>
          <w:szCs w:val="22"/>
        </w:rPr>
        <w:t>252</w:t>
      </w:r>
      <w:r>
        <w:rPr>
          <w:rFonts w:ascii="微软雅黑" w:hAnsi="微软雅黑" w:eastAsia="微软雅黑" w:cs="微软雅黑"/>
          <w:color w:val="231F20"/>
          <w:spacing w:val="2"/>
          <w:sz w:val="22"/>
          <w:szCs w:val="22"/>
        </w:rPr>
        <w:t>个。</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建立长效服务机制 ，举办出入境便利化 、劳动税务金融等政策宣讲会和外资银企</w:t>
      </w:r>
      <w:r>
        <w:rPr>
          <w:rFonts w:ascii="微软雅黑" w:hAnsi="微软雅黑" w:eastAsia="微软雅黑" w:cs="微软雅黑"/>
          <w:color w:val="231F20"/>
          <w:spacing w:val="1"/>
          <w:sz w:val="22"/>
          <w:szCs w:val="22"/>
        </w:rPr>
        <w:t>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接活动 ，提高金融等政策支持外资的精准性和直达性 ，推动银行为外资企业开展</w:t>
      </w:r>
      <w:r>
        <w:rPr>
          <w:rFonts w:ascii="微软雅黑" w:hAnsi="微软雅黑" w:eastAsia="微软雅黑" w:cs="微软雅黑"/>
          <w:color w:val="231F20"/>
          <w:spacing w:val="3"/>
          <w:sz w:val="22"/>
          <w:szCs w:val="22"/>
        </w:rPr>
        <w:t>融</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 xml:space="preserve">资超 </w:t>
      </w:r>
      <w:r>
        <w:rPr>
          <w:rFonts w:ascii="Times New Roman" w:hAnsi="Times New Roman" w:eastAsia="Times New Roman" w:cs="Times New Roman"/>
          <w:color w:val="231F20"/>
          <w:spacing w:val="4"/>
          <w:sz w:val="22"/>
          <w:szCs w:val="22"/>
        </w:rPr>
        <w:t>1000</w:t>
      </w:r>
      <w:r>
        <w:rPr>
          <w:rFonts w:ascii="微软雅黑" w:hAnsi="微软雅黑" w:eastAsia="微软雅黑" w:cs="微软雅黑"/>
          <w:color w:val="231F20"/>
          <w:spacing w:val="4"/>
          <w:sz w:val="22"/>
          <w:szCs w:val="22"/>
        </w:rPr>
        <w:t>亿元。开展外资企业区县行活动，高效搭建外资企业与区县交流合作平台</w:t>
      </w:r>
      <w:r>
        <w:rPr>
          <w:rFonts w:ascii="微软雅黑" w:hAnsi="微软雅黑" w:eastAsia="微软雅黑" w:cs="微软雅黑"/>
          <w:color w:val="231F20"/>
          <w:spacing w:val="1"/>
          <w:sz w:val="22"/>
          <w:szCs w:val="22"/>
        </w:rPr>
        <w:t>，</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外商投资市场主体的在重庆获得感和发展信心持续提升。</w:t>
      </w:r>
    </w:p>
    <w:p>
      <w:pPr>
        <w:spacing w:before="187" w:line="222" w:lineRule="auto"/>
        <w:ind w:left="2462"/>
        <w:rPr>
          <w:rFonts w:ascii="SimHei" w:hAnsi="SimHei" w:eastAsia="SimHei" w:cs="SimHei"/>
          <w:sz w:val="24"/>
          <w:szCs w:val="24"/>
        </w:rPr>
      </w:pPr>
      <w:r>
        <w:rPr>
          <w:rFonts w:ascii="SimHei" w:hAnsi="SimHei" w:eastAsia="SimHei" w:cs="SimHei"/>
          <w:color w:val="015DAC"/>
          <w:spacing w:val="7"/>
          <w:sz w:val="24"/>
          <w:szCs w:val="24"/>
        </w:rPr>
        <w:t>(四) 加大外商投资政策支持力</w:t>
      </w:r>
      <w:r>
        <w:rPr>
          <w:rFonts w:ascii="SimHei" w:hAnsi="SimHei" w:eastAsia="SimHei" w:cs="SimHei"/>
          <w:color w:val="015DAC"/>
          <w:spacing w:val="6"/>
          <w:sz w:val="24"/>
          <w:szCs w:val="24"/>
        </w:rPr>
        <w:t>度</w:t>
      </w:r>
    </w:p>
    <w:p>
      <w:pPr>
        <w:spacing w:before="332" w:line="263" w:lineRule="auto"/>
        <w:ind w:left="1989" w:right="1984" w:firstLine="461"/>
        <w:rPr>
          <w:rFonts w:ascii="微软雅黑" w:hAnsi="微软雅黑" w:eastAsia="微软雅黑" w:cs="微软雅黑"/>
          <w:sz w:val="22"/>
          <w:szCs w:val="22"/>
        </w:rPr>
      </w:pPr>
      <w:r>
        <w:rPr>
          <w:rFonts w:ascii="微软雅黑" w:hAnsi="微软雅黑" w:eastAsia="微软雅黑" w:cs="微软雅黑"/>
          <w:color w:val="231F20"/>
          <w:spacing w:val="6"/>
          <w:sz w:val="22"/>
          <w:szCs w:val="22"/>
        </w:rPr>
        <w:t>编</w:t>
      </w:r>
      <w:r>
        <w:rPr>
          <w:rFonts w:ascii="微软雅黑" w:hAnsi="微软雅黑" w:eastAsia="微软雅黑" w:cs="微软雅黑"/>
          <w:color w:val="231F20"/>
          <w:spacing w:val="5"/>
          <w:sz w:val="22"/>
          <w:szCs w:val="22"/>
        </w:rPr>
        <w:t>制</w:t>
      </w:r>
      <w:r>
        <w:rPr>
          <w:rFonts w:ascii="微软雅黑" w:hAnsi="微软雅黑" w:eastAsia="微软雅黑" w:cs="微软雅黑"/>
          <w:color w:val="231F20"/>
          <w:spacing w:val="3"/>
          <w:sz w:val="22"/>
          <w:szCs w:val="22"/>
        </w:rPr>
        <w:t>《利用外资法律法规文件汇编》《利用外资知识问答手册》《外商投资企业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在渝便利手册》等政策汇编和工具书 ，归纳推进存量外商投资企业增资方法、外资并</w:t>
      </w:r>
      <w:r>
        <w:rPr>
          <w:rFonts w:ascii="微软雅黑" w:hAnsi="微软雅黑" w:eastAsia="微软雅黑" w:cs="微软雅黑"/>
          <w:color w:val="231F20"/>
          <w:spacing w:val="-2"/>
          <w:sz w:val="22"/>
          <w:szCs w:val="22"/>
        </w:rPr>
        <w:t>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路径设计等，</w:t>
      </w:r>
      <w:r>
        <w:rPr>
          <w:rFonts w:ascii="微软雅黑" w:hAnsi="微软雅黑" w:eastAsia="微软雅黑" w:cs="微软雅黑"/>
          <w:color w:val="231F20"/>
          <w:spacing w:val="-2"/>
          <w:sz w:val="22"/>
          <w:szCs w:val="22"/>
        </w:rPr>
        <w:t>便利外资政策和外资工具直达企业。制定出台《重庆市外商投资企业投诉</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工作办法</w:t>
      </w:r>
      <w:r>
        <w:rPr>
          <w:rFonts w:ascii="微软雅黑" w:hAnsi="微软雅黑" w:eastAsia="微软雅黑" w:cs="微软雅黑"/>
          <w:color w:val="231F20"/>
          <w:spacing w:val="-5"/>
          <w:sz w:val="22"/>
          <w:szCs w:val="22"/>
        </w:rPr>
        <w:t>》</w:t>
      </w:r>
      <w:r>
        <w:rPr>
          <w:rFonts w:ascii="微软雅黑" w:hAnsi="微软雅黑" w:eastAsia="微软雅黑" w:cs="微软雅黑"/>
          <w:color w:val="231F20"/>
          <w:spacing w:val="-4"/>
          <w:sz w:val="22"/>
          <w:szCs w:val="22"/>
        </w:rPr>
        <w:t>等政策文件 ，强化对区、县稳外资工作指导，加大外商投资合法权益保护。</w:t>
      </w:r>
    </w:p>
    <w:p>
      <w:pPr>
        <w:spacing w:before="178" w:line="222" w:lineRule="auto"/>
        <w:ind w:left="2462"/>
        <w:rPr>
          <w:rFonts w:ascii="SimHei" w:hAnsi="SimHei" w:eastAsia="SimHei" w:cs="SimHei"/>
          <w:sz w:val="24"/>
          <w:szCs w:val="24"/>
        </w:rPr>
      </w:pPr>
      <w:r>
        <w:rPr>
          <w:rFonts w:ascii="SimHei" w:hAnsi="SimHei" w:eastAsia="SimHei" w:cs="SimHei"/>
          <w:color w:val="015DAC"/>
          <w:spacing w:val="7"/>
          <w:sz w:val="24"/>
          <w:szCs w:val="24"/>
        </w:rPr>
        <w:t>(五) 积极开展外商投资促进活</w:t>
      </w:r>
      <w:r>
        <w:rPr>
          <w:rFonts w:ascii="SimHei" w:hAnsi="SimHei" w:eastAsia="SimHei" w:cs="SimHei"/>
          <w:color w:val="015DAC"/>
          <w:spacing w:val="6"/>
          <w:sz w:val="24"/>
          <w:szCs w:val="24"/>
        </w:rPr>
        <w:t>动</w:t>
      </w:r>
    </w:p>
    <w:p>
      <w:pPr>
        <w:spacing w:before="334" w:line="259" w:lineRule="auto"/>
        <w:ind w:left="1986" w:right="1898" w:firstLine="460"/>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利用世界经济论坛、东京消费电子博览会、</w:t>
      </w:r>
      <w:r>
        <w:rPr>
          <w:rFonts w:ascii="微软雅黑" w:hAnsi="微软雅黑" w:eastAsia="微软雅黑" w:cs="微软雅黑"/>
          <w:color w:val="231F20"/>
          <w:sz w:val="22"/>
          <w:szCs w:val="22"/>
        </w:rPr>
        <w:t xml:space="preserve">香港美食展、博鳌亚洲论坛、智博会、 </w:t>
      </w:r>
      <w:r>
        <w:rPr>
          <w:rFonts w:ascii="微软雅黑" w:hAnsi="微软雅黑" w:eastAsia="微软雅黑" w:cs="微软雅黑"/>
          <w:color w:val="231F20"/>
          <w:spacing w:val="2"/>
          <w:sz w:val="22"/>
          <w:szCs w:val="22"/>
        </w:rPr>
        <w:t>进博会、厦洽会、东盟博览会等高能级平台 ，推动市级部门、区县平台、招</w:t>
      </w:r>
      <w:r>
        <w:rPr>
          <w:rFonts w:ascii="微软雅黑" w:hAnsi="微软雅黑" w:eastAsia="微软雅黑" w:cs="微软雅黑"/>
          <w:color w:val="231F20"/>
          <w:sz w:val="22"/>
          <w:szCs w:val="22"/>
        </w:rPr>
        <w:t xml:space="preserve">商网络成 </w:t>
      </w:r>
      <w:r>
        <w:rPr>
          <w:rFonts w:ascii="微软雅黑" w:hAnsi="微软雅黑" w:eastAsia="微软雅黑" w:cs="微软雅黑"/>
          <w:color w:val="231F20"/>
          <w:spacing w:val="1"/>
          <w:sz w:val="22"/>
          <w:szCs w:val="22"/>
        </w:rPr>
        <w:t>员等打造固定的品牌招商活动。</w:t>
      </w:r>
      <w:r>
        <w:rPr>
          <w:rFonts w:ascii="Times New Roman" w:hAnsi="Times New Roman" w:eastAsia="Times New Roman" w:cs="Times New Roman"/>
          <w:color w:val="231F20"/>
          <w:spacing w:val="1"/>
          <w:sz w:val="22"/>
          <w:szCs w:val="22"/>
        </w:rPr>
        <w:t xml:space="preserve">2021 </w:t>
      </w:r>
      <w:r>
        <w:rPr>
          <w:rFonts w:ascii="微软雅黑" w:hAnsi="微软雅黑" w:eastAsia="微软雅黑" w:cs="微软雅黑"/>
          <w:color w:val="231F20"/>
          <w:spacing w:val="1"/>
          <w:sz w:val="22"/>
          <w:szCs w:val="22"/>
        </w:rPr>
        <w:t>年 ，重庆市成功举办第十六届市长顾问</w:t>
      </w:r>
      <w:r>
        <w:rPr>
          <w:rFonts w:ascii="微软雅黑" w:hAnsi="微软雅黑" w:eastAsia="微软雅黑" w:cs="微软雅黑"/>
          <w:color w:val="231F20"/>
          <w:sz w:val="22"/>
          <w:szCs w:val="22"/>
        </w:rPr>
        <w:t xml:space="preserve">团年会、  </w:t>
      </w:r>
      <w:r>
        <w:rPr>
          <w:rFonts w:ascii="微软雅黑" w:hAnsi="微软雅黑" w:eastAsia="微软雅黑" w:cs="微软雅黑"/>
          <w:color w:val="231F20"/>
          <w:spacing w:val="-4"/>
          <w:sz w:val="22"/>
          <w:szCs w:val="22"/>
        </w:rPr>
        <w:t>第三届西洽</w:t>
      </w:r>
      <w:r>
        <w:rPr>
          <w:rFonts w:ascii="微软雅黑" w:hAnsi="微软雅黑" w:eastAsia="微软雅黑" w:cs="微软雅黑"/>
          <w:color w:val="231F20"/>
          <w:spacing w:val="-3"/>
          <w:sz w:val="22"/>
          <w:szCs w:val="22"/>
        </w:rPr>
        <w:t>会</w:t>
      </w:r>
      <w:r>
        <w:rPr>
          <w:rFonts w:ascii="微软雅黑" w:hAnsi="微软雅黑" w:eastAsia="微软雅黑" w:cs="微软雅黑"/>
          <w:color w:val="231F20"/>
          <w:spacing w:val="-2"/>
          <w:sz w:val="22"/>
          <w:szCs w:val="22"/>
        </w:rPr>
        <w:t>、第四届进博会重庆投资贸易合作恳谈会等重大经贸促进活动，通过“集</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 xml:space="preserve">体 </w:t>
      </w:r>
      <w:r>
        <w:rPr>
          <w:rFonts w:ascii="Times New Roman" w:hAnsi="Times New Roman" w:eastAsia="Times New Roman" w:cs="Times New Roman"/>
          <w:color w:val="231F20"/>
          <w:spacing w:val="-1"/>
          <w:sz w:val="22"/>
          <w:szCs w:val="22"/>
        </w:rPr>
        <w:t>+</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单独”“线上</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 xml:space="preserve">线下”“走出去 </w:t>
      </w:r>
      <w:r>
        <w:rPr>
          <w:rFonts w:ascii="Times New Roman" w:hAnsi="Times New Roman" w:eastAsia="Times New Roman" w:cs="Times New Roman"/>
          <w:color w:val="231F20"/>
          <w:sz w:val="22"/>
          <w:szCs w:val="22"/>
        </w:rPr>
        <w:t xml:space="preserve">+ </w:t>
      </w:r>
      <w:r>
        <w:rPr>
          <w:rFonts w:ascii="微软雅黑" w:hAnsi="微软雅黑" w:eastAsia="微软雅黑" w:cs="微软雅黑"/>
          <w:color w:val="231F20"/>
          <w:sz w:val="22"/>
          <w:szCs w:val="22"/>
        </w:rPr>
        <w:t xml:space="preserve">请进来”等方式 ，加大外资招商引资力度 ，与 </w:t>
      </w:r>
      <w:r>
        <w:rPr>
          <w:rFonts w:ascii="微软雅黑" w:hAnsi="微软雅黑" w:eastAsia="微软雅黑" w:cs="微软雅黑"/>
          <w:color w:val="231F20"/>
          <w:spacing w:val="1"/>
          <w:sz w:val="22"/>
          <w:szCs w:val="22"/>
        </w:rPr>
        <w:t>外国投资者保持密</w:t>
      </w:r>
      <w:r>
        <w:rPr>
          <w:rFonts w:ascii="微软雅黑" w:hAnsi="微软雅黑" w:eastAsia="微软雅黑" w:cs="微软雅黑"/>
          <w:color w:val="231F20"/>
          <w:sz w:val="22"/>
          <w:szCs w:val="22"/>
        </w:rPr>
        <w:t>切沟通。</w:t>
      </w:r>
    </w:p>
    <w:p>
      <w:pPr>
        <w:spacing w:line="325" w:lineRule="auto"/>
        <w:rPr>
          <w:rFonts w:ascii="Arial"/>
          <w:sz w:val="21"/>
        </w:rPr>
      </w:pPr>
    </w:p>
    <w:p>
      <w:pPr>
        <w:spacing w:line="325" w:lineRule="auto"/>
        <w:rPr>
          <w:rFonts w:ascii="Arial"/>
          <w:sz w:val="21"/>
        </w:rPr>
      </w:pPr>
    </w:p>
    <w:p>
      <w:pPr>
        <w:spacing w:line="3671" w:lineRule="exact"/>
        <w:ind w:firstLine="1989"/>
        <w:textAlignment w:val="center"/>
      </w:pPr>
      <w:r>
        <w:pict>
          <v:group id="_x0000_s1489" o:spid="_x0000_s1489" o:spt="203" style="height:183.55pt;width:413.6pt;" coordsize="8272,3671">
            <o:lock v:ext="edit"/>
            <v:rect id="_x0000_s1490" o:spid="_x0000_s1490" o:spt="1" style="position:absolute;left:0;top:0;height:3671;width:8272;" fillcolor="#004876" filled="t" stroked="f" coordsize="21600,21600">
              <v:path/>
              <v:fill on="t" opacity="6425f" focussize="0,0"/>
              <v:stroke on="f"/>
              <v:imagedata o:title=""/>
              <o:lock v:ext="edit"/>
            </v:rect>
            <v:shape id="_x0000_s1491" o:spid="_x0000_s1491" o:spt="202" type="#_x0000_t202" style="position:absolute;left:351;top:405;height:3115;width:7555;" filled="f" stroked="f" coordsize="21600,21600">
              <v:path/>
              <v:fill on="f" focussize="0,0"/>
              <v:stroke on="f"/>
              <v:imagedata o:title=""/>
              <o:lock v:ext="edit" aspectratio="f"/>
              <v:textbox inset="0mm,0mm,0mm,0mm">
                <w:txbxContent>
                  <w:p>
                    <w:pPr>
                      <w:spacing w:before="20" w:line="40" w:lineRule="exact"/>
                      <w:ind w:firstLine="20"/>
                      <w:textAlignment w:val="center"/>
                    </w:pPr>
                    <w:r>
                      <w:drawing>
                        <wp:inline distT="0" distB="0" distL="0" distR="0">
                          <wp:extent cx="4739005" cy="25400"/>
                          <wp:effectExtent l="0" t="0" r="0" b="0"/>
                          <wp:docPr id="415" name="IM 415"/>
                          <wp:cNvGraphicFramePr/>
                          <a:graphic xmlns:a="http://schemas.openxmlformats.org/drawingml/2006/main">
                            <a:graphicData uri="http://schemas.openxmlformats.org/drawingml/2006/picture">
                              <pic:pic xmlns:pic="http://schemas.openxmlformats.org/drawingml/2006/picture">
                                <pic:nvPicPr>
                                  <pic:cNvPr id="415" name="IM 415"/>
                                  <pic:cNvPicPr/>
                                </pic:nvPicPr>
                                <pic:blipFill>
                                  <a:blip r:embed="rId159"/>
                                  <a:stretch>
                                    <a:fillRect/>
                                  </a:stretch>
                                </pic:blipFill>
                                <pic:spPr>
                                  <a:xfrm>
                                    <a:off x="0" y="0"/>
                                    <a:ext cx="4739399" cy="25400"/>
                                  </a:xfrm>
                                  <a:prstGeom prst="rect">
                                    <a:avLst/>
                                  </a:prstGeom>
                                </pic:spPr>
                              </pic:pic>
                            </a:graphicData>
                          </a:graphic>
                        </wp:inline>
                      </w:drawing>
                    </w:r>
                  </w:p>
                  <w:p>
                    <w:pPr>
                      <w:spacing w:before="134" w:line="190" w:lineRule="auto"/>
                      <w:ind w:left="148"/>
                      <w:rPr>
                        <w:rFonts w:ascii="Times New Roman" w:hAnsi="Times New Roman" w:eastAsia="Times New Roman" w:cs="Times New Roman"/>
                        <w:sz w:val="21"/>
                        <w:szCs w:val="21"/>
                      </w:rPr>
                    </w:pPr>
                    <w:r>
                      <w:rPr>
                        <w:rFonts w:ascii="SimHei" w:hAnsi="SimHei" w:eastAsia="SimHei" w:cs="SimHei"/>
                        <w:color w:val="015DAC"/>
                        <w:spacing w:val="-5"/>
                        <w:sz w:val="21"/>
                        <w:szCs w:val="21"/>
                      </w:rPr>
                      <w:t>专</w:t>
                    </w:r>
                    <w:r>
                      <w:rPr>
                        <w:rFonts w:ascii="SimHei" w:hAnsi="SimHei" w:eastAsia="SimHei" w:cs="SimHei"/>
                        <w:color w:val="015DAC"/>
                        <w:spacing w:val="-4"/>
                        <w:sz w:val="21"/>
                        <w:szCs w:val="21"/>
                      </w:rPr>
                      <w:t xml:space="preserve">栏 </w:t>
                    </w:r>
                    <w:r>
                      <w:rPr>
                        <w:rFonts w:ascii="Times New Roman" w:hAnsi="Times New Roman" w:eastAsia="Times New Roman" w:cs="Times New Roman"/>
                        <w:color w:val="015DAC"/>
                        <w:spacing w:val="-4"/>
                        <w:sz w:val="21"/>
                        <w:szCs w:val="21"/>
                      </w:rPr>
                      <w:t>3-7</w:t>
                    </w:r>
                  </w:p>
                  <w:p>
                    <w:pPr>
                      <w:spacing w:line="360" w:lineRule="exact"/>
                      <w:ind w:left="1966"/>
                      <w:rPr>
                        <w:rFonts w:ascii="SimHei" w:hAnsi="SimHei" w:eastAsia="SimHei" w:cs="SimHei"/>
                        <w:sz w:val="27"/>
                        <w:szCs w:val="27"/>
                      </w:rPr>
                    </w:pPr>
                    <w:r>
                      <w:rPr>
                        <w:rFonts w:ascii="SimHei" w:hAnsi="SimHei" w:eastAsia="SimHei" w:cs="SimHei"/>
                        <w:color w:val="015DAC"/>
                        <w:spacing w:val="13"/>
                        <w:position w:val="1"/>
                        <w:sz w:val="27"/>
                        <w:szCs w:val="27"/>
                        <w14:textOutline w14:w="3175" w14:cap="flat" w14:cmpd="sng">
                          <w14:solidFill>
                            <w14:srgbClr w14:val="015DAC"/>
                          </w14:solidFill>
                          <w14:prstDash w14:val="solid"/>
                          <w14:miter w14:val="0"/>
                        </w14:textOutline>
                      </w:rPr>
                      <w:t>重</w:t>
                    </w:r>
                    <w:r>
                      <w:rPr>
                        <w:rFonts w:ascii="SimHei" w:hAnsi="SimHei" w:eastAsia="SimHei" w:cs="SimHei"/>
                        <w:color w:val="015DAC"/>
                        <w:spacing w:val="10"/>
                        <w:position w:val="1"/>
                        <w:sz w:val="27"/>
                        <w:szCs w:val="27"/>
                        <w14:textOutline w14:w="3175" w14:cap="flat" w14:cmpd="sng">
                          <w14:solidFill>
                            <w14:srgbClr w14:val="015DAC"/>
                          </w14:solidFill>
                          <w14:prstDash w14:val="solid"/>
                          <w14:miter w14:val="0"/>
                        </w14:textOutline>
                      </w:rPr>
                      <w:t>庆举办的重大投资促进活动</w:t>
                    </w:r>
                  </w:p>
                  <w:p>
                    <w:pPr>
                      <w:spacing w:line="242" w:lineRule="auto"/>
                      <w:rPr>
                        <w:rFonts w:ascii="Arial"/>
                        <w:sz w:val="21"/>
                      </w:rPr>
                    </w:pPr>
                  </w:p>
                  <w:p>
                    <w:pPr>
                      <w:spacing w:line="40" w:lineRule="exact"/>
                      <w:ind w:firstLine="20"/>
                      <w:textAlignment w:val="center"/>
                    </w:pPr>
                    <w:r>
                      <w:drawing>
                        <wp:inline distT="0" distB="0" distL="0" distR="0">
                          <wp:extent cx="4739005" cy="25400"/>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160"/>
                                  <a:stretch>
                                    <a:fillRect/>
                                  </a:stretch>
                                </pic:blipFill>
                                <pic:spPr>
                                  <a:xfrm>
                                    <a:off x="0" y="0"/>
                                    <a:ext cx="4739399" cy="25400"/>
                                  </a:xfrm>
                                  <a:prstGeom prst="rect">
                                    <a:avLst/>
                                  </a:prstGeom>
                                </pic:spPr>
                              </pic:pic>
                            </a:graphicData>
                          </a:graphic>
                        </wp:inline>
                      </w:drawing>
                    </w: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before="86" w:line="280" w:lineRule="auto"/>
                      <w:ind w:left="109" w:right="101" w:firstLine="403"/>
                      <w:rPr>
                        <w:rFonts w:ascii="微软雅黑" w:hAnsi="微软雅黑" w:eastAsia="微软雅黑" w:cs="微软雅黑"/>
                        <w:sz w:val="20"/>
                        <w:szCs w:val="20"/>
                      </w:rPr>
                    </w:pPr>
                    <w:r>
                      <w:rPr>
                        <w:rFonts w:ascii="SimHei" w:hAnsi="SimHei" w:eastAsia="SimHei" w:cs="SimHei"/>
                        <w:color w:val="231F20"/>
                        <w:spacing w:val="1"/>
                        <w:sz w:val="20"/>
                        <w:szCs w:val="20"/>
                      </w:rPr>
                      <w:t>第三届</w:t>
                    </w:r>
                    <w:r>
                      <w:rPr>
                        <w:rFonts w:ascii="SimHei" w:hAnsi="SimHei" w:eastAsia="SimHei" w:cs="SimHei"/>
                        <w:color w:val="231F20"/>
                        <w:sz w:val="20"/>
                        <w:szCs w:val="20"/>
                      </w:rPr>
                      <w:t>中国西部国际投资贸易洽谈会。</w:t>
                    </w:r>
                    <w:r>
                      <w:rPr>
                        <w:rFonts w:ascii="Times New Roman" w:hAnsi="Times New Roman" w:eastAsia="Times New Roman" w:cs="Times New Roman"/>
                        <w:color w:val="231F20"/>
                        <w:sz w:val="20"/>
                        <w:szCs w:val="20"/>
                      </w:rPr>
                      <w:t xml:space="preserve">2021 </w:t>
                    </w:r>
                    <w:r>
                      <w:rPr>
                        <w:rFonts w:ascii="微软雅黑" w:hAnsi="微软雅黑" w:eastAsia="微软雅黑" w:cs="微软雅黑"/>
                        <w:color w:val="231F20"/>
                        <w:sz w:val="20"/>
                        <w:szCs w:val="20"/>
                      </w:rPr>
                      <w:t xml:space="preserve">年 </w:t>
                    </w:r>
                    <w:r>
                      <w:rPr>
                        <w:rFonts w:ascii="Times New Roman" w:hAnsi="Times New Roman" w:eastAsia="Times New Roman" w:cs="Times New Roman"/>
                        <w:color w:val="231F20"/>
                        <w:sz w:val="20"/>
                        <w:szCs w:val="20"/>
                      </w:rPr>
                      <w:t xml:space="preserve">5 </w:t>
                    </w:r>
                    <w:r>
                      <w:rPr>
                        <w:rFonts w:ascii="微软雅黑" w:hAnsi="微软雅黑" w:eastAsia="微软雅黑" w:cs="微软雅黑"/>
                        <w:color w:val="231F20"/>
                        <w:sz w:val="20"/>
                        <w:szCs w:val="20"/>
                      </w:rPr>
                      <w:t xml:space="preserve">月 </w:t>
                    </w:r>
                    <w:r>
                      <w:rPr>
                        <w:rFonts w:ascii="Times New Roman" w:hAnsi="Times New Roman" w:eastAsia="Times New Roman" w:cs="Times New Roman"/>
                        <w:color w:val="231F20"/>
                        <w:sz w:val="20"/>
                        <w:szCs w:val="20"/>
                      </w:rPr>
                      <w:t xml:space="preserve">21 </w:t>
                    </w:r>
                    <w:r>
                      <w:rPr>
                        <w:rFonts w:ascii="微软雅黑" w:hAnsi="微软雅黑" w:eastAsia="微软雅黑" w:cs="微软雅黑"/>
                        <w:color w:val="231F20"/>
                        <w:sz w:val="20"/>
                        <w:szCs w:val="20"/>
                      </w:rPr>
                      <w:t xml:space="preserve">日至 </w:t>
                    </w:r>
                    <w:r>
                      <w:rPr>
                        <w:rFonts w:ascii="Times New Roman" w:hAnsi="Times New Roman" w:eastAsia="Times New Roman" w:cs="Times New Roman"/>
                        <w:color w:val="231F20"/>
                        <w:sz w:val="20"/>
                        <w:szCs w:val="20"/>
                      </w:rPr>
                      <w:t xml:space="preserve">23 </w:t>
                    </w:r>
                    <w:r>
                      <w:rPr>
                        <w:rFonts w:ascii="微软雅黑" w:hAnsi="微软雅黑" w:eastAsia="微软雅黑" w:cs="微软雅黑"/>
                        <w:color w:val="231F20"/>
                        <w:sz w:val="20"/>
                        <w:szCs w:val="20"/>
                      </w:rPr>
                      <w:t xml:space="preserve">日 ，第三届中国 </w:t>
                    </w:r>
                    <w:r>
                      <w:rPr>
                        <w:rFonts w:ascii="微软雅黑" w:hAnsi="微软雅黑" w:eastAsia="微软雅黑" w:cs="微软雅黑"/>
                        <w:color w:val="231F20"/>
                        <w:spacing w:val="1"/>
                        <w:sz w:val="20"/>
                        <w:szCs w:val="20"/>
                      </w:rPr>
                      <w:t xml:space="preserve">西部国际投资贸易洽谈会暨 </w:t>
                    </w:r>
                    <w:r>
                      <w:rPr>
                        <w:rFonts w:ascii="Times New Roman" w:hAnsi="Times New Roman" w:eastAsia="Times New Roman" w:cs="Times New Roman"/>
                        <w:color w:val="231F20"/>
                        <w:spacing w:val="1"/>
                        <w:sz w:val="20"/>
                        <w:szCs w:val="20"/>
                      </w:rPr>
                      <w:t>20</w:t>
                    </w:r>
                    <w:r>
                      <w:rPr>
                        <w:rFonts w:ascii="Times New Roman" w:hAnsi="Times New Roman" w:eastAsia="Times New Roman" w:cs="Times New Roman"/>
                        <w:color w:val="231F20"/>
                        <w:sz w:val="20"/>
                        <w:szCs w:val="20"/>
                      </w:rPr>
                      <w:t xml:space="preserve">21 </w:t>
                    </w:r>
                    <w:r>
                      <w:rPr>
                        <w:rFonts w:ascii="微软雅黑" w:hAnsi="微软雅黑" w:eastAsia="微软雅黑" w:cs="微软雅黑"/>
                        <w:color w:val="231F20"/>
                        <w:sz w:val="20"/>
                        <w:szCs w:val="20"/>
                      </w:rPr>
                      <w:t xml:space="preserve">陆海新通道国际合作论坛在重庆举行 ，共设置 </w:t>
                    </w:r>
                    <w:r>
                      <w:rPr>
                        <w:rFonts w:ascii="Times New Roman" w:hAnsi="Times New Roman" w:eastAsia="Times New Roman" w:cs="Times New Roman"/>
                        <w:color w:val="231F20"/>
                        <w:sz w:val="20"/>
                        <w:szCs w:val="20"/>
                      </w:rPr>
                      <w:t>8</w:t>
                    </w:r>
                    <w:r>
                      <w:rPr>
                        <w:rFonts w:ascii="微软雅黑" w:hAnsi="微软雅黑" w:eastAsia="微软雅黑" w:cs="微软雅黑"/>
                        <w:color w:val="231F20"/>
                        <w:sz w:val="20"/>
                        <w:szCs w:val="20"/>
                      </w:rPr>
                      <w:t>个</w:t>
                    </w:r>
                  </w:p>
                  <w:p>
                    <w:pPr>
                      <w:spacing w:line="197" w:lineRule="auto"/>
                      <w:ind w:left="110"/>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主题</w:t>
                    </w:r>
                    <w:r>
                      <w:rPr>
                        <w:rFonts w:ascii="微软雅黑" w:hAnsi="微软雅黑" w:eastAsia="微软雅黑" w:cs="微软雅黑"/>
                        <w:color w:val="231F20"/>
                        <w:spacing w:val="-2"/>
                        <w:sz w:val="20"/>
                        <w:szCs w:val="20"/>
                      </w:rPr>
                      <w:t>展馆，</w:t>
                    </w:r>
                    <w:r>
                      <w:rPr>
                        <w:rFonts w:ascii="Times New Roman" w:hAnsi="Times New Roman" w:eastAsia="Times New Roman" w:cs="Times New Roman"/>
                        <w:color w:val="231F20"/>
                        <w:spacing w:val="-2"/>
                        <w:sz w:val="20"/>
                        <w:szCs w:val="20"/>
                      </w:rPr>
                      <w:t xml:space="preserve">40 </w:t>
                    </w:r>
                    <w:r>
                      <w:rPr>
                        <w:rFonts w:ascii="微软雅黑" w:hAnsi="微软雅黑" w:eastAsia="微软雅黑" w:cs="微软雅黑"/>
                        <w:color w:val="231F20"/>
                        <w:spacing w:val="-2"/>
                        <w:sz w:val="20"/>
                        <w:szCs w:val="20"/>
                      </w:rPr>
                      <w:t>余个国家 ( 地区 ) 、</w:t>
                    </w:r>
                    <w:r>
                      <w:rPr>
                        <w:rFonts w:ascii="Times New Roman" w:hAnsi="Times New Roman" w:eastAsia="Times New Roman" w:cs="Times New Roman"/>
                        <w:color w:val="231F20"/>
                        <w:spacing w:val="-2"/>
                        <w:sz w:val="20"/>
                        <w:szCs w:val="20"/>
                      </w:rPr>
                      <w:t xml:space="preserve">26 </w:t>
                    </w:r>
                    <w:r>
                      <w:rPr>
                        <w:rFonts w:ascii="微软雅黑" w:hAnsi="微软雅黑" w:eastAsia="微软雅黑" w:cs="微软雅黑"/>
                        <w:color w:val="231F20"/>
                        <w:spacing w:val="-2"/>
                        <w:sz w:val="20"/>
                        <w:szCs w:val="20"/>
                      </w:rPr>
                      <w:t xml:space="preserve">个省区市、超过 </w:t>
                    </w:r>
                    <w:r>
                      <w:rPr>
                        <w:rFonts w:ascii="Times New Roman" w:hAnsi="Times New Roman" w:eastAsia="Times New Roman" w:cs="Times New Roman"/>
                        <w:color w:val="231F20"/>
                        <w:spacing w:val="-2"/>
                        <w:sz w:val="20"/>
                        <w:szCs w:val="20"/>
                      </w:rPr>
                      <w:t xml:space="preserve">4100 </w:t>
                    </w:r>
                    <w:r>
                      <w:rPr>
                        <w:rFonts w:ascii="微软雅黑" w:hAnsi="微软雅黑" w:eastAsia="微软雅黑" w:cs="微软雅黑"/>
                        <w:color w:val="231F20"/>
                        <w:spacing w:val="-2"/>
                        <w:sz w:val="20"/>
                        <w:szCs w:val="20"/>
                      </w:rPr>
                      <w:t>家企业 ( 机构 ) 参展参会。</w:t>
                    </w:r>
                  </w:p>
                </w:txbxContent>
              </v:textbox>
            </v:shape>
            <w10:wrap type="none"/>
            <w10:anchorlock/>
          </v:group>
        </w:pic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65120" behindDoc="1" locked="0" layoutInCell="0" allowOverlap="1">
            <wp:simplePos x="0" y="0"/>
            <wp:positionH relativeFrom="page">
              <wp:posOffset>0</wp:posOffset>
            </wp:positionH>
            <wp:positionV relativeFrom="page">
              <wp:posOffset>10052685</wp:posOffset>
            </wp:positionV>
            <wp:extent cx="7776210" cy="422910"/>
            <wp:effectExtent l="0" t="0" r="0" b="0"/>
            <wp:wrapNone/>
            <wp:docPr id="417" name="IM 417"/>
            <wp:cNvGraphicFramePr/>
            <a:graphic xmlns:a="http://schemas.openxmlformats.org/drawingml/2006/main">
              <a:graphicData uri="http://schemas.openxmlformats.org/drawingml/2006/picture">
                <pic:pic xmlns:pic="http://schemas.openxmlformats.org/drawingml/2006/picture">
                  <pic:nvPicPr>
                    <pic:cNvPr id="417" name="IM 417"/>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r>
        <w:rPr>
          <w:rFonts w:ascii="Arial" w:hAnsi="Arial" w:eastAsia="Arial" w:cs="Arial"/>
          <w:color w:val="231F20"/>
          <w:spacing w:val="40"/>
          <w:sz w:val="20"/>
          <w:szCs w:val="20"/>
        </w:rPr>
        <w:t>9</w:t>
      </w:r>
      <w:r>
        <w:rPr>
          <w:rFonts w:ascii="Arial" w:hAnsi="Arial" w:eastAsia="Arial" w:cs="Arial"/>
          <w:color w:val="231F20"/>
          <w:spacing w:val="21"/>
          <w:sz w:val="20"/>
          <w:szCs w:val="20"/>
        </w:rPr>
        <w:t xml:space="preserve">0  </w:t>
      </w:r>
      <w:r>
        <w:rPr>
          <w:position w:val="-5"/>
          <w:sz w:val="20"/>
          <w:szCs w:val="20"/>
        </w:rPr>
        <w:drawing>
          <wp:inline distT="0" distB="0" distL="0" distR="0">
            <wp:extent cx="3175" cy="147320"/>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419" name="IM 419"/>
            <wp:cNvGraphicFramePr/>
            <a:graphic xmlns:a="http://schemas.openxmlformats.org/drawingml/2006/main">
              <a:graphicData uri="http://schemas.openxmlformats.org/drawingml/2006/picture">
                <pic:pic xmlns:pic="http://schemas.openxmlformats.org/drawingml/2006/picture">
                  <pic:nvPicPr>
                    <pic:cNvPr id="419" name="IM 419"/>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8093" w:lineRule="exact"/>
        <w:ind w:firstLine="1989"/>
        <w:textAlignment w:val="center"/>
      </w:pPr>
      <w:r>
        <w:pict>
          <v:shape id="_x0000_s1492" o:spid="_x0000_s1492" o:spt="202" type="#_x0000_t202" style="height:404.65pt;width:413.6pt;" fillcolor="#E5EDF1" filled="t" stroked="f" coordsize="21600,21600">
            <v:path/>
            <v:fill on="t" focussize="0,0"/>
            <v:stroke on="f"/>
            <v:imagedata o:title=""/>
            <o:lock v:ext="edit" aspectratio="f"/>
            <v:textbox inset="0mm,0mm,0mm,0mm">
              <w:txbxContent>
                <w:p>
                  <w:pPr>
                    <w:spacing w:line="433" w:lineRule="auto"/>
                    <w:rPr>
                      <w:rFonts w:ascii="Arial"/>
                      <w:sz w:val="21"/>
                    </w:rPr>
                  </w:pPr>
                </w:p>
                <w:p>
                  <w:pPr>
                    <w:spacing w:before="85" w:line="286" w:lineRule="auto"/>
                    <w:ind w:left="490" w:right="408" w:firstLine="7"/>
                    <w:rPr>
                      <w:rFonts w:ascii="微软雅黑" w:hAnsi="微软雅黑" w:eastAsia="微软雅黑" w:cs="微软雅黑"/>
                      <w:sz w:val="20"/>
                      <w:szCs w:val="20"/>
                    </w:rPr>
                  </w:pPr>
                  <w:r>
                    <w:rPr>
                      <w:rFonts w:ascii="微软雅黑" w:hAnsi="微软雅黑" w:eastAsia="微软雅黑" w:cs="微软雅黑"/>
                      <w:color w:val="231F20"/>
                      <w:spacing w:val="6"/>
                      <w:sz w:val="20"/>
                      <w:szCs w:val="20"/>
                    </w:rPr>
                    <w:t>展会设有线</w:t>
                  </w:r>
                  <w:r>
                    <w:rPr>
                      <w:rFonts w:ascii="微软雅黑" w:hAnsi="微软雅黑" w:eastAsia="微软雅黑" w:cs="微软雅黑"/>
                      <w:color w:val="231F20"/>
                      <w:spacing w:val="5"/>
                      <w:sz w:val="20"/>
                      <w:szCs w:val="20"/>
                    </w:rPr>
                    <w:t>下</w:t>
                  </w:r>
                  <w:r>
                    <w:rPr>
                      <w:rFonts w:ascii="微软雅黑" w:hAnsi="微软雅黑" w:eastAsia="微软雅黑" w:cs="微软雅黑"/>
                      <w:color w:val="231F20"/>
                      <w:spacing w:val="3"/>
                      <w:sz w:val="20"/>
                      <w:szCs w:val="20"/>
                    </w:rPr>
                    <w:t xml:space="preserve"> </w:t>
                  </w:r>
                  <w:r>
                    <w:rPr>
                      <w:rFonts w:ascii="Times New Roman" w:hAnsi="Times New Roman" w:eastAsia="Times New Roman" w:cs="Times New Roman"/>
                      <w:color w:val="231F20"/>
                      <w:spacing w:val="3"/>
                      <w:sz w:val="20"/>
                      <w:szCs w:val="20"/>
                    </w:rPr>
                    <w:t xml:space="preserve">11 </w:t>
                  </w:r>
                  <w:r>
                    <w:rPr>
                      <w:rFonts w:ascii="微软雅黑" w:hAnsi="微软雅黑" w:eastAsia="微软雅黑" w:cs="微软雅黑"/>
                      <w:color w:val="231F20"/>
                      <w:spacing w:val="3"/>
                      <w:sz w:val="20"/>
                      <w:szCs w:val="20"/>
                    </w:rPr>
                    <w:t>万平方米展区和多渠道推送的线上展厅 ，全方位立体展示了西部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 xml:space="preserve">地区开放合作新成效。展会共举办招商推介、经贸洽谈、考察对接等活动 </w:t>
                  </w:r>
                  <w:r>
                    <w:rPr>
                      <w:rFonts w:ascii="Times New Roman" w:hAnsi="Times New Roman" w:eastAsia="Times New Roman" w:cs="Times New Roman"/>
                      <w:color w:val="231F20"/>
                      <w:spacing w:val="-1"/>
                      <w:sz w:val="20"/>
                      <w:szCs w:val="20"/>
                    </w:rPr>
                    <w:t xml:space="preserve">100 </w:t>
                  </w:r>
                  <w:r>
                    <w:rPr>
                      <w:rFonts w:ascii="微软雅黑" w:hAnsi="微软雅黑" w:eastAsia="微软雅黑" w:cs="微软雅黑"/>
                      <w:color w:val="231F20"/>
                      <w:sz w:val="20"/>
                      <w:szCs w:val="20"/>
                    </w:rPr>
                    <w:t xml:space="preserve">余场， </w:t>
                  </w:r>
                  <w:r>
                    <w:rPr>
                      <w:rFonts w:ascii="微软雅黑" w:hAnsi="微软雅黑" w:eastAsia="微软雅黑" w:cs="微软雅黑"/>
                      <w:color w:val="231F20"/>
                      <w:spacing w:val="-6"/>
                      <w:sz w:val="20"/>
                      <w:szCs w:val="20"/>
                    </w:rPr>
                    <w:t xml:space="preserve">签约项目 </w:t>
                  </w:r>
                  <w:r>
                    <w:rPr>
                      <w:rFonts w:ascii="Times New Roman" w:hAnsi="Times New Roman" w:eastAsia="Times New Roman" w:cs="Times New Roman"/>
                      <w:color w:val="231F20"/>
                      <w:spacing w:val="-6"/>
                      <w:sz w:val="20"/>
                      <w:szCs w:val="20"/>
                    </w:rPr>
                    <w:t xml:space="preserve">359 </w:t>
                  </w:r>
                  <w:r>
                    <w:rPr>
                      <w:rFonts w:ascii="微软雅黑" w:hAnsi="微软雅黑" w:eastAsia="微软雅黑" w:cs="微软雅黑"/>
                      <w:color w:val="231F20"/>
                      <w:spacing w:val="-6"/>
                      <w:sz w:val="20"/>
                      <w:szCs w:val="20"/>
                    </w:rPr>
                    <w:t xml:space="preserve">个，签约总额 </w:t>
                  </w:r>
                  <w:r>
                    <w:rPr>
                      <w:rFonts w:ascii="Times New Roman" w:hAnsi="Times New Roman" w:eastAsia="Times New Roman" w:cs="Times New Roman"/>
                      <w:color w:val="231F20"/>
                      <w:spacing w:val="-6"/>
                      <w:sz w:val="20"/>
                      <w:szCs w:val="20"/>
                    </w:rPr>
                    <w:t xml:space="preserve">3578.2 </w:t>
                  </w:r>
                  <w:r>
                    <w:rPr>
                      <w:rFonts w:ascii="微软雅黑" w:hAnsi="微软雅黑" w:eastAsia="微软雅黑" w:cs="微软雅黑"/>
                      <w:color w:val="231F20"/>
                      <w:spacing w:val="-6"/>
                      <w:sz w:val="20"/>
                      <w:szCs w:val="20"/>
                    </w:rPr>
                    <w:t xml:space="preserve">亿元。其中，集中签约项目 </w:t>
                  </w:r>
                  <w:r>
                    <w:rPr>
                      <w:rFonts w:ascii="Times New Roman" w:hAnsi="Times New Roman" w:eastAsia="Times New Roman" w:cs="Times New Roman"/>
                      <w:color w:val="231F20"/>
                      <w:spacing w:val="-6"/>
                      <w:sz w:val="20"/>
                      <w:szCs w:val="20"/>
                    </w:rPr>
                    <w:t xml:space="preserve">102 </w:t>
                  </w:r>
                  <w:r>
                    <w:rPr>
                      <w:rFonts w:ascii="微软雅黑" w:hAnsi="微软雅黑" w:eastAsia="微软雅黑" w:cs="微软雅黑"/>
                      <w:color w:val="231F20"/>
                      <w:spacing w:val="-6"/>
                      <w:sz w:val="20"/>
                      <w:szCs w:val="20"/>
                    </w:rPr>
                    <w:t>个，金额</w:t>
                  </w:r>
                  <w:r>
                    <w:rPr>
                      <w:rFonts w:ascii="Times New Roman" w:hAnsi="Times New Roman" w:eastAsia="Times New Roman" w:cs="Times New Roman"/>
                      <w:color w:val="231F20"/>
                      <w:spacing w:val="-6"/>
                      <w:sz w:val="20"/>
                      <w:szCs w:val="20"/>
                    </w:rPr>
                    <w:t>2285</w:t>
                  </w:r>
                  <w:r>
                    <w:rPr>
                      <w:rFonts w:ascii="微软雅黑" w:hAnsi="微软雅黑" w:eastAsia="微软雅黑" w:cs="微软雅黑"/>
                      <w:color w:val="231F20"/>
                      <w:spacing w:val="-6"/>
                      <w:sz w:val="20"/>
                      <w:szCs w:val="20"/>
                    </w:rPr>
                    <w:t>亿元</w:t>
                  </w:r>
                  <w:r>
                    <w:rPr>
                      <w:rFonts w:ascii="微软雅黑" w:hAnsi="微软雅黑" w:eastAsia="微软雅黑" w:cs="微软雅黑"/>
                      <w:color w:val="231F20"/>
                      <w:spacing w:val="-5"/>
                      <w:sz w:val="20"/>
                      <w:szCs w:val="20"/>
                    </w:rPr>
                    <w:t>，</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涵</w:t>
                  </w:r>
                  <w:r>
                    <w:rPr>
                      <w:rFonts w:ascii="微软雅黑" w:hAnsi="微软雅黑" w:eastAsia="微软雅黑" w:cs="微软雅黑"/>
                      <w:color w:val="231F20"/>
                      <w:spacing w:val="2"/>
                      <w:sz w:val="20"/>
                      <w:szCs w:val="20"/>
                    </w:rPr>
                    <w:t xml:space="preserve">盖了信息技术、高端装备、生物技术、清洁能源等 </w:t>
                  </w:r>
                  <w:r>
                    <w:rPr>
                      <w:rFonts w:ascii="Times New Roman" w:hAnsi="Times New Roman" w:eastAsia="Times New Roman" w:cs="Times New Roman"/>
                      <w:color w:val="231F20"/>
                      <w:spacing w:val="2"/>
                      <w:sz w:val="20"/>
                      <w:szCs w:val="20"/>
                    </w:rPr>
                    <w:t xml:space="preserve">20 </w:t>
                  </w:r>
                  <w:r>
                    <w:rPr>
                      <w:rFonts w:ascii="微软雅黑" w:hAnsi="微软雅黑" w:eastAsia="微软雅黑" w:cs="微软雅黑"/>
                      <w:color w:val="231F20"/>
                      <w:spacing w:val="2"/>
                      <w:sz w:val="20"/>
                      <w:szCs w:val="20"/>
                    </w:rPr>
                    <w:t>余个领域；  场外签约项目</w:t>
                  </w:r>
                  <w:r>
                    <w:rPr>
                      <w:rFonts w:ascii="微软雅黑" w:hAnsi="微软雅黑" w:eastAsia="微软雅黑" w:cs="微软雅黑"/>
                      <w:color w:val="231F20"/>
                      <w:sz w:val="20"/>
                      <w:szCs w:val="20"/>
                    </w:rPr>
                    <w:t xml:space="preserve"> </w:t>
                  </w:r>
                  <w:r>
                    <w:rPr>
                      <w:rFonts w:ascii="Times New Roman" w:hAnsi="Times New Roman" w:eastAsia="Times New Roman" w:cs="Times New Roman"/>
                      <w:color w:val="231F20"/>
                      <w:sz w:val="20"/>
                      <w:szCs w:val="20"/>
                    </w:rPr>
                    <w:t xml:space="preserve">257 </w:t>
                  </w:r>
                  <w:r>
                    <w:rPr>
                      <w:rFonts w:ascii="微软雅黑" w:hAnsi="微软雅黑" w:eastAsia="微软雅黑" w:cs="微软雅黑"/>
                      <w:color w:val="231F20"/>
                      <w:sz w:val="20"/>
                      <w:szCs w:val="20"/>
                    </w:rPr>
                    <w:t xml:space="preserve">个，金额 </w:t>
                  </w:r>
                  <w:r>
                    <w:rPr>
                      <w:rFonts w:ascii="Times New Roman" w:hAnsi="Times New Roman" w:eastAsia="Times New Roman" w:cs="Times New Roman"/>
                      <w:color w:val="231F20"/>
                      <w:sz w:val="20"/>
                      <w:szCs w:val="20"/>
                    </w:rPr>
                    <w:t xml:space="preserve">1293.2 </w:t>
                  </w:r>
                  <w:r>
                    <w:rPr>
                      <w:rFonts w:ascii="微软雅黑" w:hAnsi="微软雅黑" w:eastAsia="微软雅黑" w:cs="微软雅黑"/>
                      <w:color w:val="231F20"/>
                      <w:sz w:val="20"/>
                      <w:szCs w:val="20"/>
                    </w:rPr>
                    <w:t>亿元。</w:t>
                  </w:r>
                </w:p>
                <w:p>
                  <w:pPr>
                    <w:spacing w:before="181" w:line="284" w:lineRule="auto"/>
                    <w:ind w:left="492" w:right="369" w:firstLine="414"/>
                    <w:rPr>
                      <w:rFonts w:ascii="微软雅黑" w:hAnsi="微软雅黑" w:eastAsia="微软雅黑" w:cs="微软雅黑"/>
                      <w:sz w:val="20"/>
                      <w:szCs w:val="20"/>
                    </w:rPr>
                  </w:pPr>
                  <w:r>
                    <w:rPr>
                      <w:rFonts w:ascii="SimHei" w:hAnsi="SimHei" w:eastAsia="SimHei" w:cs="SimHei"/>
                      <w:color w:val="231F20"/>
                      <w:spacing w:val="-1"/>
                      <w:sz w:val="20"/>
                      <w:szCs w:val="20"/>
                    </w:rPr>
                    <w:t>重庆市市长国际经济顾问团会议第十六届年会。</w:t>
                  </w:r>
                  <w:r>
                    <w:rPr>
                      <w:rFonts w:ascii="Times New Roman" w:hAnsi="Times New Roman" w:eastAsia="Times New Roman" w:cs="Times New Roman"/>
                      <w:color w:val="231F20"/>
                      <w:spacing w:val="-1"/>
                      <w:sz w:val="20"/>
                      <w:szCs w:val="20"/>
                    </w:rPr>
                    <w:t xml:space="preserve">2021 </w:t>
                  </w:r>
                  <w:r>
                    <w:rPr>
                      <w:rFonts w:ascii="微软雅黑" w:hAnsi="微软雅黑" w:eastAsia="微软雅黑" w:cs="微软雅黑"/>
                      <w:color w:val="231F20"/>
                      <w:spacing w:val="-1"/>
                      <w:sz w:val="20"/>
                      <w:szCs w:val="20"/>
                    </w:rPr>
                    <w:t xml:space="preserve">年 </w:t>
                  </w:r>
                  <w:r>
                    <w:rPr>
                      <w:rFonts w:ascii="Times New Roman" w:hAnsi="Times New Roman" w:eastAsia="Times New Roman" w:cs="Times New Roman"/>
                      <w:color w:val="231F20"/>
                      <w:spacing w:val="-1"/>
                      <w:sz w:val="20"/>
                      <w:szCs w:val="20"/>
                    </w:rPr>
                    <w:t xml:space="preserve">9 </w:t>
                  </w:r>
                  <w:r>
                    <w:rPr>
                      <w:rFonts w:ascii="微软雅黑" w:hAnsi="微软雅黑" w:eastAsia="微软雅黑" w:cs="微软雅黑"/>
                      <w:color w:val="231F20"/>
                      <w:spacing w:val="-1"/>
                      <w:sz w:val="20"/>
                      <w:szCs w:val="20"/>
                    </w:rPr>
                    <w:t xml:space="preserve">月 </w:t>
                  </w:r>
                  <w:r>
                    <w:rPr>
                      <w:rFonts w:ascii="Times New Roman" w:hAnsi="Times New Roman" w:eastAsia="Times New Roman" w:cs="Times New Roman"/>
                      <w:color w:val="231F20"/>
                      <w:spacing w:val="-1"/>
                      <w:sz w:val="20"/>
                      <w:szCs w:val="20"/>
                    </w:rPr>
                    <w:t xml:space="preserve">23 </w:t>
                  </w:r>
                  <w:r>
                    <w:rPr>
                      <w:rFonts w:ascii="微软雅黑" w:hAnsi="微软雅黑" w:eastAsia="微软雅黑" w:cs="微软雅黑"/>
                      <w:color w:val="231F20"/>
                      <w:spacing w:val="-1"/>
                      <w:sz w:val="20"/>
                      <w:szCs w:val="20"/>
                    </w:rPr>
                    <w:t xml:space="preserve">至 </w:t>
                  </w:r>
                  <w:r>
                    <w:rPr>
                      <w:rFonts w:ascii="Times New Roman" w:hAnsi="Times New Roman" w:eastAsia="Times New Roman" w:cs="Times New Roman"/>
                      <w:color w:val="231F20"/>
                      <w:spacing w:val="-1"/>
                      <w:sz w:val="20"/>
                      <w:szCs w:val="20"/>
                    </w:rPr>
                    <w:t xml:space="preserve">25 </w:t>
                  </w:r>
                  <w:r>
                    <w:rPr>
                      <w:rFonts w:ascii="微软雅黑" w:hAnsi="微软雅黑" w:eastAsia="微软雅黑" w:cs="微软雅黑"/>
                      <w:color w:val="231F20"/>
                      <w:spacing w:val="-1"/>
                      <w:sz w:val="20"/>
                      <w:szCs w:val="20"/>
                    </w:rPr>
                    <w:t>日 ，重庆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举办第十六届市长顾问团年会，  以“唱好‘双城记’ 、共建经济圈</w:t>
                  </w:r>
                  <w:r>
                    <w:rPr>
                      <w:rFonts w:ascii="微软雅黑" w:hAnsi="微软雅黑" w:eastAsia="微软雅黑" w:cs="微软雅黑"/>
                      <w:color w:val="231F20"/>
                      <w:sz w:val="20"/>
                      <w:szCs w:val="20"/>
                    </w:rPr>
                    <w:t xml:space="preserve">：机遇与挑战” </w:t>
                  </w:r>
                  <w:r>
                    <w:rPr>
                      <w:rFonts w:ascii="微软雅黑" w:hAnsi="微软雅黑" w:eastAsia="微软雅黑" w:cs="微软雅黑"/>
                      <w:color w:val="231F20"/>
                      <w:spacing w:val="4"/>
                      <w:sz w:val="20"/>
                      <w:szCs w:val="20"/>
                    </w:rPr>
                    <w:t>为主题 ，通过“线上</w:t>
                  </w:r>
                  <w:r>
                    <w:rPr>
                      <w:rFonts w:ascii="Times New Roman" w:hAnsi="Times New Roman" w:eastAsia="Times New Roman" w:cs="Times New Roman"/>
                      <w:color w:val="231F20"/>
                      <w:spacing w:val="4"/>
                      <w:sz w:val="20"/>
                      <w:szCs w:val="20"/>
                    </w:rPr>
                    <w:t xml:space="preserve">+ </w:t>
                  </w:r>
                  <w:r>
                    <w:rPr>
                      <w:rFonts w:ascii="微软雅黑" w:hAnsi="微软雅黑" w:eastAsia="微软雅黑" w:cs="微软雅黑"/>
                      <w:color w:val="231F20"/>
                      <w:spacing w:val="3"/>
                      <w:sz w:val="20"/>
                      <w:szCs w:val="20"/>
                    </w:rPr>
                    <w:t>线</w:t>
                  </w:r>
                  <w:r>
                    <w:rPr>
                      <w:rFonts w:ascii="微软雅黑" w:hAnsi="微软雅黑" w:eastAsia="微软雅黑" w:cs="微软雅黑"/>
                      <w:color w:val="231F20"/>
                      <w:spacing w:val="2"/>
                      <w:sz w:val="20"/>
                      <w:szCs w:val="20"/>
                    </w:rPr>
                    <w:t xml:space="preserve">下”的方式召开 ，来自 </w:t>
                  </w:r>
                  <w:r>
                    <w:rPr>
                      <w:rFonts w:ascii="Times New Roman" w:hAnsi="Times New Roman" w:eastAsia="Times New Roman" w:cs="Times New Roman"/>
                      <w:color w:val="231F20"/>
                      <w:spacing w:val="2"/>
                      <w:sz w:val="20"/>
                      <w:szCs w:val="20"/>
                    </w:rPr>
                    <w:t xml:space="preserve">9 </w:t>
                  </w:r>
                  <w:r>
                    <w:rPr>
                      <w:rFonts w:ascii="微软雅黑" w:hAnsi="微软雅黑" w:eastAsia="微软雅黑" w:cs="微软雅黑"/>
                      <w:color w:val="231F20"/>
                      <w:spacing w:val="2"/>
                      <w:sz w:val="20"/>
                      <w:szCs w:val="20"/>
                    </w:rPr>
                    <w:t xml:space="preserve">个不同国家和地区的 </w:t>
                  </w:r>
                  <w:r>
                    <w:rPr>
                      <w:rFonts w:ascii="Times New Roman" w:hAnsi="Times New Roman" w:eastAsia="Times New Roman" w:cs="Times New Roman"/>
                      <w:color w:val="231F20"/>
                      <w:spacing w:val="2"/>
                      <w:sz w:val="20"/>
                      <w:szCs w:val="20"/>
                    </w:rPr>
                    <w:t xml:space="preserve">38 </w:t>
                  </w:r>
                  <w:r>
                    <w:rPr>
                      <w:rFonts w:ascii="微软雅黑" w:hAnsi="微软雅黑" w:eastAsia="微软雅黑" w:cs="微软雅黑"/>
                      <w:color w:val="231F20"/>
                      <w:spacing w:val="2"/>
                      <w:sz w:val="20"/>
                      <w:szCs w:val="20"/>
                    </w:rPr>
                    <w:t>家顾问</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公</w:t>
                  </w:r>
                  <w:r>
                    <w:rPr>
                      <w:rFonts w:ascii="微软雅黑" w:hAnsi="微软雅黑" w:eastAsia="微软雅黑" w:cs="微软雅黑"/>
                      <w:color w:val="231F20"/>
                      <w:spacing w:val="3"/>
                      <w:sz w:val="20"/>
                      <w:szCs w:val="20"/>
                    </w:rPr>
                    <w:t>司参加主题会议。顾问们围绕协同构建现代产业体系、协同推动数字化智能化发</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展、协</w:t>
                  </w:r>
                  <w:r>
                    <w:rPr>
                      <w:rFonts w:ascii="微软雅黑" w:hAnsi="微软雅黑" w:eastAsia="微软雅黑" w:cs="微软雅黑"/>
                      <w:color w:val="231F20"/>
                      <w:spacing w:val="-9"/>
                      <w:sz w:val="20"/>
                      <w:szCs w:val="20"/>
                    </w:rPr>
                    <w:t>同</w:t>
                  </w:r>
                  <w:r>
                    <w:rPr>
                      <w:rFonts w:ascii="微软雅黑" w:hAnsi="微软雅黑" w:eastAsia="微软雅黑" w:cs="微软雅黑"/>
                      <w:color w:val="231F20"/>
                      <w:spacing w:val="-7"/>
                      <w:sz w:val="20"/>
                      <w:szCs w:val="20"/>
                    </w:rPr>
                    <w:t>推动绿色发展等，分享思想智慧、畅谈合作商机、展望未来发展，达到了“咨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询、联谊、合作、发展”目的 ，进一步增强了外商投资企业对重庆的</w:t>
                  </w:r>
                  <w:r>
                    <w:rPr>
                      <w:rFonts w:ascii="微软雅黑" w:hAnsi="微软雅黑" w:eastAsia="微软雅黑" w:cs="微软雅黑"/>
                      <w:color w:val="231F20"/>
                      <w:sz w:val="20"/>
                      <w:szCs w:val="20"/>
                    </w:rPr>
                    <w:t>信心。</w:t>
                  </w:r>
                </w:p>
                <w:p>
                  <w:pPr>
                    <w:spacing w:before="191" w:line="285" w:lineRule="auto"/>
                    <w:ind w:left="495" w:right="467" w:firstLine="411"/>
                    <w:rPr>
                      <w:rFonts w:ascii="微软雅黑" w:hAnsi="微软雅黑" w:eastAsia="微软雅黑" w:cs="微软雅黑"/>
                      <w:sz w:val="20"/>
                      <w:szCs w:val="20"/>
                    </w:rPr>
                  </w:pPr>
                  <w:r>
                    <w:rPr>
                      <w:rFonts w:ascii="SimHei" w:hAnsi="SimHei" w:eastAsia="SimHei" w:cs="SimHei"/>
                      <w:color w:val="231F20"/>
                      <w:spacing w:val="2"/>
                      <w:sz w:val="20"/>
                      <w:szCs w:val="20"/>
                    </w:rPr>
                    <w:t>第四届进博会重庆投资贸易合作恳谈会。</w:t>
                  </w:r>
                  <w:r>
                    <w:rPr>
                      <w:rFonts w:ascii="Times New Roman" w:hAnsi="Times New Roman" w:eastAsia="Times New Roman" w:cs="Times New Roman"/>
                      <w:color w:val="231F20"/>
                      <w:spacing w:val="2"/>
                      <w:sz w:val="20"/>
                      <w:szCs w:val="20"/>
                    </w:rPr>
                    <w:t xml:space="preserve">2021 </w:t>
                  </w:r>
                  <w:r>
                    <w:rPr>
                      <w:rFonts w:ascii="微软雅黑" w:hAnsi="微软雅黑" w:eastAsia="微软雅黑" w:cs="微软雅黑"/>
                      <w:color w:val="231F20"/>
                      <w:spacing w:val="2"/>
                      <w:sz w:val="20"/>
                      <w:szCs w:val="20"/>
                    </w:rPr>
                    <w:t xml:space="preserve">年 </w:t>
                  </w:r>
                  <w:r>
                    <w:rPr>
                      <w:rFonts w:ascii="Times New Roman" w:hAnsi="Times New Roman" w:eastAsia="Times New Roman" w:cs="Times New Roman"/>
                      <w:color w:val="231F20"/>
                      <w:spacing w:val="2"/>
                      <w:sz w:val="20"/>
                      <w:szCs w:val="20"/>
                    </w:rPr>
                    <w:t>11</w:t>
                  </w:r>
                  <w:r>
                    <w:rPr>
                      <w:rFonts w:ascii="Times New Roman" w:hAnsi="Times New Roman" w:eastAsia="Times New Roman" w:cs="Times New Roman"/>
                      <w:color w:val="231F20"/>
                      <w:spacing w:val="1"/>
                      <w:sz w:val="20"/>
                      <w:szCs w:val="20"/>
                    </w:rPr>
                    <w:t xml:space="preserve"> </w:t>
                  </w:r>
                  <w:r>
                    <w:rPr>
                      <w:rFonts w:ascii="微软雅黑" w:hAnsi="微软雅黑" w:eastAsia="微软雅黑" w:cs="微软雅黑"/>
                      <w:color w:val="231F20"/>
                      <w:spacing w:val="1"/>
                      <w:sz w:val="20"/>
                      <w:szCs w:val="20"/>
                    </w:rPr>
                    <w:t xml:space="preserve">月 </w:t>
                  </w:r>
                  <w:r>
                    <w:rPr>
                      <w:rFonts w:ascii="Times New Roman" w:hAnsi="Times New Roman" w:eastAsia="Times New Roman" w:cs="Times New Roman"/>
                      <w:color w:val="231F20"/>
                      <w:spacing w:val="1"/>
                      <w:sz w:val="20"/>
                      <w:szCs w:val="20"/>
                    </w:rPr>
                    <w:t xml:space="preserve">5 </w:t>
                  </w:r>
                  <w:r>
                    <w:rPr>
                      <w:rFonts w:ascii="微软雅黑" w:hAnsi="微软雅黑" w:eastAsia="微软雅黑" w:cs="微软雅黑"/>
                      <w:color w:val="231F20"/>
                      <w:spacing w:val="1"/>
                      <w:sz w:val="20"/>
                      <w:szCs w:val="20"/>
                    </w:rPr>
                    <w:t>日下午 ，重庆在第四</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届中国国际进口博览</w:t>
                  </w:r>
                  <w:r>
                    <w:rPr>
                      <w:rFonts w:ascii="微软雅黑" w:hAnsi="微软雅黑" w:eastAsia="微软雅黑" w:cs="微软雅黑"/>
                      <w:color w:val="231F20"/>
                      <w:sz w:val="20"/>
                      <w:szCs w:val="20"/>
                    </w:rPr>
                    <w:t>会期间举办投资贸易合作恳谈会 ，</w:t>
                  </w:r>
                  <w:r>
                    <w:rPr>
                      <w:rFonts w:ascii="Times New Roman" w:hAnsi="Times New Roman" w:eastAsia="Times New Roman" w:cs="Times New Roman"/>
                      <w:color w:val="231F20"/>
                      <w:sz w:val="20"/>
                      <w:szCs w:val="20"/>
                    </w:rPr>
                    <w:t xml:space="preserve">37 </w:t>
                  </w:r>
                  <w:r>
                    <w:rPr>
                      <w:rFonts w:ascii="微软雅黑" w:hAnsi="微软雅黑" w:eastAsia="微软雅黑" w:cs="微软雅黑"/>
                      <w:color w:val="231F20"/>
                      <w:sz w:val="20"/>
                      <w:szCs w:val="20"/>
                    </w:rPr>
                    <w:t xml:space="preserve">家“世界 </w:t>
                  </w:r>
                  <w:r>
                    <w:rPr>
                      <w:rFonts w:ascii="Times New Roman" w:hAnsi="Times New Roman" w:eastAsia="Times New Roman" w:cs="Times New Roman"/>
                      <w:color w:val="231F20"/>
                      <w:sz w:val="20"/>
                      <w:szCs w:val="20"/>
                    </w:rPr>
                    <w:t xml:space="preserve">500 </w:t>
                  </w:r>
                  <w:r>
                    <w:rPr>
                      <w:rFonts w:ascii="微软雅黑" w:hAnsi="微软雅黑" w:eastAsia="微软雅黑" w:cs="微软雅黑"/>
                      <w:color w:val="231F20"/>
                      <w:sz w:val="20"/>
                      <w:szCs w:val="20"/>
                    </w:rPr>
                    <w:t xml:space="preserve">强”和行业 </w:t>
                  </w:r>
                  <w:r>
                    <w:rPr>
                      <w:rFonts w:ascii="微软雅黑" w:hAnsi="微软雅黑" w:eastAsia="微软雅黑" w:cs="微软雅黑"/>
                      <w:color w:val="231F20"/>
                      <w:spacing w:val="2"/>
                      <w:sz w:val="20"/>
                      <w:szCs w:val="20"/>
                    </w:rPr>
                    <w:t>领先的跨国企业、外国</w:t>
                  </w:r>
                  <w:r>
                    <w:rPr>
                      <w:rFonts w:ascii="微软雅黑" w:hAnsi="微软雅黑" w:eastAsia="微软雅黑" w:cs="微软雅黑"/>
                      <w:color w:val="231F20"/>
                      <w:spacing w:val="1"/>
                      <w:sz w:val="20"/>
                      <w:szCs w:val="20"/>
                    </w:rPr>
                    <w:t xml:space="preserve">机构组织、重要商协会参会。多家跨国公司与重庆签署了 </w:t>
                  </w:r>
                  <w:r>
                    <w:rPr>
                      <w:rFonts w:ascii="Times New Roman" w:hAnsi="Times New Roman" w:eastAsia="Times New Roman" w:cs="Times New Roman"/>
                      <w:color w:val="231F20"/>
                      <w:spacing w:val="1"/>
                      <w:sz w:val="20"/>
                      <w:szCs w:val="20"/>
                    </w:rPr>
                    <w:t>24</w:t>
                  </w:r>
                  <w:r>
                    <w:rPr>
                      <w:rFonts w:ascii="Times New Roman" w:hAnsi="Times New Roman" w:eastAsia="Times New Roman" w:cs="Times New Roman"/>
                      <w:color w:val="231F20"/>
                      <w:sz w:val="20"/>
                      <w:szCs w:val="20"/>
                    </w:rPr>
                    <w:t xml:space="preserve"> </w:t>
                  </w:r>
                  <w:r>
                    <w:rPr>
                      <w:rFonts w:ascii="微软雅黑" w:hAnsi="微软雅黑" w:eastAsia="微软雅黑" w:cs="微软雅黑"/>
                      <w:color w:val="231F20"/>
                      <w:spacing w:val="-1"/>
                      <w:sz w:val="20"/>
                      <w:szCs w:val="20"/>
                    </w:rPr>
                    <w:t xml:space="preserve">项贸易和投资合作协议。其中，投资类项目 </w:t>
                  </w:r>
                  <w:r>
                    <w:rPr>
                      <w:rFonts w:ascii="Times New Roman" w:hAnsi="Times New Roman" w:eastAsia="Times New Roman" w:cs="Times New Roman"/>
                      <w:color w:val="231F20"/>
                      <w:spacing w:val="-1"/>
                      <w:sz w:val="20"/>
                      <w:szCs w:val="20"/>
                    </w:rPr>
                    <w:t xml:space="preserve">19 </w:t>
                  </w:r>
                  <w:r>
                    <w:rPr>
                      <w:rFonts w:ascii="微软雅黑" w:hAnsi="微软雅黑" w:eastAsia="微软雅黑" w:cs="微软雅黑"/>
                      <w:color w:val="231F20"/>
                      <w:spacing w:val="-1"/>
                      <w:sz w:val="20"/>
                      <w:szCs w:val="20"/>
                    </w:rPr>
                    <w:t xml:space="preserve">个 ( 外资项目 </w:t>
                  </w:r>
                  <w:r>
                    <w:rPr>
                      <w:rFonts w:ascii="Times New Roman" w:hAnsi="Times New Roman" w:eastAsia="Times New Roman" w:cs="Times New Roman"/>
                      <w:color w:val="231F20"/>
                      <w:spacing w:val="-1"/>
                      <w:sz w:val="20"/>
                      <w:szCs w:val="20"/>
                    </w:rPr>
                    <w:t xml:space="preserve">9 </w:t>
                  </w:r>
                  <w:r>
                    <w:rPr>
                      <w:rFonts w:ascii="微软雅黑" w:hAnsi="微软雅黑" w:eastAsia="微软雅黑" w:cs="微软雅黑"/>
                      <w:color w:val="231F20"/>
                      <w:spacing w:val="-1"/>
                      <w:sz w:val="20"/>
                      <w:szCs w:val="20"/>
                    </w:rPr>
                    <w:t xml:space="preserve">个 )  </w:t>
                  </w:r>
                  <w:r>
                    <w:rPr>
                      <w:rFonts w:ascii="微软雅黑" w:hAnsi="微软雅黑" w:eastAsia="微软雅黑" w:cs="微软雅黑"/>
                      <w:color w:val="231F20"/>
                      <w:sz w:val="20"/>
                      <w:szCs w:val="20"/>
                    </w:rPr>
                    <w:t xml:space="preserve">，涉及制造业、 </w:t>
                  </w:r>
                  <w:r>
                    <w:rPr>
                      <w:rFonts w:ascii="微软雅黑" w:hAnsi="微软雅黑" w:eastAsia="微软雅黑" w:cs="微软雅黑"/>
                      <w:color w:val="231F20"/>
                      <w:spacing w:val="4"/>
                      <w:sz w:val="20"/>
                      <w:szCs w:val="20"/>
                    </w:rPr>
                    <w:t>新能源、软件</w:t>
                  </w:r>
                  <w:r>
                    <w:rPr>
                      <w:rFonts w:ascii="微软雅黑" w:hAnsi="微软雅黑" w:eastAsia="微软雅黑" w:cs="微软雅黑"/>
                      <w:color w:val="231F20"/>
                      <w:spacing w:val="3"/>
                      <w:sz w:val="20"/>
                      <w:szCs w:val="20"/>
                    </w:rPr>
                    <w:t>和</w:t>
                  </w:r>
                  <w:r>
                    <w:rPr>
                      <w:rFonts w:ascii="微软雅黑" w:hAnsi="微软雅黑" w:eastAsia="微软雅黑" w:cs="微软雅黑"/>
                      <w:color w:val="231F20"/>
                      <w:spacing w:val="2"/>
                      <w:sz w:val="20"/>
                      <w:szCs w:val="20"/>
                    </w:rPr>
                    <w:t xml:space="preserve">信息技术服务、智能科技、保税加工等领域。贸易类 </w:t>
                  </w:r>
                  <w:r>
                    <w:rPr>
                      <w:rFonts w:ascii="Times New Roman" w:hAnsi="Times New Roman" w:eastAsia="Times New Roman" w:cs="Times New Roman"/>
                      <w:color w:val="231F20"/>
                      <w:spacing w:val="2"/>
                      <w:sz w:val="20"/>
                      <w:szCs w:val="20"/>
                    </w:rPr>
                    <w:t>5</w:t>
                  </w:r>
                  <w:r>
                    <w:rPr>
                      <w:rFonts w:ascii="微软雅黑" w:hAnsi="微软雅黑" w:eastAsia="微软雅黑" w:cs="微软雅黑"/>
                      <w:color w:val="231F20"/>
                      <w:spacing w:val="2"/>
                      <w:sz w:val="20"/>
                      <w:szCs w:val="20"/>
                    </w:rPr>
                    <w:t>个 ，涵盖新</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材料、冻</w:t>
                  </w:r>
                  <w:r>
                    <w:rPr>
                      <w:rFonts w:ascii="微软雅黑" w:hAnsi="微软雅黑" w:eastAsia="微软雅黑" w:cs="微软雅黑"/>
                      <w:color w:val="231F20"/>
                      <w:sz w:val="20"/>
                      <w:szCs w:val="20"/>
                    </w:rPr>
                    <w:t>肉、奶粉等产品。</w:t>
                  </w:r>
                </w:p>
              </w:txbxContent>
            </v:textbox>
            <w10:wrap type="none"/>
            <w10:anchorlock/>
          </v:shape>
        </w:pic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91" w:line="227" w:lineRule="auto"/>
        <w:ind w:left="2565"/>
        <w:rPr>
          <w:rFonts w:ascii="SimHei" w:hAnsi="SimHei" w:eastAsia="SimHei" w:cs="SimHei"/>
          <w:sz w:val="28"/>
          <w:szCs w:val="28"/>
        </w:rPr>
      </w:pPr>
      <w:r>
        <w:rPr>
          <w:rFonts w:ascii="SimHei" w:hAnsi="SimHei" w:eastAsia="SimHei" w:cs="SimHei"/>
          <w:color w:val="015DAC"/>
          <w:spacing w:val="-2"/>
          <w:sz w:val="28"/>
          <w:szCs w:val="28"/>
        </w:rPr>
        <w:t>十、陕西</w:t>
      </w:r>
      <w:r>
        <w:rPr>
          <w:rFonts w:ascii="SimHei" w:hAnsi="SimHei" w:eastAsia="SimHei" w:cs="SimHei"/>
          <w:color w:val="015DAC"/>
          <w:spacing w:val="-1"/>
          <w:sz w:val="28"/>
          <w:szCs w:val="28"/>
        </w:rPr>
        <w:t>省</w:t>
      </w:r>
    </w:p>
    <w:p>
      <w:pPr>
        <w:spacing w:line="348" w:lineRule="auto"/>
        <w:rPr>
          <w:rFonts w:ascii="Arial"/>
          <w:sz w:val="21"/>
        </w:rPr>
      </w:pPr>
    </w:p>
    <w:p>
      <w:pPr>
        <w:spacing w:before="95" w:line="272" w:lineRule="auto"/>
        <w:ind w:left="1998" w:right="1916" w:firstLine="444"/>
        <w:rPr>
          <w:rFonts w:ascii="微软雅黑" w:hAnsi="微软雅黑" w:eastAsia="微软雅黑" w:cs="微软雅黑"/>
          <w:sz w:val="22"/>
          <w:szCs w:val="22"/>
        </w:rPr>
      </w:pPr>
      <w:r>
        <w:rPr>
          <w:rFonts w:ascii="Times New Roman" w:hAnsi="Times New Roman" w:eastAsia="Times New Roman" w:cs="Times New Roman"/>
          <w:color w:val="231F20"/>
          <w:spacing w:val="-4"/>
          <w:sz w:val="22"/>
          <w:szCs w:val="22"/>
        </w:rPr>
        <w:t xml:space="preserve">2021 </w:t>
      </w:r>
      <w:r>
        <w:rPr>
          <w:rFonts w:ascii="微软雅黑" w:hAnsi="微软雅黑" w:eastAsia="微软雅黑" w:cs="微软雅黑"/>
          <w:color w:val="231F20"/>
          <w:spacing w:val="-3"/>
          <w:sz w:val="22"/>
          <w:szCs w:val="22"/>
        </w:rPr>
        <w:t>年</w:t>
      </w:r>
      <w:r>
        <w:rPr>
          <w:rFonts w:ascii="微软雅黑" w:hAnsi="微软雅黑" w:eastAsia="微软雅黑" w:cs="微软雅黑"/>
          <w:color w:val="231F20"/>
          <w:spacing w:val="-2"/>
          <w:sz w:val="22"/>
          <w:szCs w:val="22"/>
        </w:rPr>
        <w:t>陕西省通过创新招商引资方式，强化外资便利化政策，推进开放平台建设，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着</w:t>
      </w:r>
      <w:r>
        <w:rPr>
          <w:rFonts w:ascii="微软雅黑" w:hAnsi="微软雅黑" w:eastAsia="微软雅黑" w:cs="微软雅黑"/>
          <w:color w:val="231F20"/>
          <w:spacing w:val="-5"/>
          <w:sz w:val="22"/>
          <w:szCs w:val="22"/>
        </w:rPr>
        <w:t>力</w:t>
      </w:r>
      <w:r>
        <w:rPr>
          <w:rFonts w:ascii="微软雅黑" w:hAnsi="微软雅黑" w:eastAsia="微软雅黑" w:cs="微软雅黑"/>
          <w:color w:val="231F20"/>
          <w:spacing w:val="-3"/>
          <w:sz w:val="22"/>
          <w:szCs w:val="22"/>
        </w:rPr>
        <w:t>建设内陆改革开放高地 ，投资环境不断优化 ，实现利用外资稳步增长。</w:t>
      </w:r>
    </w:p>
    <w:p>
      <w:pPr>
        <w:spacing w:before="178"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1"/>
          <w:sz w:val="24"/>
          <w:szCs w:val="24"/>
        </w:rPr>
        <w:t>一</w:t>
      </w:r>
      <w:r>
        <w:rPr>
          <w:rFonts w:ascii="SimHei" w:hAnsi="SimHei" w:eastAsia="SimHei" w:cs="SimHei"/>
          <w:color w:val="015DAC"/>
          <w:spacing w:val="7"/>
          <w:sz w:val="24"/>
          <w:szCs w:val="24"/>
        </w:rPr>
        <w:t>) 加强产业招商投资引导</w:t>
      </w:r>
    </w:p>
    <w:p>
      <w:pPr>
        <w:spacing w:before="332" w:line="272" w:lineRule="auto"/>
        <w:ind w:left="1989" w:right="1901" w:firstLine="471"/>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印发《陕西省招商引资重点产业指导目录》  ，重点鼓励外资投向对全省</w:t>
      </w:r>
      <w:r>
        <w:rPr>
          <w:rFonts w:ascii="微软雅黑" w:hAnsi="微软雅黑" w:eastAsia="微软雅黑" w:cs="微软雅黑"/>
          <w:color w:val="231F20"/>
          <w:sz w:val="22"/>
          <w:szCs w:val="22"/>
        </w:rPr>
        <w:t xml:space="preserve">产业链供 </w:t>
      </w:r>
      <w:r>
        <w:rPr>
          <w:rFonts w:ascii="微软雅黑" w:hAnsi="微软雅黑" w:eastAsia="微软雅黑" w:cs="微软雅黑"/>
          <w:color w:val="231F20"/>
          <w:spacing w:val="-1"/>
          <w:sz w:val="22"/>
          <w:szCs w:val="22"/>
        </w:rPr>
        <w:t>应链稳定具有</w:t>
      </w:r>
      <w:r>
        <w:rPr>
          <w:rFonts w:ascii="微软雅黑" w:hAnsi="微软雅黑" w:eastAsia="微软雅黑" w:cs="微软雅黑"/>
          <w:color w:val="231F20"/>
          <w:sz w:val="22"/>
          <w:szCs w:val="22"/>
        </w:rPr>
        <w:t>重要影响，对区域产业竞争力提升具有先导作用，对产业结构优化升级、</w: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66144" behindDoc="1" locked="0" layoutInCell="0" allowOverlap="1">
            <wp:simplePos x="0" y="0"/>
            <wp:positionH relativeFrom="page">
              <wp:posOffset>0</wp:posOffset>
            </wp:positionH>
            <wp:positionV relativeFrom="page">
              <wp:posOffset>10052685</wp:posOffset>
            </wp:positionV>
            <wp:extent cx="7776210" cy="422910"/>
            <wp:effectExtent l="0" t="0" r="0" b="0"/>
            <wp:wrapNone/>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r>
        <w:rPr>
          <w:rFonts w:ascii="SimHei" w:hAnsi="SimHei" w:eastAsia="SimHei" w:cs="SimHei"/>
          <w:color w:val="1A67B3"/>
          <w:spacing w:val="35"/>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421" name="IM 421"/>
            <wp:cNvGraphicFramePr/>
            <a:graphic xmlns:a="http://schemas.openxmlformats.org/drawingml/2006/main">
              <a:graphicData uri="http://schemas.openxmlformats.org/drawingml/2006/picture">
                <pic:pic xmlns:pic="http://schemas.openxmlformats.org/drawingml/2006/picture">
                  <pic:nvPicPr>
                    <pic:cNvPr id="421" name="IM 421"/>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91</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94" w:line="263" w:lineRule="auto"/>
        <w:ind w:left="1989" w:right="1898" w:firstLine="6"/>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节约资源、保护环</w:t>
      </w:r>
      <w:r>
        <w:rPr>
          <w:rFonts w:ascii="微软雅黑" w:hAnsi="微软雅黑" w:eastAsia="微软雅黑" w:cs="微软雅黑"/>
          <w:color w:val="231F20"/>
          <w:sz w:val="22"/>
          <w:szCs w:val="22"/>
        </w:rPr>
        <w:t xml:space="preserve">境具有引领作用的关键产业和领域。按照高质量发展相关政策要求， </w:t>
      </w:r>
      <w:r>
        <w:rPr>
          <w:rFonts w:ascii="微软雅黑" w:hAnsi="微软雅黑" w:eastAsia="微软雅黑" w:cs="微软雅黑"/>
          <w:color w:val="231F20"/>
          <w:spacing w:val="-12"/>
          <w:sz w:val="22"/>
          <w:szCs w:val="22"/>
        </w:rPr>
        <w:t>根据陕西</w:t>
      </w:r>
      <w:r>
        <w:rPr>
          <w:rFonts w:ascii="微软雅黑" w:hAnsi="微软雅黑" w:eastAsia="微软雅黑" w:cs="微软雅黑"/>
          <w:color w:val="231F20"/>
          <w:spacing w:val="-9"/>
          <w:sz w:val="22"/>
          <w:szCs w:val="22"/>
        </w:rPr>
        <w:t>省</w:t>
      </w:r>
      <w:r>
        <w:rPr>
          <w:rFonts w:ascii="微软雅黑" w:hAnsi="微软雅黑" w:eastAsia="微软雅黑" w:cs="微软雅黑"/>
          <w:color w:val="231F20"/>
          <w:spacing w:val="-6"/>
          <w:sz w:val="22"/>
          <w:szCs w:val="22"/>
        </w:rPr>
        <w:t>各市( 区 )功能定位、资源禀赋、经济结构等方面差异，将全省分为五类地区，</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5"/>
          <w:sz w:val="22"/>
          <w:szCs w:val="22"/>
        </w:rPr>
        <w:t>实行分区分类指导，  明确五类地区产业发展主攻方向 ，引导产业协同布局、错位发</w:t>
      </w:r>
      <w:r>
        <w:rPr>
          <w:rFonts w:ascii="微软雅黑" w:hAnsi="微软雅黑" w:eastAsia="微软雅黑" w:cs="微软雅黑"/>
          <w:color w:val="231F20"/>
          <w:spacing w:val="-3"/>
          <w:sz w:val="22"/>
          <w:szCs w:val="22"/>
        </w:rPr>
        <w:t>展</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精准</w:t>
      </w:r>
      <w:r>
        <w:rPr>
          <w:rFonts w:ascii="微软雅黑" w:hAnsi="微软雅黑" w:eastAsia="微软雅黑" w:cs="微软雅黑"/>
          <w:color w:val="231F20"/>
          <w:sz w:val="22"/>
          <w:szCs w:val="22"/>
        </w:rPr>
        <w:t>招商。</w:t>
      </w:r>
    </w:p>
    <w:p>
      <w:pPr>
        <w:spacing w:before="176" w:line="222" w:lineRule="auto"/>
        <w:ind w:left="2462"/>
        <w:rPr>
          <w:rFonts w:ascii="SimHei" w:hAnsi="SimHei" w:eastAsia="SimHei" w:cs="SimHei"/>
          <w:sz w:val="24"/>
          <w:szCs w:val="24"/>
        </w:rPr>
      </w:pPr>
      <w:r>
        <w:rPr>
          <w:rFonts w:ascii="SimHei" w:hAnsi="SimHei" w:eastAsia="SimHei" w:cs="SimHei"/>
          <w:color w:val="015DAC"/>
          <w:spacing w:val="14"/>
          <w:sz w:val="24"/>
          <w:szCs w:val="24"/>
        </w:rPr>
        <w:t>(</w:t>
      </w:r>
      <w:r>
        <w:rPr>
          <w:rFonts w:ascii="SimHei" w:hAnsi="SimHei" w:eastAsia="SimHei" w:cs="SimHei"/>
          <w:color w:val="015DAC"/>
          <w:spacing w:val="11"/>
          <w:sz w:val="24"/>
          <w:szCs w:val="24"/>
        </w:rPr>
        <w:t>二</w:t>
      </w:r>
      <w:r>
        <w:rPr>
          <w:rFonts w:ascii="SimHei" w:hAnsi="SimHei" w:eastAsia="SimHei" w:cs="SimHei"/>
          <w:color w:val="015DAC"/>
          <w:spacing w:val="7"/>
          <w:sz w:val="24"/>
          <w:szCs w:val="24"/>
        </w:rPr>
        <w:t>) 建立重点企业联系制度</w:t>
      </w:r>
    </w:p>
    <w:p>
      <w:pPr>
        <w:spacing w:before="330" w:line="264" w:lineRule="auto"/>
        <w:ind w:left="1989" w:right="1918" w:firstLine="453"/>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建</w:t>
      </w:r>
      <w:r>
        <w:rPr>
          <w:rFonts w:ascii="微软雅黑" w:hAnsi="微软雅黑" w:eastAsia="微软雅黑" w:cs="微软雅黑"/>
          <w:color w:val="231F20"/>
          <w:spacing w:val="-3"/>
          <w:sz w:val="22"/>
          <w:szCs w:val="22"/>
        </w:rPr>
        <w:t>立</w:t>
      </w:r>
      <w:r>
        <w:rPr>
          <w:rFonts w:ascii="微软雅黑" w:hAnsi="微软雅黑" w:eastAsia="微软雅黑" w:cs="微软雅黑"/>
          <w:color w:val="231F20"/>
          <w:spacing w:val="-2"/>
          <w:sz w:val="22"/>
          <w:szCs w:val="22"/>
        </w:rPr>
        <w:t>全省重点外资项目清单 ，调研掌握企业运营情况和面临的困难，  向企业发放</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政策、开展</w:t>
      </w:r>
      <w:r>
        <w:rPr>
          <w:rFonts w:ascii="微软雅黑" w:hAnsi="微软雅黑" w:eastAsia="微软雅黑" w:cs="微软雅黑"/>
          <w:color w:val="231F20"/>
          <w:spacing w:val="-2"/>
          <w:sz w:val="22"/>
          <w:szCs w:val="22"/>
        </w:rPr>
        <w:t>解读 ，帮助企业</w:t>
      </w:r>
      <w:r>
        <w:rPr>
          <w:rFonts w:hint="eastAsia" w:ascii="微软雅黑" w:hAnsi="微软雅黑" w:eastAsia="微软雅黑" w:cs="微软雅黑"/>
          <w:color w:val="231F20"/>
          <w:spacing w:val="-2"/>
          <w:sz w:val="22"/>
          <w:szCs w:val="22"/>
          <w:lang w:eastAsia="zh-CN"/>
        </w:rPr>
        <w:t>渡</w:t>
      </w:r>
      <w:r>
        <w:rPr>
          <w:rFonts w:ascii="微软雅黑" w:hAnsi="微软雅黑" w:eastAsia="微软雅黑" w:cs="微软雅黑"/>
          <w:color w:val="231F20"/>
          <w:spacing w:val="-2"/>
          <w:sz w:val="22"/>
          <w:szCs w:val="22"/>
        </w:rPr>
        <w:t>过难关。强化全省重点项目环评审批专班协调推进机制，</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8"/>
          <w:sz w:val="22"/>
          <w:szCs w:val="22"/>
        </w:rPr>
        <w:t>对疫情防控、基础设施建设、乡村振兴、民生工程等领域重点内外资项目，畅通环评“</w:t>
      </w:r>
      <w:r>
        <w:rPr>
          <w:rFonts w:ascii="微软雅黑" w:hAnsi="微软雅黑" w:eastAsia="微软雅黑" w:cs="微软雅黑"/>
          <w:color w:val="231F20"/>
          <w:spacing w:val="-6"/>
          <w:sz w:val="22"/>
          <w:szCs w:val="22"/>
        </w:rPr>
        <w:t>绿</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色通道”，优化审批程序和时间，保障项目</w:t>
      </w:r>
      <w:r>
        <w:rPr>
          <w:rFonts w:ascii="微软雅黑" w:hAnsi="微软雅黑" w:eastAsia="微软雅黑" w:cs="微软雅黑"/>
          <w:color w:val="231F20"/>
          <w:sz w:val="22"/>
          <w:szCs w:val="22"/>
        </w:rPr>
        <w:t>加快落地建成。</w:t>
      </w:r>
    </w:p>
    <w:p>
      <w:pPr>
        <w:spacing w:before="174" w:line="221" w:lineRule="auto"/>
        <w:ind w:left="2462"/>
        <w:rPr>
          <w:rFonts w:ascii="SimHei" w:hAnsi="SimHei" w:eastAsia="SimHei" w:cs="SimHei"/>
          <w:sz w:val="24"/>
          <w:szCs w:val="24"/>
        </w:rPr>
      </w:pPr>
      <w:r>
        <w:rPr>
          <w:rFonts w:ascii="SimHei" w:hAnsi="SimHei" w:eastAsia="SimHei" w:cs="SimHei"/>
          <w:color w:val="015DAC"/>
          <w:spacing w:val="12"/>
          <w:sz w:val="24"/>
          <w:szCs w:val="24"/>
        </w:rPr>
        <w:t>(</w:t>
      </w:r>
      <w:r>
        <w:rPr>
          <w:rFonts w:ascii="SimHei" w:hAnsi="SimHei" w:eastAsia="SimHei" w:cs="SimHei"/>
          <w:color w:val="015DAC"/>
          <w:spacing w:val="7"/>
          <w:sz w:val="24"/>
          <w:szCs w:val="24"/>
        </w:rPr>
        <w:t>三) 完善外商投资便利化政策</w:t>
      </w:r>
    </w:p>
    <w:p>
      <w:pPr>
        <w:spacing w:before="333" w:line="263" w:lineRule="auto"/>
        <w:ind w:left="1988" w:right="1764" w:firstLine="456"/>
        <w:rPr>
          <w:rFonts w:ascii="微软雅黑" w:hAnsi="微软雅黑" w:eastAsia="微软雅黑" w:cs="微软雅黑"/>
          <w:sz w:val="22"/>
          <w:szCs w:val="22"/>
        </w:rPr>
      </w:pPr>
      <w:r>
        <w:rPr>
          <w:rFonts w:ascii="SimHei" w:hAnsi="SimHei" w:eastAsia="SimHei" w:cs="SimHei"/>
          <w:color w:val="231F20"/>
          <w:spacing w:val="1"/>
          <w:sz w:val="22"/>
          <w:szCs w:val="22"/>
        </w:rPr>
        <w:t>优化高新技术</w:t>
      </w:r>
      <w:r>
        <w:rPr>
          <w:rFonts w:ascii="SimHei" w:hAnsi="SimHei" w:eastAsia="SimHei" w:cs="SimHei"/>
          <w:color w:val="231F20"/>
          <w:sz w:val="22"/>
          <w:szCs w:val="22"/>
        </w:rPr>
        <w:t xml:space="preserve">企业认定流程。 </w:t>
      </w:r>
      <w:r>
        <w:rPr>
          <w:rFonts w:ascii="微软雅黑" w:hAnsi="微软雅黑" w:eastAsia="微软雅黑" w:cs="微软雅黑"/>
          <w:color w:val="231F20"/>
          <w:sz w:val="22"/>
          <w:szCs w:val="22"/>
        </w:rPr>
        <w:t xml:space="preserve">实施“常年受理、无纸申报、网络评审、系统管理” </w:t>
      </w:r>
      <w:r>
        <w:rPr>
          <w:rFonts w:ascii="微软雅黑" w:hAnsi="微软雅黑" w:eastAsia="微软雅黑" w:cs="微软雅黑"/>
          <w:color w:val="231F20"/>
          <w:spacing w:val="2"/>
          <w:sz w:val="22"/>
          <w:szCs w:val="22"/>
        </w:rPr>
        <w:t>便利化服务 ，实现高新技术企业认定全过程“不见面”办理</w:t>
      </w:r>
      <w:r>
        <w:rPr>
          <w:rFonts w:ascii="微软雅黑" w:hAnsi="微软雅黑" w:eastAsia="微软雅黑" w:cs="微软雅黑"/>
          <w:color w:val="231F20"/>
          <w:spacing w:val="1"/>
          <w:sz w:val="22"/>
          <w:szCs w:val="22"/>
        </w:rPr>
        <w:t>。建立“虚拟专家室”和</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在线服</w:t>
      </w:r>
      <w:r>
        <w:rPr>
          <w:rFonts w:ascii="微软雅黑" w:hAnsi="微软雅黑" w:eastAsia="微软雅黑" w:cs="微软雅黑"/>
          <w:color w:val="231F20"/>
          <w:spacing w:val="-2"/>
          <w:sz w:val="22"/>
          <w:szCs w:val="22"/>
        </w:rPr>
        <w:t>务平台 ，多渠道推送“政策服务包” ，加强政策培训和宣传解读，扶持初创期、</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成长期高新技术</w:t>
      </w:r>
      <w:r>
        <w:rPr>
          <w:rFonts w:ascii="微软雅黑" w:hAnsi="微软雅黑" w:eastAsia="微软雅黑" w:cs="微软雅黑"/>
          <w:color w:val="231F20"/>
          <w:sz w:val="22"/>
          <w:szCs w:val="22"/>
        </w:rPr>
        <w:t>企业做大做强。</w:t>
      </w:r>
    </w:p>
    <w:p>
      <w:pPr>
        <w:spacing w:before="171" w:line="262" w:lineRule="auto"/>
        <w:ind w:left="1989" w:right="1984" w:firstLine="453"/>
        <w:rPr>
          <w:rFonts w:ascii="微软雅黑" w:hAnsi="微软雅黑" w:eastAsia="微软雅黑" w:cs="微软雅黑"/>
          <w:sz w:val="22"/>
          <w:szCs w:val="22"/>
        </w:rPr>
      </w:pPr>
      <w:r>
        <w:rPr>
          <w:rFonts w:ascii="SimHei" w:hAnsi="SimHei" w:eastAsia="SimHei" w:cs="SimHei"/>
          <w:color w:val="231F20"/>
          <w:spacing w:val="2"/>
          <w:sz w:val="22"/>
          <w:szCs w:val="22"/>
        </w:rPr>
        <w:t>推进外籍人才进出境便利化。</w:t>
      </w:r>
      <w:r>
        <w:rPr>
          <w:rFonts w:ascii="微软雅黑" w:hAnsi="微软雅黑" w:eastAsia="微软雅黑" w:cs="微软雅黑"/>
          <w:color w:val="231F20"/>
          <w:spacing w:val="2"/>
          <w:sz w:val="22"/>
          <w:szCs w:val="22"/>
        </w:rPr>
        <w:t>针对高</w:t>
      </w:r>
      <w:r>
        <w:rPr>
          <w:rFonts w:ascii="微软雅黑" w:hAnsi="微软雅黑" w:eastAsia="微软雅黑" w:cs="微软雅黑"/>
          <w:color w:val="231F20"/>
          <w:spacing w:val="1"/>
          <w:sz w:val="22"/>
          <w:szCs w:val="22"/>
        </w:rPr>
        <w:t>端制造业发展所需的关键技术 ，重点引入一</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批领军型人才和产学研项目 ，带动相关企业落地。发挥省外</w:t>
      </w:r>
      <w:r>
        <w:rPr>
          <w:rFonts w:ascii="微软雅黑" w:hAnsi="微软雅黑" w:eastAsia="微软雅黑" w:cs="微软雅黑"/>
          <w:color w:val="231F20"/>
          <w:spacing w:val="1"/>
          <w:sz w:val="22"/>
          <w:szCs w:val="22"/>
        </w:rPr>
        <w:t>贸外资协调机制和省重点</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外</w:t>
      </w:r>
      <w:r>
        <w:rPr>
          <w:rFonts w:ascii="微软雅黑" w:hAnsi="微软雅黑" w:eastAsia="微软雅黑" w:cs="微软雅黑"/>
          <w:color w:val="231F20"/>
          <w:sz w:val="22"/>
          <w:szCs w:val="22"/>
        </w:rPr>
        <w:t xml:space="preserve">资项目工作专班作用 ，积极对接外资企业 ，简化重要商务、物流、生产和技术服务 </w:t>
      </w:r>
      <w:r>
        <w:rPr>
          <w:rFonts w:ascii="微软雅黑" w:hAnsi="微软雅黑" w:eastAsia="微软雅黑" w:cs="微软雅黑"/>
          <w:color w:val="231F20"/>
          <w:spacing w:val="1"/>
          <w:sz w:val="22"/>
          <w:szCs w:val="22"/>
        </w:rPr>
        <w:t>急</w:t>
      </w:r>
      <w:r>
        <w:rPr>
          <w:rFonts w:ascii="微软雅黑" w:hAnsi="微软雅黑" w:eastAsia="微软雅黑" w:cs="微软雅黑"/>
          <w:color w:val="231F20"/>
          <w:sz w:val="22"/>
          <w:szCs w:val="22"/>
        </w:rPr>
        <w:t xml:space="preserve">需人员等外籍人员来华工作手续办理程序 ，实行网上申报 ，开辟邀请函申请绿色通 </w:t>
      </w:r>
      <w:r>
        <w:rPr>
          <w:rFonts w:ascii="微软雅黑" w:hAnsi="微软雅黑" w:eastAsia="微软雅黑" w:cs="微软雅黑"/>
          <w:color w:val="231F20"/>
          <w:spacing w:val="1"/>
          <w:sz w:val="22"/>
          <w:szCs w:val="22"/>
        </w:rPr>
        <w:t>道、快捷通道和专用通道，优先安排在华常驻外商</w:t>
      </w:r>
      <w:r>
        <w:rPr>
          <w:rFonts w:ascii="微软雅黑" w:hAnsi="微软雅黑" w:eastAsia="微软雅黑" w:cs="微软雅黑"/>
          <w:color w:val="231F20"/>
          <w:sz w:val="22"/>
          <w:szCs w:val="22"/>
        </w:rPr>
        <w:t>尽快返华。</w:t>
      </w:r>
    </w:p>
    <w:p>
      <w:pPr>
        <w:spacing w:before="169" w:line="259" w:lineRule="auto"/>
        <w:ind w:left="1990" w:right="1980" w:firstLine="454"/>
        <w:rPr>
          <w:rFonts w:ascii="微软雅黑" w:hAnsi="微软雅黑" w:eastAsia="微软雅黑" w:cs="微软雅黑"/>
          <w:sz w:val="22"/>
          <w:szCs w:val="22"/>
        </w:rPr>
      </w:pPr>
      <w:r>
        <w:rPr>
          <w:rFonts w:ascii="SimHei" w:hAnsi="SimHei" w:eastAsia="SimHei" w:cs="SimHei"/>
          <w:color w:val="231F20"/>
          <w:spacing w:val="1"/>
          <w:sz w:val="22"/>
          <w:szCs w:val="22"/>
        </w:rPr>
        <w:t xml:space="preserve">推动涉企事项办理便捷化。 </w:t>
      </w:r>
      <w:r>
        <w:rPr>
          <w:rFonts w:ascii="微软雅黑" w:hAnsi="微软雅黑" w:eastAsia="微软雅黑" w:cs="微软雅黑"/>
          <w:color w:val="231F20"/>
          <w:spacing w:val="1"/>
          <w:sz w:val="22"/>
          <w:szCs w:val="22"/>
        </w:rPr>
        <w:t>建设国际投资“单一 窗 口 ”，聚焦</w:t>
      </w:r>
      <w:r>
        <w:rPr>
          <w:rFonts w:ascii="微软雅黑" w:hAnsi="微软雅黑" w:eastAsia="微软雅黑" w:cs="微软雅黑"/>
          <w:color w:val="231F20"/>
          <w:sz w:val="22"/>
          <w:szCs w:val="22"/>
        </w:rPr>
        <w:t xml:space="preserve">投资便利化系统 </w:t>
      </w:r>
      <w:r>
        <w:rPr>
          <w:rFonts w:ascii="微软雅黑" w:hAnsi="微软雅黑" w:eastAsia="微软雅黑" w:cs="微软雅黑"/>
          <w:color w:val="231F20"/>
          <w:spacing w:val="4"/>
          <w:sz w:val="22"/>
          <w:szCs w:val="22"/>
        </w:rPr>
        <w:t>集成创新，  打造覆盖投资事</w:t>
      </w:r>
      <w:r>
        <w:rPr>
          <w:rFonts w:ascii="微软雅黑" w:hAnsi="微软雅黑" w:eastAsia="微软雅黑" w:cs="微软雅黑"/>
          <w:color w:val="231F20"/>
          <w:spacing w:val="2"/>
          <w:sz w:val="22"/>
          <w:szCs w:val="22"/>
        </w:rPr>
        <w:t>前 、事中 、事后的“套餐式”投资服务 。进 一 步提升</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企业开办 、建筑许可办理 、不动产登记等方面服务效率和水平，  办理时间在 </w:t>
      </w:r>
      <w:r>
        <w:rPr>
          <w:rFonts w:ascii="Times New Roman" w:hAnsi="Times New Roman" w:eastAsia="Times New Roman" w:cs="Times New Roman"/>
          <w:color w:val="231F20"/>
          <w:spacing w:val="6"/>
          <w:sz w:val="22"/>
          <w:szCs w:val="22"/>
        </w:rPr>
        <w:t>20</w:t>
      </w:r>
      <w:r>
        <w:rPr>
          <w:rFonts w:ascii="Times New Roman" w:hAnsi="Times New Roman" w:eastAsia="Times New Roman" w:cs="Times New Roman"/>
          <w:color w:val="231F20"/>
          <w:spacing w:val="5"/>
          <w:sz w:val="22"/>
          <w:szCs w:val="22"/>
        </w:rPr>
        <w:t>2</w:t>
      </w:r>
      <w:r>
        <w:rPr>
          <w:rFonts w:ascii="Times New Roman" w:hAnsi="Times New Roman" w:eastAsia="Times New Roman" w:cs="Times New Roman"/>
          <w:color w:val="231F20"/>
          <w:sz w:val="22"/>
          <w:szCs w:val="22"/>
        </w:rPr>
        <w:t xml:space="preserve">0 </w:t>
      </w:r>
      <w:r>
        <w:rPr>
          <w:rFonts w:ascii="微软雅黑" w:hAnsi="微软雅黑" w:eastAsia="微软雅黑" w:cs="微软雅黑"/>
          <w:color w:val="231F20"/>
          <w:spacing w:val="8"/>
          <w:sz w:val="22"/>
          <w:szCs w:val="22"/>
        </w:rPr>
        <w:t>年基础上</w:t>
      </w:r>
      <w:r>
        <w:rPr>
          <w:rFonts w:ascii="微软雅黑" w:hAnsi="微软雅黑" w:eastAsia="微软雅黑" w:cs="微软雅黑"/>
          <w:color w:val="231F20"/>
          <w:spacing w:val="6"/>
          <w:sz w:val="22"/>
          <w:szCs w:val="22"/>
        </w:rPr>
        <w:t>进</w:t>
      </w:r>
      <w:r>
        <w:rPr>
          <w:rFonts w:ascii="微软雅黑" w:hAnsi="微软雅黑" w:eastAsia="微软雅黑" w:cs="微软雅黑"/>
          <w:color w:val="231F20"/>
          <w:spacing w:val="4"/>
          <w:sz w:val="22"/>
          <w:szCs w:val="22"/>
        </w:rPr>
        <w:t xml:space="preserve"> 一 步压减 。简化整合投资项目报建手续，  开展企业投资项 目“区域评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 xml:space="preserve">估 </w:t>
      </w:r>
      <w:r>
        <w:rPr>
          <w:rFonts w:ascii="Times New Roman" w:hAnsi="Times New Roman" w:eastAsia="Times New Roman" w:cs="Times New Roman"/>
          <w:color w:val="231F20"/>
          <w:spacing w:val="6"/>
          <w:sz w:val="22"/>
          <w:szCs w:val="22"/>
        </w:rPr>
        <w:t xml:space="preserve">+ </w:t>
      </w:r>
      <w:r>
        <w:rPr>
          <w:rFonts w:ascii="微软雅黑" w:hAnsi="微软雅黑" w:eastAsia="微软雅黑" w:cs="微软雅黑"/>
          <w:color w:val="231F20"/>
          <w:spacing w:val="6"/>
          <w:sz w:val="22"/>
          <w:szCs w:val="22"/>
        </w:rPr>
        <w:t>标准</w:t>
      </w:r>
      <w:r>
        <w:rPr>
          <w:rFonts w:ascii="微软雅黑" w:hAnsi="微软雅黑" w:eastAsia="微软雅黑" w:cs="微软雅黑"/>
          <w:color w:val="231F20"/>
          <w:spacing w:val="5"/>
          <w:sz w:val="22"/>
          <w:szCs w:val="22"/>
        </w:rPr>
        <w:t>地</w:t>
      </w:r>
      <w:r>
        <w:rPr>
          <w:rFonts w:ascii="微软雅黑" w:hAnsi="微软雅黑" w:eastAsia="微软雅黑" w:cs="微软雅黑"/>
          <w:color w:val="231F20"/>
          <w:spacing w:val="3"/>
          <w:sz w:val="22"/>
          <w:szCs w:val="22"/>
        </w:rPr>
        <w:t xml:space="preserve"> </w:t>
      </w:r>
      <w:r>
        <w:rPr>
          <w:rFonts w:ascii="Times New Roman" w:hAnsi="Times New Roman" w:eastAsia="Times New Roman" w:cs="Times New Roman"/>
          <w:color w:val="231F20"/>
          <w:spacing w:val="3"/>
          <w:sz w:val="22"/>
          <w:szCs w:val="22"/>
        </w:rPr>
        <w:t xml:space="preserve">+ </w:t>
      </w:r>
      <w:r>
        <w:rPr>
          <w:rFonts w:ascii="微软雅黑" w:hAnsi="微软雅黑" w:eastAsia="微软雅黑" w:cs="微软雅黑"/>
          <w:color w:val="231F20"/>
          <w:spacing w:val="3"/>
          <w:sz w:val="22"/>
          <w:szCs w:val="22"/>
        </w:rPr>
        <w:t>承诺制</w:t>
      </w:r>
      <w:r>
        <w:rPr>
          <w:rFonts w:ascii="Times New Roman" w:hAnsi="Times New Roman" w:eastAsia="Times New Roman" w:cs="Times New Roman"/>
          <w:color w:val="231F20"/>
          <w:spacing w:val="3"/>
          <w:sz w:val="22"/>
          <w:szCs w:val="22"/>
        </w:rPr>
        <w:t xml:space="preserve">+ </w:t>
      </w:r>
      <w:r>
        <w:rPr>
          <w:rFonts w:ascii="微软雅黑" w:hAnsi="微软雅黑" w:eastAsia="微软雅黑" w:cs="微软雅黑"/>
          <w:color w:val="231F20"/>
          <w:spacing w:val="3"/>
          <w:sz w:val="22"/>
          <w:szCs w:val="22"/>
        </w:rPr>
        <w:t>综合服务”改革 。  出台《陕西省外商投资项目核准和备案管</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理办</w:t>
      </w:r>
      <w:r>
        <w:rPr>
          <w:rFonts w:ascii="微软雅黑" w:hAnsi="微软雅黑" w:eastAsia="微软雅黑" w:cs="微软雅黑"/>
          <w:color w:val="231F20"/>
          <w:spacing w:val="-3"/>
          <w:sz w:val="22"/>
          <w:szCs w:val="22"/>
        </w:rPr>
        <w:t>法》  ，简化外资项目核准手续，提高外资项目备案便利化程度。</w:t>
      </w:r>
    </w:p>
    <w:p>
      <w:pPr>
        <w:spacing w:before="187" w:line="222" w:lineRule="auto"/>
        <w:ind w:left="2462"/>
        <w:rPr>
          <w:rFonts w:ascii="SimHei" w:hAnsi="SimHei" w:eastAsia="SimHei" w:cs="SimHei"/>
          <w:sz w:val="24"/>
          <w:szCs w:val="24"/>
        </w:rPr>
      </w:pPr>
      <w:r>
        <w:rPr>
          <w:rFonts w:ascii="SimHei" w:hAnsi="SimHei" w:eastAsia="SimHei" w:cs="SimHei"/>
          <w:color w:val="015DAC"/>
          <w:spacing w:val="12"/>
          <w:sz w:val="24"/>
          <w:szCs w:val="24"/>
        </w:rPr>
        <w:t>(</w:t>
      </w:r>
      <w:r>
        <w:rPr>
          <w:rFonts w:ascii="SimHei" w:hAnsi="SimHei" w:eastAsia="SimHei" w:cs="SimHei"/>
          <w:color w:val="015DAC"/>
          <w:spacing w:val="7"/>
          <w:sz w:val="24"/>
          <w:szCs w:val="24"/>
        </w:rPr>
        <w:t>四) 运用多平台开展投资促进</w:t>
      </w:r>
    </w:p>
    <w:p>
      <w:pPr>
        <w:spacing w:before="333" w:line="200" w:lineRule="auto"/>
        <w:ind w:left="2444"/>
        <w:rPr>
          <w:rFonts w:ascii="微软雅黑" w:hAnsi="微软雅黑" w:eastAsia="微软雅黑" w:cs="微软雅黑"/>
          <w:sz w:val="22"/>
          <w:szCs w:val="22"/>
        </w:rPr>
      </w:pPr>
      <w:r>
        <w:rPr>
          <w:rFonts w:ascii="SimHei" w:hAnsi="SimHei" w:eastAsia="SimHei" w:cs="SimHei"/>
          <w:color w:val="231F20"/>
          <w:spacing w:val="-2"/>
          <w:sz w:val="22"/>
          <w:szCs w:val="22"/>
        </w:rPr>
        <w:t xml:space="preserve">推动经开区提质升级，吸引外资企业落户。 </w:t>
      </w:r>
      <w:r>
        <w:rPr>
          <w:rFonts w:ascii="微软雅黑" w:hAnsi="微软雅黑" w:eastAsia="微软雅黑" w:cs="微软雅黑"/>
          <w:color w:val="231F20"/>
          <w:spacing w:val="-2"/>
          <w:sz w:val="22"/>
          <w:szCs w:val="22"/>
        </w:rPr>
        <w:t>围</w:t>
      </w:r>
      <w:r>
        <w:rPr>
          <w:rFonts w:ascii="微软雅黑" w:hAnsi="微软雅黑" w:eastAsia="微软雅黑" w:cs="微软雅黑"/>
          <w:color w:val="231F20"/>
          <w:spacing w:val="-1"/>
          <w:sz w:val="22"/>
          <w:szCs w:val="22"/>
        </w:rPr>
        <w:t>绕各国家级经开区产业定位 ，发挥</w: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67168" behindDoc="1" locked="0" layoutInCell="0" allowOverlap="1">
            <wp:simplePos x="0" y="0"/>
            <wp:positionH relativeFrom="page">
              <wp:posOffset>0</wp:posOffset>
            </wp:positionH>
            <wp:positionV relativeFrom="page">
              <wp:posOffset>10052685</wp:posOffset>
            </wp:positionV>
            <wp:extent cx="7776210" cy="422910"/>
            <wp:effectExtent l="0" t="0" r="0" b="0"/>
            <wp:wrapNone/>
            <wp:docPr id="423" name="IM 423"/>
            <wp:cNvGraphicFramePr/>
            <a:graphic xmlns:a="http://schemas.openxmlformats.org/drawingml/2006/main">
              <a:graphicData uri="http://schemas.openxmlformats.org/drawingml/2006/picture">
                <pic:pic xmlns:pic="http://schemas.openxmlformats.org/drawingml/2006/picture">
                  <pic:nvPicPr>
                    <pic:cNvPr id="423" name="IM 423"/>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r>
        <w:rPr>
          <w:rFonts w:ascii="Arial" w:hAnsi="Arial" w:eastAsia="Arial" w:cs="Arial"/>
          <w:color w:val="231F20"/>
          <w:spacing w:val="40"/>
          <w:sz w:val="20"/>
          <w:szCs w:val="20"/>
        </w:rPr>
        <w:t>9</w:t>
      </w:r>
      <w:r>
        <w:rPr>
          <w:rFonts w:ascii="Arial" w:hAnsi="Arial" w:eastAsia="Arial" w:cs="Arial"/>
          <w:color w:val="231F20"/>
          <w:spacing w:val="21"/>
          <w:sz w:val="20"/>
          <w:szCs w:val="20"/>
        </w:rPr>
        <w:t xml:space="preserve">2  </w:t>
      </w:r>
      <w:r>
        <w:rPr>
          <w:position w:val="-5"/>
          <w:sz w:val="20"/>
          <w:szCs w:val="20"/>
        </w:rPr>
        <w:drawing>
          <wp:inline distT="0" distB="0" distL="0" distR="0">
            <wp:extent cx="3175" cy="147320"/>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425" name="IM 425"/>
            <wp:cNvGraphicFramePr/>
            <a:graphic xmlns:a="http://schemas.openxmlformats.org/drawingml/2006/main">
              <a:graphicData uri="http://schemas.openxmlformats.org/drawingml/2006/picture">
                <pic:pic xmlns:pic="http://schemas.openxmlformats.org/drawingml/2006/picture">
                  <pic:nvPicPr>
                    <pic:cNvPr id="425" name="IM 425"/>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地方篇</w:t>
      </w: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94" w:line="261" w:lineRule="auto"/>
        <w:ind w:left="1990" w:right="1985" w:firstLine="2"/>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集聚优势 ，吸引外资投向电子信息、智能制造、</w:t>
      </w:r>
      <w:r>
        <w:rPr>
          <w:rFonts w:ascii="微软雅黑" w:hAnsi="微软雅黑" w:eastAsia="微软雅黑" w:cs="微软雅黑"/>
          <w:color w:val="231F20"/>
          <w:spacing w:val="1"/>
          <w:sz w:val="22"/>
          <w:szCs w:val="22"/>
        </w:rPr>
        <w:t>生物医药等战略性新兴产业和先进制</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造</w:t>
      </w:r>
      <w:r>
        <w:rPr>
          <w:rFonts w:ascii="微软雅黑" w:hAnsi="微软雅黑" w:eastAsia="微软雅黑" w:cs="微软雅黑"/>
          <w:color w:val="231F20"/>
          <w:sz w:val="22"/>
          <w:szCs w:val="22"/>
        </w:rPr>
        <w:t xml:space="preserve">业 ，增强集群效应。充分利用国内产业转移机遇 ，积极承接东部地区劳动密集型、 </w:t>
      </w:r>
      <w:r>
        <w:rPr>
          <w:rFonts w:ascii="微软雅黑" w:hAnsi="微软雅黑" w:eastAsia="微软雅黑" w:cs="微软雅黑"/>
          <w:color w:val="231F20"/>
          <w:spacing w:val="2"/>
          <w:sz w:val="22"/>
          <w:szCs w:val="22"/>
        </w:rPr>
        <w:t>出口导向型外资企业落户。省级经开区对照国家级经开区</w:t>
      </w:r>
      <w:r>
        <w:rPr>
          <w:rFonts w:ascii="微软雅黑" w:hAnsi="微软雅黑" w:eastAsia="微软雅黑" w:cs="微软雅黑"/>
          <w:color w:val="231F20"/>
          <w:spacing w:val="1"/>
          <w:sz w:val="22"/>
          <w:szCs w:val="22"/>
        </w:rPr>
        <w:t>综合发展考核标准 ，制定年</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度发</w:t>
      </w:r>
      <w:r>
        <w:rPr>
          <w:rFonts w:ascii="微软雅黑" w:hAnsi="微软雅黑" w:eastAsia="微软雅黑" w:cs="微软雅黑"/>
          <w:color w:val="231F20"/>
          <w:spacing w:val="-5"/>
          <w:sz w:val="22"/>
          <w:szCs w:val="22"/>
        </w:rPr>
        <w:t>展</w:t>
      </w:r>
      <w:r>
        <w:rPr>
          <w:rFonts w:ascii="微软雅黑" w:hAnsi="微软雅黑" w:eastAsia="微软雅黑" w:cs="微软雅黑"/>
          <w:color w:val="231F20"/>
          <w:spacing w:val="-3"/>
          <w:sz w:val="22"/>
          <w:szCs w:val="22"/>
        </w:rPr>
        <w:t>计划 ，积极提升利用外资水平 ，提高外向度 ，积极申报升级国家级经开区 ，提</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高开放能</w:t>
      </w:r>
      <w:r>
        <w:rPr>
          <w:rFonts w:ascii="微软雅黑" w:hAnsi="微软雅黑" w:eastAsia="微软雅黑" w:cs="微软雅黑"/>
          <w:color w:val="231F20"/>
          <w:sz w:val="22"/>
          <w:szCs w:val="22"/>
        </w:rPr>
        <w:t>级。</w:t>
      </w:r>
    </w:p>
    <w:p>
      <w:pPr>
        <w:spacing w:before="174" w:line="261" w:lineRule="auto"/>
        <w:ind w:left="1989" w:right="1984" w:firstLine="456"/>
        <w:rPr>
          <w:rFonts w:ascii="微软雅黑" w:hAnsi="微软雅黑" w:eastAsia="微软雅黑" w:cs="微软雅黑"/>
          <w:sz w:val="22"/>
          <w:szCs w:val="22"/>
        </w:rPr>
      </w:pPr>
      <w:r>
        <w:rPr>
          <w:rFonts w:ascii="SimHei" w:hAnsi="SimHei" w:eastAsia="SimHei" w:cs="SimHei"/>
          <w:color w:val="231F20"/>
          <w:spacing w:val="6"/>
          <w:sz w:val="22"/>
          <w:szCs w:val="22"/>
        </w:rPr>
        <w:t>完善投</w:t>
      </w:r>
      <w:r>
        <w:rPr>
          <w:rFonts w:ascii="SimHei" w:hAnsi="SimHei" w:eastAsia="SimHei" w:cs="SimHei"/>
          <w:color w:val="231F20"/>
          <w:spacing w:val="5"/>
          <w:sz w:val="22"/>
          <w:szCs w:val="22"/>
        </w:rPr>
        <w:t>资</w:t>
      </w:r>
      <w:r>
        <w:rPr>
          <w:rFonts w:ascii="SimHei" w:hAnsi="SimHei" w:eastAsia="SimHei" w:cs="SimHei"/>
          <w:color w:val="231F20"/>
          <w:spacing w:val="3"/>
          <w:sz w:val="22"/>
          <w:szCs w:val="22"/>
        </w:rPr>
        <w:t>促进机制，多渠道促进外商投资。</w:t>
      </w:r>
      <w:r>
        <w:rPr>
          <w:rFonts w:ascii="微软雅黑" w:hAnsi="微软雅黑" w:eastAsia="微软雅黑" w:cs="微软雅黑"/>
          <w:color w:val="231F20"/>
          <w:spacing w:val="3"/>
          <w:sz w:val="22"/>
          <w:szCs w:val="22"/>
        </w:rPr>
        <w:t>充分运用中国国际进口博览会、中国</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国际投资贸易洽谈会、丝绸之路博览会等重大展会 ，开展</w:t>
      </w:r>
      <w:r>
        <w:rPr>
          <w:rFonts w:ascii="微软雅黑" w:hAnsi="微软雅黑" w:eastAsia="微软雅黑" w:cs="微软雅黑"/>
          <w:color w:val="231F20"/>
          <w:spacing w:val="1"/>
          <w:sz w:val="22"/>
          <w:szCs w:val="22"/>
        </w:rPr>
        <w:t>利用外资招商引资、项目推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介活动。运用与日本、韩国、新加坡等国家的双边投资促进机</w:t>
      </w:r>
      <w:r>
        <w:rPr>
          <w:rFonts w:ascii="微软雅黑" w:hAnsi="微软雅黑" w:eastAsia="微软雅黑" w:cs="微软雅黑"/>
          <w:color w:val="231F20"/>
          <w:spacing w:val="1"/>
          <w:sz w:val="22"/>
          <w:szCs w:val="22"/>
        </w:rPr>
        <w:t>制 ，推介陕西外商投资</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2"/>
          <w:sz w:val="22"/>
          <w:szCs w:val="22"/>
        </w:rPr>
        <w:t>环境和优势引资项目。开展陕西与京津冀、长三角、粤港澳大湾</w:t>
      </w:r>
      <w:r>
        <w:rPr>
          <w:rFonts w:ascii="微软雅黑" w:hAnsi="微软雅黑" w:eastAsia="微软雅黑" w:cs="微软雅黑"/>
          <w:color w:val="231F20"/>
          <w:spacing w:val="1"/>
          <w:sz w:val="22"/>
          <w:szCs w:val="22"/>
        </w:rPr>
        <w:t>区经济合作活动 ，编</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6"/>
          <w:sz w:val="22"/>
          <w:szCs w:val="22"/>
        </w:rPr>
        <w:t>译《陕</w:t>
      </w:r>
      <w:r>
        <w:rPr>
          <w:rFonts w:ascii="微软雅黑" w:hAnsi="微软雅黑" w:eastAsia="微软雅黑" w:cs="微软雅黑"/>
          <w:color w:val="231F20"/>
          <w:spacing w:val="-3"/>
          <w:sz w:val="22"/>
          <w:szCs w:val="22"/>
        </w:rPr>
        <w:t>西省重点推介项目册》  ，宣传陕西外商投资环境和有关项目。</w:t>
      </w:r>
    </w:p>
    <w:p>
      <w:pPr>
        <w:spacing w:line="354" w:lineRule="auto"/>
        <w:rPr>
          <w:rFonts w:ascii="Arial"/>
          <w:sz w:val="21"/>
        </w:rPr>
      </w:pPr>
    </w:p>
    <w:p>
      <w:pPr>
        <w:spacing w:line="355" w:lineRule="auto"/>
        <w:rPr>
          <w:rFonts w:ascii="Arial"/>
          <w:sz w:val="21"/>
        </w:rPr>
      </w:pPr>
    </w:p>
    <w:p>
      <w:pPr>
        <w:spacing w:before="1" w:line="6944" w:lineRule="exact"/>
        <w:ind w:firstLine="1991"/>
        <w:textAlignment w:val="center"/>
      </w:pPr>
      <w:r>
        <w:pict>
          <v:group id="_x0000_s1493" o:spid="_x0000_s1493" o:spt="203" style="height:347.25pt;width:413.5pt;" coordsize="8270,6945">
            <o:lock v:ext="edit"/>
            <v:rect id="_x0000_s1494" o:spid="_x0000_s1494" o:spt="1" style="position:absolute;left:0;top:0;height:6945;width:8270;" fillcolor="#004876" filled="t" stroked="f" coordsize="21600,21600">
              <v:path/>
              <v:fill on="t" opacity="6425f" focussize="0,0"/>
              <v:stroke on="f"/>
              <v:imagedata o:title=""/>
              <o:lock v:ext="edit"/>
            </v:rect>
            <v:shape id="_x0000_s1495" o:spid="_x0000_s1495" o:spt="202" type="#_x0000_t202" style="position:absolute;left:309;top:376;height:6317;width:7602;" filled="f" stroked="f" coordsize="21600,21600">
              <v:path/>
              <v:fill on="f" focussize="0,0"/>
              <v:stroke on="f"/>
              <v:imagedata o:title=""/>
              <o:lock v:ext="edit" aspectratio="f"/>
              <v:textbox inset="0mm,0mm,0mm,0mm">
                <w:txbxContent>
                  <w:p>
                    <w:pPr>
                      <w:spacing w:before="20" w:line="40" w:lineRule="exact"/>
                      <w:ind w:firstLine="20"/>
                      <w:textAlignment w:val="center"/>
                    </w:pPr>
                    <w:r>
                      <w:drawing>
                        <wp:inline distT="0" distB="0" distL="0" distR="0">
                          <wp:extent cx="4737735" cy="25400"/>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161"/>
                                  <a:stretch>
                                    <a:fillRect/>
                                  </a:stretch>
                                </pic:blipFill>
                                <pic:spPr>
                                  <a:xfrm>
                                    <a:off x="0" y="0"/>
                                    <a:ext cx="4737913" cy="25400"/>
                                  </a:xfrm>
                                  <a:prstGeom prst="rect">
                                    <a:avLst/>
                                  </a:prstGeom>
                                </pic:spPr>
                              </pic:pic>
                            </a:graphicData>
                          </a:graphic>
                        </wp:inline>
                      </w:drawing>
                    </w:r>
                  </w:p>
                  <w:p>
                    <w:pPr>
                      <w:spacing w:before="133" w:line="192" w:lineRule="auto"/>
                      <w:ind w:left="149"/>
                      <w:rPr>
                        <w:rFonts w:ascii="Times New Roman" w:hAnsi="Times New Roman" w:eastAsia="Times New Roman" w:cs="Times New Roman"/>
                        <w:sz w:val="21"/>
                        <w:szCs w:val="21"/>
                      </w:rPr>
                    </w:pPr>
                    <w:r>
                      <w:rPr>
                        <w:rFonts w:ascii="SimHei" w:hAnsi="SimHei" w:eastAsia="SimHei" w:cs="SimHei"/>
                        <w:color w:val="015DAC"/>
                        <w:spacing w:val="-4"/>
                        <w:sz w:val="21"/>
                        <w:szCs w:val="21"/>
                      </w:rPr>
                      <w:t>专栏</w:t>
                    </w:r>
                    <w:r>
                      <w:rPr>
                        <w:rFonts w:ascii="SimHei" w:hAnsi="SimHei" w:eastAsia="SimHei" w:cs="SimHei"/>
                        <w:color w:val="015DAC"/>
                        <w:spacing w:val="-2"/>
                        <w:sz w:val="21"/>
                        <w:szCs w:val="21"/>
                      </w:rPr>
                      <w:t xml:space="preserve"> </w:t>
                    </w:r>
                    <w:r>
                      <w:rPr>
                        <w:rFonts w:ascii="Times New Roman" w:hAnsi="Times New Roman" w:eastAsia="Times New Roman" w:cs="Times New Roman"/>
                        <w:color w:val="015DAC"/>
                        <w:spacing w:val="-2"/>
                        <w:sz w:val="21"/>
                        <w:szCs w:val="21"/>
                      </w:rPr>
                      <w:t>3-8</w:t>
                    </w:r>
                  </w:p>
                  <w:p>
                    <w:pPr>
                      <w:spacing w:line="361" w:lineRule="exact"/>
                      <w:ind w:left="1737"/>
                      <w:rPr>
                        <w:rFonts w:ascii="SimHei" w:hAnsi="SimHei" w:eastAsia="SimHei" w:cs="SimHei"/>
                        <w:sz w:val="27"/>
                        <w:szCs w:val="27"/>
                      </w:rPr>
                    </w:pPr>
                    <w:r>
                      <w:rPr>
                        <w:rFonts w:ascii="SimHei" w:hAnsi="SimHei" w:eastAsia="SimHei" w:cs="SimHei"/>
                        <w:color w:val="015DAC"/>
                        <w:spacing w:val="18"/>
                        <w:position w:val="1"/>
                        <w:sz w:val="27"/>
                        <w:szCs w:val="27"/>
                        <w14:textOutline w14:w="3175" w14:cap="flat" w14:cmpd="sng">
                          <w14:solidFill>
                            <w14:srgbClr w14:val="015DAC"/>
                          </w14:solidFill>
                          <w14:prstDash w14:val="solid"/>
                          <w14:miter w14:val="0"/>
                        </w14:textOutline>
                      </w:rPr>
                      <w:t>陕</w:t>
                    </w:r>
                    <w:r>
                      <w:rPr>
                        <w:rFonts w:ascii="SimHei" w:hAnsi="SimHei" w:eastAsia="SimHei" w:cs="SimHei"/>
                        <w:color w:val="015DAC"/>
                        <w:spacing w:val="9"/>
                        <w:position w:val="1"/>
                        <w:sz w:val="27"/>
                        <w:szCs w:val="27"/>
                        <w14:textOutline w14:w="3175" w14:cap="flat" w14:cmpd="sng">
                          <w14:solidFill>
                            <w14:srgbClr w14:val="015DAC"/>
                          </w14:solidFill>
                          <w14:prstDash w14:val="solid"/>
                          <w14:miter w14:val="0"/>
                        </w14:textOutline>
                      </w:rPr>
                      <w:t>西举办的重要外资宣传促进活动</w:t>
                    </w:r>
                  </w:p>
                  <w:p>
                    <w:pPr>
                      <w:spacing w:line="242" w:lineRule="auto"/>
                      <w:rPr>
                        <w:rFonts w:ascii="Arial"/>
                        <w:sz w:val="21"/>
                      </w:rPr>
                    </w:pPr>
                  </w:p>
                  <w:p>
                    <w:pPr>
                      <w:spacing w:line="40" w:lineRule="exact"/>
                      <w:ind w:firstLine="20"/>
                      <w:textAlignment w:val="center"/>
                    </w:pPr>
                    <w:r>
                      <w:drawing>
                        <wp:inline distT="0" distB="0" distL="0" distR="0">
                          <wp:extent cx="4737735" cy="25400"/>
                          <wp:effectExtent l="0" t="0" r="0" b="0"/>
                          <wp:docPr id="427" name="IM 427"/>
                          <wp:cNvGraphicFramePr/>
                          <a:graphic xmlns:a="http://schemas.openxmlformats.org/drawingml/2006/main">
                            <a:graphicData uri="http://schemas.openxmlformats.org/drawingml/2006/picture">
                              <pic:pic xmlns:pic="http://schemas.openxmlformats.org/drawingml/2006/picture">
                                <pic:nvPicPr>
                                  <pic:cNvPr id="427" name="IM 427"/>
                                  <pic:cNvPicPr/>
                                </pic:nvPicPr>
                                <pic:blipFill>
                                  <a:blip r:embed="rId162"/>
                                  <a:stretch>
                                    <a:fillRect/>
                                  </a:stretch>
                                </pic:blipFill>
                                <pic:spPr>
                                  <a:xfrm>
                                    <a:off x="0" y="0"/>
                                    <a:ext cx="4737913" cy="25400"/>
                                  </a:xfrm>
                                  <a:prstGeom prst="rect">
                                    <a:avLst/>
                                  </a:prstGeom>
                                </pic:spPr>
                              </pic:pic>
                            </a:graphicData>
                          </a:graphic>
                        </wp:inline>
                      </w:drawing>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86" w:line="285" w:lineRule="auto"/>
                      <w:ind w:left="64" w:right="20" w:firstLine="411"/>
                      <w:rPr>
                        <w:rFonts w:ascii="微软雅黑" w:hAnsi="微软雅黑" w:eastAsia="微软雅黑" w:cs="微软雅黑"/>
                        <w:sz w:val="20"/>
                        <w:szCs w:val="20"/>
                      </w:rPr>
                    </w:pPr>
                    <w:r>
                      <w:rPr>
                        <w:rFonts w:ascii="SimHei" w:hAnsi="SimHei" w:eastAsia="SimHei" w:cs="SimHei"/>
                        <w:color w:val="231F20"/>
                        <w:spacing w:val="2"/>
                        <w:sz w:val="20"/>
                        <w:szCs w:val="20"/>
                      </w:rPr>
                      <w:t>第五届丝绸之路博览会。</w:t>
                    </w:r>
                    <w:r>
                      <w:rPr>
                        <w:rFonts w:ascii="Times New Roman" w:hAnsi="Times New Roman" w:eastAsia="Times New Roman" w:cs="Times New Roman"/>
                        <w:color w:val="231F20"/>
                        <w:spacing w:val="2"/>
                        <w:sz w:val="20"/>
                        <w:szCs w:val="20"/>
                      </w:rPr>
                      <w:t xml:space="preserve">2021 </w:t>
                    </w:r>
                    <w:r>
                      <w:rPr>
                        <w:rFonts w:ascii="微软雅黑" w:hAnsi="微软雅黑" w:eastAsia="微软雅黑" w:cs="微软雅黑"/>
                        <w:color w:val="231F20"/>
                        <w:spacing w:val="2"/>
                        <w:sz w:val="20"/>
                        <w:szCs w:val="20"/>
                      </w:rPr>
                      <w:t xml:space="preserve">年 </w:t>
                    </w:r>
                    <w:r>
                      <w:rPr>
                        <w:rFonts w:ascii="Times New Roman" w:hAnsi="Times New Roman" w:eastAsia="Times New Roman" w:cs="Times New Roman"/>
                        <w:color w:val="231F20"/>
                        <w:spacing w:val="2"/>
                        <w:sz w:val="20"/>
                        <w:szCs w:val="20"/>
                      </w:rPr>
                      <w:t xml:space="preserve">5 </w:t>
                    </w:r>
                    <w:r>
                      <w:rPr>
                        <w:rFonts w:ascii="微软雅黑" w:hAnsi="微软雅黑" w:eastAsia="微软雅黑" w:cs="微软雅黑"/>
                        <w:color w:val="231F20"/>
                        <w:spacing w:val="2"/>
                        <w:sz w:val="20"/>
                        <w:szCs w:val="20"/>
                      </w:rPr>
                      <w:t xml:space="preserve">月 </w:t>
                    </w:r>
                    <w:r>
                      <w:rPr>
                        <w:rFonts w:ascii="Times New Roman" w:hAnsi="Times New Roman" w:eastAsia="Times New Roman" w:cs="Times New Roman"/>
                        <w:color w:val="231F20"/>
                        <w:spacing w:val="2"/>
                        <w:sz w:val="20"/>
                        <w:szCs w:val="20"/>
                      </w:rPr>
                      <w:t>11</w:t>
                    </w:r>
                    <w:r>
                      <w:rPr>
                        <w:rFonts w:ascii="Times New Roman" w:hAnsi="Times New Roman" w:eastAsia="Times New Roman" w:cs="Times New Roman"/>
                        <w:color w:val="231F20"/>
                        <w:spacing w:val="1"/>
                        <w:sz w:val="20"/>
                        <w:szCs w:val="20"/>
                      </w:rPr>
                      <w:t xml:space="preserve"> </w:t>
                    </w:r>
                    <w:r>
                      <w:rPr>
                        <w:rFonts w:ascii="微软雅黑" w:hAnsi="微软雅黑" w:eastAsia="微软雅黑" w:cs="微软雅黑"/>
                        <w:color w:val="231F20"/>
                        <w:spacing w:val="1"/>
                        <w:sz w:val="20"/>
                        <w:szCs w:val="20"/>
                      </w:rPr>
                      <w:t xml:space="preserve">日至 </w:t>
                    </w:r>
                    <w:r>
                      <w:rPr>
                        <w:rFonts w:ascii="Times New Roman" w:hAnsi="Times New Roman" w:eastAsia="Times New Roman" w:cs="Times New Roman"/>
                        <w:color w:val="231F20"/>
                        <w:spacing w:val="1"/>
                        <w:sz w:val="20"/>
                        <w:szCs w:val="20"/>
                      </w:rPr>
                      <w:t xml:space="preserve">14 </w:t>
                    </w:r>
                    <w:r>
                      <w:rPr>
                        <w:rFonts w:ascii="微软雅黑" w:hAnsi="微软雅黑" w:eastAsia="微软雅黑" w:cs="微软雅黑"/>
                        <w:color w:val="231F20"/>
                        <w:spacing w:val="1"/>
                        <w:sz w:val="20"/>
                        <w:szCs w:val="20"/>
                      </w:rPr>
                      <w:t>日 ，第五届丝绸之路国际博览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会暨中国东西部合作与投资</w:t>
                    </w:r>
                    <w:r>
                      <w:rPr>
                        <w:rFonts w:ascii="微软雅黑" w:hAnsi="微软雅黑" w:eastAsia="微软雅黑" w:cs="微软雅黑"/>
                        <w:color w:val="231F20"/>
                        <w:spacing w:val="1"/>
                        <w:sz w:val="20"/>
                        <w:szCs w:val="20"/>
                      </w:rPr>
                      <w:t>贸易洽谈会在西安举行。博览会以“互联互通</w:t>
                    </w:r>
                    <w:r>
                      <w:rPr>
                        <w:rFonts w:ascii="Times New Roman" w:hAnsi="Times New Roman" w:eastAsia="Times New Roman" w:cs="Times New Roman"/>
                        <w:color w:val="231F20"/>
                        <w:spacing w:val="1"/>
                        <w:sz w:val="20"/>
                        <w:szCs w:val="20"/>
                      </w:rPr>
                      <w:t>·</w:t>
                    </w:r>
                    <w:r>
                      <w:rPr>
                        <w:rFonts w:ascii="微软雅黑" w:hAnsi="微软雅黑" w:eastAsia="微软雅黑" w:cs="微软雅黑"/>
                        <w:color w:val="231F20"/>
                        <w:spacing w:val="1"/>
                        <w:sz w:val="20"/>
                        <w:szCs w:val="20"/>
                      </w:rPr>
                      <w:t>共建共享”</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为主题，参展</w:t>
                    </w:r>
                    <w:r>
                      <w:rPr>
                        <w:rFonts w:ascii="微软雅黑" w:hAnsi="微软雅黑" w:eastAsia="微软雅黑" w:cs="微软雅黑"/>
                        <w:color w:val="231F20"/>
                        <w:spacing w:val="4"/>
                        <w:sz w:val="20"/>
                        <w:szCs w:val="20"/>
                      </w:rPr>
                      <w:t xml:space="preserve">企业达 </w:t>
                    </w:r>
                    <w:r>
                      <w:rPr>
                        <w:rFonts w:ascii="Times New Roman" w:hAnsi="Times New Roman" w:eastAsia="Times New Roman" w:cs="Times New Roman"/>
                        <w:color w:val="231F20"/>
                        <w:spacing w:val="4"/>
                        <w:sz w:val="20"/>
                        <w:szCs w:val="20"/>
                      </w:rPr>
                      <w:t>2100</w:t>
                    </w:r>
                    <w:r>
                      <w:rPr>
                        <w:rFonts w:ascii="微软雅黑" w:hAnsi="微软雅黑" w:eastAsia="微软雅黑" w:cs="微软雅黑"/>
                        <w:color w:val="231F20"/>
                        <w:spacing w:val="4"/>
                        <w:sz w:val="20"/>
                        <w:szCs w:val="20"/>
                      </w:rPr>
                      <w:t>余家。展会设置国际馆、中国馆、陕西馆、智能制造馆、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绿色产业馆、文化产业馆</w:t>
                    </w:r>
                    <w:r>
                      <w:rPr>
                        <w:rFonts w:ascii="微软雅黑" w:hAnsi="微软雅黑" w:eastAsia="微软雅黑" w:cs="微软雅黑"/>
                        <w:color w:val="231F20"/>
                        <w:sz w:val="20"/>
                        <w:szCs w:val="20"/>
                      </w:rPr>
                      <w:t xml:space="preserve">、乡村振兴馆 </w:t>
                    </w:r>
                    <w:r>
                      <w:rPr>
                        <w:rFonts w:ascii="Times New Roman" w:hAnsi="Times New Roman" w:eastAsia="Times New Roman" w:cs="Times New Roman"/>
                        <w:color w:val="231F20"/>
                        <w:sz w:val="20"/>
                        <w:szCs w:val="20"/>
                      </w:rPr>
                      <w:t xml:space="preserve">7 </w:t>
                    </w:r>
                    <w:r>
                      <w:rPr>
                        <w:rFonts w:ascii="微软雅黑" w:hAnsi="微软雅黑" w:eastAsia="微软雅黑" w:cs="微软雅黑"/>
                        <w:color w:val="231F20"/>
                        <w:sz w:val="20"/>
                        <w:szCs w:val="20"/>
                      </w:rPr>
                      <w:t xml:space="preserve">个展馆 ，总展示面积 </w:t>
                    </w:r>
                    <w:r>
                      <w:rPr>
                        <w:rFonts w:ascii="Times New Roman" w:hAnsi="Times New Roman" w:eastAsia="Times New Roman" w:cs="Times New Roman"/>
                        <w:color w:val="231F20"/>
                        <w:sz w:val="20"/>
                        <w:szCs w:val="20"/>
                      </w:rPr>
                      <w:t xml:space="preserve">7.2 </w:t>
                    </w:r>
                    <w:r>
                      <w:rPr>
                        <w:rFonts w:ascii="微软雅黑" w:hAnsi="微软雅黑" w:eastAsia="微软雅黑" w:cs="微软雅黑"/>
                        <w:color w:val="231F20"/>
                        <w:sz w:val="20"/>
                        <w:szCs w:val="20"/>
                      </w:rPr>
                      <w:t xml:space="preserve">万平方米。会议期  </w:t>
                    </w:r>
                    <w:r>
                      <w:rPr>
                        <w:rFonts w:ascii="微软雅黑" w:hAnsi="微软雅黑" w:eastAsia="微软雅黑" w:cs="微软雅黑"/>
                        <w:color w:val="231F20"/>
                        <w:spacing w:val="1"/>
                        <w:sz w:val="20"/>
                        <w:szCs w:val="20"/>
                      </w:rPr>
                      <w:t>间举办的三场集中签约仪式 ，共签订重点合作</w:t>
                    </w:r>
                    <w:r>
                      <w:rPr>
                        <w:rFonts w:ascii="微软雅黑" w:hAnsi="微软雅黑" w:eastAsia="微软雅黑" w:cs="微软雅黑"/>
                        <w:color w:val="231F20"/>
                        <w:sz w:val="20"/>
                        <w:szCs w:val="20"/>
                      </w:rPr>
                      <w:t xml:space="preserve">项目 </w:t>
                    </w:r>
                    <w:r>
                      <w:rPr>
                        <w:rFonts w:ascii="Times New Roman" w:hAnsi="Times New Roman" w:eastAsia="Times New Roman" w:cs="Times New Roman"/>
                        <w:color w:val="231F20"/>
                        <w:sz w:val="20"/>
                        <w:szCs w:val="20"/>
                      </w:rPr>
                      <w:t xml:space="preserve">72 </w:t>
                    </w:r>
                    <w:r>
                      <w:rPr>
                        <w:rFonts w:ascii="微软雅黑" w:hAnsi="微软雅黑" w:eastAsia="微软雅黑" w:cs="微软雅黑"/>
                        <w:color w:val="231F20"/>
                        <w:sz w:val="20"/>
                        <w:szCs w:val="20"/>
                      </w:rPr>
                      <w:t xml:space="preserve">个 ，总投资达 </w:t>
                    </w:r>
                    <w:r>
                      <w:rPr>
                        <w:rFonts w:ascii="Times New Roman" w:hAnsi="Times New Roman" w:eastAsia="Times New Roman" w:cs="Times New Roman"/>
                        <w:color w:val="231F20"/>
                        <w:sz w:val="20"/>
                        <w:szCs w:val="20"/>
                      </w:rPr>
                      <w:t xml:space="preserve">1583 </w:t>
                    </w:r>
                    <w:r>
                      <w:rPr>
                        <w:rFonts w:ascii="微软雅黑" w:hAnsi="微软雅黑" w:eastAsia="微软雅黑" w:cs="微软雅黑"/>
                        <w:color w:val="231F20"/>
                        <w:sz w:val="20"/>
                        <w:szCs w:val="20"/>
                      </w:rPr>
                      <w:t xml:space="preserve">亿元 ，涉  </w:t>
                    </w:r>
                    <w:r>
                      <w:rPr>
                        <w:rFonts w:ascii="微软雅黑" w:hAnsi="微软雅黑" w:eastAsia="微软雅黑" w:cs="微软雅黑"/>
                        <w:color w:val="231F20"/>
                        <w:spacing w:val="1"/>
                        <w:sz w:val="20"/>
                        <w:szCs w:val="20"/>
                      </w:rPr>
                      <w:t>及教育、现代农业、高技术产</w:t>
                    </w:r>
                    <w:r>
                      <w:rPr>
                        <w:rFonts w:ascii="微软雅黑" w:hAnsi="微软雅黑" w:eastAsia="微软雅黑" w:cs="微软雅黑"/>
                        <w:color w:val="231F20"/>
                        <w:sz w:val="20"/>
                        <w:szCs w:val="20"/>
                      </w:rPr>
                      <w:t>业等多个领域。</w:t>
                    </w:r>
                  </w:p>
                  <w:p>
                    <w:pPr>
                      <w:spacing w:before="179" w:line="280" w:lineRule="auto"/>
                      <w:ind w:left="66" w:right="119" w:firstLine="419"/>
                      <w:rPr>
                        <w:rFonts w:ascii="微软雅黑" w:hAnsi="微软雅黑" w:eastAsia="微软雅黑" w:cs="微软雅黑"/>
                        <w:sz w:val="20"/>
                        <w:szCs w:val="20"/>
                      </w:rPr>
                    </w:pPr>
                    <w:r>
                      <w:rPr>
                        <w:rFonts w:ascii="SimHei" w:hAnsi="SimHei" w:eastAsia="SimHei" w:cs="SimHei"/>
                        <w:color w:val="231F20"/>
                        <w:spacing w:val="-2"/>
                        <w:sz w:val="20"/>
                        <w:szCs w:val="20"/>
                      </w:rPr>
                      <w:t>陕西—粤港澳大湾区外资企业对接交流会。</w:t>
                    </w:r>
                    <w:r>
                      <w:rPr>
                        <w:rFonts w:ascii="Times New Roman" w:hAnsi="Times New Roman" w:eastAsia="Times New Roman" w:cs="Times New Roman"/>
                        <w:color w:val="231F20"/>
                        <w:spacing w:val="-2"/>
                        <w:sz w:val="20"/>
                        <w:szCs w:val="20"/>
                      </w:rPr>
                      <w:t>20</w:t>
                    </w:r>
                    <w:r>
                      <w:rPr>
                        <w:rFonts w:ascii="Times New Roman" w:hAnsi="Times New Roman" w:eastAsia="Times New Roman" w:cs="Times New Roman"/>
                        <w:color w:val="231F20"/>
                        <w:spacing w:val="-1"/>
                        <w:sz w:val="20"/>
                        <w:szCs w:val="20"/>
                      </w:rPr>
                      <w:t xml:space="preserve">21 </w:t>
                    </w:r>
                    <w:r>
                      <w:rPr>
                        <w:rFonts w:ascii="微软雅黑" w:hAnsi="微软雅黑" w:eastAsia="微软雅黑" w:cs="微软雅黑"/>
                        <w:color w:val="231F20"/>
                        <w:spacing w:val="-1"/>
                        <w:sz w:val="20"/>
                        <w:szCs w:val="20"/>
                      </w:rPr>
                      <w:t xml:space="preserve">年 </w:t>
                    </w:r>
                    <w:r>
                      <w:rPr>
                        <w:rFonts w:ascii="Times New Roman" w:hAnsi="Times New Roman" w:eastAsia="Times New Roman" w:cs="Times New Roman"/>
                        <w:color w:val="231F20"/>
                        <w:spacing w:val="-1"/>
                        <w:sz w:val="20"/>
                        <w:szCs w:val="20"/>
                      </w:rPr>
                      <w:t xml:space="preserve">11 </w:t>
                    </w:r>
                    <w:r>
                      <w:rPr>
                        <w:rFonts w:ascii="微软雅黑" w:hAnsi="微软雅黑" w:eastAsia="微软雅黑" w:cs="微软雅黑"/>
                        <w:color w:val="231F20"/>
                        <w:spacing w:val="-1"/>
                        <w:sz w:val="20"/>
                        <w:szCs w:val="20"/>
                      </w:rPr>
                      <w:t xml:space="preserve">月 </w:t>
                    </w:r>
                    <w:r>
                      <w:rPr>
                        <w:rFonts w:ascii="Times New Roman" w:hAnsi="Times New Roman" w:eastAsia="Times New Roman" w:cs="Times New Roman"/>
                        <w:color w:val="231F20"/>
                        <w:spacing w:val="-1"/>
                        <w:sz w:val="20"/>
                        <w:szCs w:val="20"/>
                      </w:rPr>
                      <w:t xml:space="preserve">30 </w:t>
                    </w:r>
                    <w:r>
                      <w:rPr>
                        <w:rFonts w:ascii="微软雅黑" w:hAnsi="微软雅黑" w:eastAsia="微软雅黑" w:cs="微软雅黑"/>
                        <w:color w:val="231F20"/>
                        <w:spacing w:val="-1"/>
                        <w:sz w:val="20"/>
                        <w:szCs w:val="20"/>
                      </w:rPr>
                      <w:t>日，  陕西— 粤港澳</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9"/>
                        <w:sz w:val="20"/>
                        <w:szCs w:val="20"/>
                      </w:rPr>
                      <w:t>大</w:t>
                    </w:r>
                    <w:r>
                      <w:rPr>
                        <w:rFonts w:ascii="微软雅黑" w:hAnsi="微软雅黑" w:eastAsia="微软雅黑" w:cs="微软雅黑"/>
                        <w:color w:val="231F20"/>
                        <w:spacing w:val="5"/>
                        <w:sz w:val="20"/>
                        <w:szCs w:val="20"/>
                      </w:rPr>
                      <w:t>湾区外资企业对接交流会采用线上</w:t>
                    </w:r>
                    <w:r>
                      <w:rPr>
                        <w:rFonts w:ascii="Times New Roman" w:hAnsi="Times New Roman" w:eastAsia="Times New Roman" w:cs="Times New Roman"/>
                        <w:color w:val="231F20"/>
                        <w:spacing w:val="5"/>
                        <w:sz w:val="20"/>
                        <w:szCs w:val="20"/>
                      </w:rPr>
                      <w:t xml:space="preserve">+ </w:t>
                    </w:r>
                    <w:r>
                      <w:rPr>
                        <w:rFonts w:ascii="微软雅黑" w:hAnsi="微软雅黑" w:eastAsia="微软雅黑" w:cs="微软雅黑"/>
                        <w:color w:val="231F20"/>
                        <w:spacing w:val="5"/>
                        <w:sz w:val="20"/>
                        <w:szCs w:val="20"/>
                      </w:rPr>
                      <w:t>线下方式 ，在深圳、香港、澳门同步举行。</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来自美国、英国、  日本</w:t>
                    </w:r>
                    <w:r>
                      <w:rPr>
                        <w:rFonts w:ascii="微软雅黑" w:hAnsi="微软雅黑" w:eastAsia="微软雅黑" w:cs="微软雅黑"/>
                        <w:color w:val="231F20"/>
                        <w:sz w:val="20"/>
                        <w:szCs w:val="20"/>
                      </w:rPr>
                      <w:t xml:space="preserve">等 </w:t>
                    </w:r>
                    <w:r>
                      <w:rPr>
                        <w:rFonts w:ascii="Times New Roman" w:hAnsi="Times New Roman" w:eastAsia="Times New Roman" w:cs="Times New Roman"/>
                        <w:color w:val="231F20"/>
                        <w:sz w:val="20"/>
                        <w:szCs w:val="20"/>
                      </w:rPr>
                      <w:t xml:space="preserve">50 </w:t>
                    </w:r>
                    <w:r>
                      <w:rPr>
                        <w:rFonts w:ascii="微软雅黑" w:hAnsi="微软雅黑" w:eastAsia="微软雅黑" w:cs="微软雅黑"/>
                        <w:color w:val="231F20"/>
                        <w:sz w:val="20"/>
                        <w:szCs w:val="20"/>
                      </w:rPr>
                      <w:t>余家外资企业和驻粤港澳境外商协会的负责人在深圳会</w:t>
                    </w:r>
                  </w:p>
                  <w:p>
                    <w:pPr>
                      <w:spacing w:before="2" w:line="201" w:lineRule="auto"/>
                      <w:ind w:left="74"/>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场参会</w:t>
                    </w:r>
                    <w:r>
                      <w:rPr>
                        <w:rFonts w:ascii="微软雅黑" w:hAnsi="微软雅黑" w:eastAsia="微软雅黑" w:cs="微软雅黑"/>
                        <w:color w:val="231F20"/>
                        <w:sz w:val="20"/>
                        <w:szCs w:val="20"/>
                      </w:rPr>
                      <w:t xml:space="preserve"> ，香港、澳门相关行业 </w:t>
                    </w:r>
                    <w:r>
                      <w:rPr>
                        <w:rFonts w:ascii="Times New Roman" w:hAnsi="Times New Roman" w:eastAsia="Times New Roman" w:cs="Times New Roman"/>
                        <w:color w:val="231F20"/>
                        <w:sz w:val="20"/>
                        <w:szCs w:val="20"/>
                      </w:rPr>
                      <w:t>40</w:t>
                    </w:r>
                    <w:r>
                      <w:rPr>
                        <w:rFonts w:ascii="微软雅黑" w:hAnsi="微软雅黑" w:eastAsia="微软雅黑" w:cs="微软雅黑"/>
                        <w:color w:val="231F20"/>
                        <w:sz w:val="20"/>
                        <w:szCs w:val="20"/>
                      </w:rPr>
                      <w:t>余家企业代表分别在香港、澳门会场在线交流。</w:t>
                    </w:r>
                  </w:p>
                </w:txbxContent>
              </v:textbox>
            </v:shape>
            <w10:wrap type="none"/>
            <w10:anchorlock/>
          </v:group>
        </w:pict>
      </w:r>
    </w:p>
    <w:p>
      <w:pPr>
        <w:sectPr>
          <w:pgSz w:w="12246" w:h="16498"/>
          <w:pgMar w:top="400" w:right="0" w:bottom="400" w:left="0" w:header="0" w:footer="0" w:gutter="0"/>
          <w:cols w:space="720" w:num="1"/>
        </w:sectPr>
      </w:pPr>
    </w:p>
    <w:p>
      <w:pPr>
        <w:spacing w:line="241" w:lineRule="auto"/>
        <w:rPr>
          <w:rFonts w:ascii="Arial"/>
          <w:sz w:val="21"/>
        </w:rPr>
      </w:pPr>
      <w:r>
        <w:drawing>
          <wp:anchor distT="0" distB="0" distL="0" distR="0" simplePos="0" relativeHeight="252168192" behindDoc="1" locked="0" layoutInCell="0" allowOverlap="1">
            <wp:simplePos x="0" y="0"/>
            <wp:positionH relativeFrom="page">
              <wp:posOffset>0</wp:posOffset>
            </wp:positionH>
            <wp:positionV relativeFrom="page">
              <wp:posOffset>10052685</wp:posOffset>
            </wp:positionV>
            <wp:extent cx="7776210" cy="422910"/>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43"/>
                    <a:stretch>
                      <a:fillRect/>
                    </a:stretch>
                  </pic:blipFill>
                  <pic:spPr>
                    <a:xfrm>
                      <a:off x="0" y="0"/>
                      <a:ext cx="7775994" cy="422998"/>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68" w:line="281" w:lineRule="exact"/>
        <w:ind w:left="6354"/>
        <w:rPr>
          <w:rFonts w:ascii="Arial" w:hAnsi="Arial" w:eastAsia="Arial" w:cs="Arial"/>
          <w:sz w:val="20"/>
          <w:szCs w:val="20"/>
        </w:rPr>
      </w:pPr>
      <w:r>
        <w:rPr>
          <w:rFonts w:ascii="SimHei" w:hAnsi="SimHei" w:eastAsia="SimHei" w:cs="SimHei"/>
          <w:color w:val="1A67B3"/>
          <w:spacing w:val="35"/>
          <w:position w:val="1"/>
          <w:sz w:val="21"/>
          <w:szCs w:val="21"/>
          <w14:textOutline w14:w="3175" w14:cap="flat" w14:cmpd="sng">
            <w14:solidFill>
              <w14:srgbClr w14:val="1A67B3"/>
            </w14:solidFill>
            <w14:prstDash w14:val="solid"/>
            <w14:miter w14:val="0"/>
          </w14:textOutline>
        </w:rPr>
        <w:t>地</w:t>
      </w:r>
      <w:r>
        <w:rPr>
          <w:rFonts w:ascii="SimHei" w:hAnsi="SimHei" w:eastAsia="SimHei" w:cs="SimHei"/>
          <w:color w:val="1A67B3"/>
          <w:spacing w:val="25"/>
          <w:position w:val="1"/>
          <w:sz w:val="21"/>
          <w:szCs w:val="21"/>
          <w14:textOutline w14:w="3175" w14:cap="flat" w14:cmpd="sng">
            <w14:solidFill>
              <w14:srgbClr w14:val="1A67B3"/>
            </w14:solidFill>
            <w14:prstDash w14:val="solid"/>
            <w14:miter w14:val="0"/>
          </w14:textOutline>
        </w:rPr>
        <w:t>方篇</w:t>
      </w:r>
      <w:r>
        <w:rPr>
          <w:rFonts w:ascii="SimHei" w:hAnsi="SimHei" w:eastAsia="SimHei" w:cs="SimHei"/>
          <w:color w:val="1A67B3"/>
          <w:spacing w:val="25"/>
          <w:position w:val="1"/>
          <w:sz w:val="21"/>
          <w:szCs w:val="21"/>
        </w:rPr>
        <w:t xml:space="preserve"> </w:t>
      </w:r>
      <w:r>
        <w:rPr>
          <w:position w:val="-3"/>
          <w:sz w:val="21"/>
          <w:szCs w:val="21"/>
        </w:rPr>
        <w:drawing>
          <wp:inline distT="0" distB="0" distL="0" distR="0">
            <wp:extent cx="3175" cy="147320"/>
            <wp:effectExtent l="0" t="0" r="0" b="0"/>
            <wp:docPr id="429" name="IM 429"/>
            <wp:cNvGraphicFramePr/>
            <a:graphic xmlns:a="http://schemas.openxmlformats.org/drawingml/2006/main">
              <a:graphicData uri="http://schemas.openxmlformats.org/drawingml/2006/picture">
                <pic:pic xmlns:pic="http://schemas.openxmlformats.org/drawingml/2006/picture">
                  <pic:nvPicPr>
                    <pic:cNvPr id="429" name="IM 429"/>
                    <pic:cNvPicPr/>
                  </pic:nvPicPr>
                  <pic:blipFill>
                    <a:blip r:embed="rId38"/>
                    <a:stretch>
                      <a:fillRect/>
                    </a:stretch>
                  </pic:blipFill>
                  <pic:spPr>
                    <a:xfrm>
                      <a:off x="0" y="0"/>
                      <a:ext cx="3175" cy="147599"/>
                    </a:xfrm>
                    <a:prstGeom prst="rect">
                      <a:avLst/>
                    </a:prstGeom>
                  </pic:spPr>
                </pic:pic>
              </a:graphicData>
            </a:graphic>
          </wp:inline>
        </w:drawing>
      </w:r>
      <w:r>
        <w:rPr>
          <w:rFonts w:ascii="SimHei" w:hAnsi="SimHei" w:eastAsia="SimHei" w:cs="SimHei"/>
          <w:color w:val="1A67B3"/>
          <w:spacing w:val="25"/>
          <w:position w:val="1"/>
          <w:sz w:val="21"/>
          <w:szCs w:val="21"/>
        </w:rPr>
        <w:t xml:space="preserve">  </w:t>
      </w:r>
      <w:r>
        <w:rPr>
          <w:rFonts w:ascii="宋体" w:hAnsi="宋体" w:eastAsia="宋体" w:cs="宋体"/>
          <w:color w:val="537DBF"/>
          <w:spacing w:val="25"/>
          <w:position w:val="1"/>
          <w:sz w:val="21"/>
          <w:szCs w:val="21"/>
        </w:rPr>
        <w:t xml:space="preserve">中国外商投资报告 2022  </w:t>
      </w:r>
      <w:r>
        <w:rPr>
          <w:position w:val="-3"/>
          <w:sz w:val="21"/>
          <w:szCs w:val="21"/>
        </w:rPr>
        <w:drawing>
          <wp:inline distT="0" distB="0" distL="0" distR="0">
            <wp:extent cx="3175" cy="147320"/>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39"/>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5"/>
          <w:position w:val="1"/>
          <w:sz w:val="21"/>
          <w:szCs w:val="21"/>
        </w:rPr>
        <w:t xml:space="preserve"> </w:t>
      </w:r>
      <w:r>
        <w:rPr>
          <w:rFonts w:ascii="Arial" w:hAnsi="Arial" w:eastAsia="Arial" w:cs="Arial"/>
          <w:color w:val="231F20"/>
          <w:spacing w:val="25"/>
          <w:position w:val="1"/>
          <w:sz w:val="20"/>
          <w:szCs w:val="20"/>
        </w:rPr>
        <w:t>93</w:t>
      </w: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367" w:lineRule="exact"/>
        <w:ind w:firstLine="1991"/>
        <w:textAlignment w:val="center"/>
      </w:pPr>
      <w:r>
        <w:pict>
          <v:shape id="_x0000_s1496" o:spid="_x0000_s1496" o:spt="202" type="#_x0000_t202" style="height:118.35pt;width:413.5pt;" fillcolor="#004876" filled="t" stroked="f" coordsize="21600,21600">
            <v:path/>
            <v:fill on="t" opacity="6425f" focussize="0,0"/>
            <v:stroke on="f"/>
            <v:imagedata o:title=""/>
            <o:lock v:ext="edit" aspectratio="f"/>
            <v:textbox inset="0mm,0mm,0mm,0mm">
              <w:txbxContent>
                <w:p>
                  <w:pPr>
                    <w:spacing w:line="357" w:lineRule="auto"/>
                    <w:rPr>
                      <w:rFonts w:ascii="Arial"/>
                      <w:sz w:val="21"/>
                    </w:rPr>
                  </w:pPr>
                </w:p>
                <w:p>
                  <w:pPr>
                    <w:spacing w:before="86" w:line="287" w:lineRule="auto"/>
                    <w:ind w:left="494" w:right="510" w:firstLine="408"/>
                    <w:rPr>
                      <w:rFonts w:ascii="微软雅黑" w:hAnsi="微软雅黑" w:eastAsia="微软雅黑" w:cs="微软雅黑"/>
                      <w:sz w:val="20"/>
                      <w:szCs w:val="20"/>
                    </w:rPr>
                  </w:pPr>
                  <w:r>
                    <w:rPr>
                      <w:rFonts w:ascii="SimHei" w:hAnsi="SimHei" w:eastAsia="SimHei" w:cs="SimHei"/>
                      <w:color w:val="231F20"/>
                      <w:spacing w:val="-6"/>
                      <w:sz w:val="20"/>
                      <w:szCs w:val="20"/>
                    </w:rPr>
                    <w:t>202</w:t>
                  </w:r>
                  <w:r>
                    <w:rPr>
                      <w:rFonts w:ascii="SimHei" w:hAnsi="SimHei" w:eastAsia="SimHei" w:cs="SimHei"/>
                      <w:color w:val="231F20"/>
                      <w:spacing w:val="-3"/>
                      <w:sz w:val="20"/>
                      <w:szCs w:val="20"/>
                    </w:rPr>
                    <w:t>1 陕西装备制造外资企业合作恳谈会。</w:t>
                  </w:r>
                  <w:r>
                    <w:rPr>
                      <w:rFonts w:ascii="Times New Roman" w:hAnsi="Times New Roman" w:eastAsia="Times New Roman" w:cs="Times New Roman"/>
                      <w:color w:val="231F20"/>
                      <w:spacing w:val="-3"/>
                      <w:sz w:val="20"/>
                      <w:szCs w:val="20"/>
                    </w:rPr>
                    <w:t xml:space="preserve">2021 </w:t>
                  </w:r>
                  <w:r>
                    <w:rPr>
                      <w:rFonts w:ascii="微软雅黑" w:hAnsi="微软雅黑" w:eastAsia="微软雅黑" w:cs="微软雅黑"/>
                      <w:color w:val="231F20"/>
                      <w:spacing w:val="-3"/>
                      <w:sz w:val="20"/>
                      <w:szCs w:val="20"/>
                    </w:rPr>
                    <w:t xml:space="preserve">年 </w:t>
                  </w:r>
                  <w:r>
                    <w:rPr>
                      <w:rFonts w:ascii="Times New Roman" w:hAnsi="Times New Roman" w:eastAsia="Times New Roman" w:cs="Times New Roman"/>
                      <w:color w:val="231F20"/>
                      <w:spacing w:val="-3"/>
                      <w:sz w:val="20"/>
                      <w:szCs w:val="20"/>
                    </w:rPr>
                    <w:t xml:space="preserve">11 </w:t>
                  </w:r>
                  <w:r>
                    <w:rPr>
                      <w:rFonts w:ascii="微软雅黑" w:hAnsi="微软雅黑" w:eastAsia="微软雅黑" w:cs="微软雅黑"/>
                      <w:color w:val="231F20"/>
                      <w:spacing w:val="-3"/>
                      <w:sz w:val="20"/>
                      <w:szCs w:val="20"/>
                    </w:rPr>
                    <w:t xml:space="preserve">月 </w:t>
                  </w:r>
                  <w:r>
                    <w:rPr>
                      <w:rFonts w:ascii="Times New Roman" w:hAnsi="Times New Roman" w:eastAsia="Times New Roman" w:cs="Times New Roman"/>
                      <w:color w:val="231F20"/>
                      <w:spacing w:val="-3"/>
                      <w:sz w:val="20"/>
                      <w:szCs w:val="20"/>
                    </w:rPr>
                    <w:t xml:space="preserve">3 </w:t>
                  </w:r>
                  <w:r>
                    <w:rPr>
                      <w:rFonts w:ascii="微软雅黑" w:hAnsi="微软雅黑" w:eastAsia="微软雅黑" w:cs="微软雅黑"/>
                      <w:color w:val="231F20"/>
                      <w:spacing w:val="-3"/>
                      <w:sz w:val="20"/>
                      <w:szCs w:val="20"/>
                    </w:rPr>
                    <w:t>日 ，陕西— 长三角地</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区经济合作活动之装备制造外资企业合作恳谈会在线上举行，   日本贸易振兴机构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中</w:t>
                  </w:r>
                  <w:r>
                    <w:rPr>
                      <w:rFonts w:ascii="微软雅黑" w:hAnsi="微软雅黑" w:eastAsia="微软雅黑" w:cs="微软雅黑"/>
                      <w:color w:val="231F20"/>
                      <w:spacing w:val="4"/>
                      <w:sz w:val="20"/>
                      <w:szCs w:val="20"/>
                    </w:rPr>
                    <w:t xml:space="preserve">国欧洲经济技术合作协会等 </w:t>
                  </w:r>
                  <w:r>
                    <w:rPr>
                      <w:rFonts w:ascii="Times New Roman" w:hAnsi="Times New Roman" w:eastAsia="Times New Roman" w:cs="Times New Roman"/>
                      <w:color w:val="231F20"/>
                      <w:spacing w:val="4"/>
                      <w:sz w:val="20"/>
                      <w:szCs w:val="20"/>
                    </w:rPr>
                    <w:t xml:space="preserve">50 </w:t>
                  </w:r>
                  <w:r>
                    <w:rPr>
                      <w:rFonts w:ascii="微软雅黑" w:hAnsi="微软雅黑" w:eastAsia="微软雅黑" w:cs="微软雅黑"/>
                      <w:color w:val="231F20"/>
                      <w:spacing w:val="4"/>
                      <w:sz w:val="20"/>
                      <w:szCs w:val="20"/>
                    </w:rPr>
                    <w:t>余家世界著名跨国企业和境外驻华商协会参加会</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议。重点外资企业与陕西省有关市</w:t>
                  </w:r>
                  <w:r>
                    <w:rPr>
                      <w:rFonts w:ascii="微软雅黑" w:hAnsi="微软雅黑" w:eastAsia="微软雅黑" w:cs="微软雅黑"/>
                      <w:color w:val="231F20"/>
                      <w:spacing w:val="1"/>
                      <w:sz w:val="20"/>
                      <w:szCs w:val="20"/>
                    </w:rPr>
                    <w:t xml:space="preserve"> ( 区 ) 和开发区进行了推介恳谈。</w:t>
                  </w:r>
                </w:p>
              </w:txbxContent>
            </v:textbox>
            <w10:wrap type="none"/>
            <w10:anchorlock/>
          </v:shape>
        </w:pict>
      </w:r>
    </w:p>
    <w:p>
      <w:pPr>
        <w:sectPr>
          <w:pgSz w:w="12246" w:h="16498"/>
          <w:pgMar w:top="400" w:right="0" w:bottom="400" w:left="0" w:header="0" w:footer="0" w:gutter="0"/>
          <w:cols w:space="720" w:num="1"/>
        </w:sectPr>
      </w:pPr>
    </w:p>
    <w:p>
      <w:pPr>
        <w:spacing w:line="357" w:lineRule="auto"/>
        <w:rPr>
          <w:rFonts w:ascii="Arial"/>
          <w:sz w:val="21"/>
        </w:rPr>
      </w:pPr>
      <w:r>
        <w:drawing>
          <wp:anchor distT="0" distB="0" distL="0" distR="0" simplePos="0" relativeHeight="252169216" behindDoc="1" locked="0" layoutInCell="0" allowOverlap="1">
            <wp:simplePos x="0" y="0"/>
            <wp:positionH relativeFrom="page">
              <wp:posOffset>0</wp:posOffset>
            </wp:positionH>
            <wp:positionV relativeFrom="page">
              <wp:posOffset>10052685</wp:posOffset>
            </wp:positionV>
            <wp:extent cx="7776210" cy="422910"/>
            <wp:effectExtent l="0" t="0" r="0" b="0"/>
            <wp:wrapNone/>
            <wp:docPr id="431" name="IM 431"/>
            <wp:cNvGraphicFramePr/>
            <a:graphic xmlns:a="http://schemas.openxmlformats.org/drawingml/2006/main">
              <a:graphicData uri="http://schemas.openxmlformats.org/drawingml/2006/picture">
                <pic:pic xmlns:pic="http://schemas.openxmlformats.org/drawingml/2006/picture">
                  <pic:nvPicPr>
                    <pic:cNvPr id="431" name="IM 431"/>
                    <pic:cNvPicPr/>
                  </pic:nvPicPr>
                  <pic:blipFill>
                    <a:blip r:embed="rId40"/>
                    <a:stretch>
                      <a:fillRect/>
                    </a:stretch>
                  </pic:blipFill>
                  <pic:spPr>
                    <a:xfrm>
                      <a:off x="0" y="0"/>
                      <a:ext cx="7775994" cy="422998"/>
                    </a:xfrm>
                    <a:prstGeom prst="rect">
                      <a:avLst/>
                    </a:prstGeom>
                  </pic:spPr>
                </pic:pic>
              </a:graphicData>
            </a:graphic>
          </wp:anchor>
        </w:drawing>
      </w:r>
    </w:p>
    <w:p>
      <w:pPr>
        <w:spacing w:line="358" w:lineRule="auto"/>
        <w:rPr>
          <w:rFonts w:ascii="Arial"/>
          <w:sz w:val="21"/>
        </w:rPr>
      </w:pPr>
    </w:p>
    <w:p>
      <w:pPr>
        <w:spacing w:before="68" w:line="239" w:lineRule="auto"/>
        <w:ind w:left="1595"/>
        <w:rPr>
          <w:rFonts w:ascii="SimHei" w:hAnsi="SimHei" w:eastAsia="SimHei" w:cs="SimHei"/>
          <w:sz w:val="21"/>
          <w:szCs w:val="21"/>
        </w:rPr>
      </w:pPr>
      <w:r>
        <w:rPr>
          <w:rFonts w:ascii="Arial" w:hAnsi="Arial" w:eastAsia="Arial" w:cs="Arial"/>
          <w:color w:val="231F20"/>
          <w:spacing w:val="30"/>
          <w:sz w:val="20"/>
          <w:szCs w:val="20"/>
        </w:rPr>
        <w:t>9</w:t>
      </w:r>
      <w:r>
        <w:rPr>
          <w:rFonts w:ascii="Arial" w:hAnsi="Arial" w:eastAsia="Arial" w:cs="Arial"/>
          <w:color w:val="231F20"/>
          <w:spacing w:val="21"/>
          <w:sz w:val="20"/>
          <w:szCs w:val="20"/>
        </w:rPr>
        <w:t xml:space="preserve">4  </w:t>
      </w:r>
      <w:r>
        <w:rPr>
          <w:position w:val="-5"/>
          <w:sz w:val="20"/>
          <w:szCs w:val="20"/>
        </w:rPr>
        <w:drawing>
          <wp:inline distT="0" distB="0" distL="0" distR="0">
            <wp:extent cx="3175" cy="147320"/>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41"/>
                    <a:stretch>
                      <a:fillRect/>
                    </a:stretch>
                  </pic:blipFill>
                  <pic:spPr>
                    <a:xfrm>
                      <a:off x="0" y="0"/>
                      <a:ext cx="3175" cy="147599"/>
                    </a:xfrm>
                    <a:prstGeom prst="rect">
                      <a:avLst/>
                    </a:prstGeom>
                  </pic:spPr>
                </pic:pic>
              </a:graphicData>
            </a:graphic>
          </wp:inline>
        </w:drawing>
      </w:r>
      <w:r>
        <w:rPr>
          <w:rFonts w:ascii="Arial" w:hAnsi="Arial" w:eastAsia="Arial" w:cs="Arial"/>
          <w:color w:val="231F20"/>
          <w:spacing w:val="21"/>
          <w:sz w:val="20"/>
          <w:szCs w:val="20"/>
        </w:rPr>
        <w:t xml:space="preserve">   </w:t>
      </w:r>
      <w:r>
        <w:rPr>
          <w:rFonts w:ascii="宋体" w:hAnsi="宋体" w:eastAsia="宋体" w:cs="宋体"/>
          <w:color w:val="537DBF"/>
          <w:spacing w:val="21"/>
          <w:sz w:val="21"/>
          <w:szCs w:val="21"/>
        </w:rPr>
        <w:t xml:space="preserve">中国外商投资报告 2022 </w:t>
      </w:r>
      <w:r>
        <w:rPr>
          <w:position w:val="-5"/>
          <w:sz w:val="21"/>
          <w:szCs w:val="21"/>
        </w:rPr>
        <w:drawing>
          <wp:inline distT="0" distB="0" distL="0" distR="0">
            <wp:extent cx="3175" cy="147320"/>
            <wp:effectExtent l="0" t="0" r="0" b="0"/>
            <wp:docPr id="433" name="IM 433"/>
            <wp:cNvGraphicFramePr/>
            <a:graphic xmlns:a="http://schemas.openxmlformats.org/drawingml/2006/main">
              <a:graphicData uri="http://schemas.openxmlformats.org/drawingml/2006/picture">
                <pic:pic xmlns:pic="http://schemas.openxmlformats.org/drawingml/2006/picture">
                  <pic:nvPicPr>
                    <pic:cNvPr id="433" name="IM 433"/>
                    <pic:cNvPicPr/>
                  </pic:nvPicPr>
                  <pic:blipFill>
                    <a:blip r:embed="rId42"/>
                    <a:stretch>
                      <a:fillRect/>
                    </a:stretch>
                  </pic:blipFill>
                  <pic:spPr>
                    <a:xfrm>
                      <a:off x="0" y="0"/>
                      <a:ext cx="3175" cy="147599"/>
                    </a:xfrm>
                    <a:prstGeom prst="rect">
                      <a:avLst/>
                    </a:prstGeom>
                  </pic:spPr>
                </pic:pic>
              </a:graphicData>
            </a:graphic>
          </wp:inline>
        </w:drawing>
      </w:r>
      <w:r>
        <w:rPr>
          <w:rFonts w:ascii="宋体" w:hAnsi="宋体" w:eastAsia="宋体" w:cs="宋体"/>
          <w:color w:val="537DBF"/>
          <w:spacing w:val="21"/>
          <w:sz w:val="21"/>
          <w:szCs w:val="21"/>
        </w:rPr>
        <w:t xml:space="preserve">  </w:t>
      </w:r>
      <w:r>
        <w:rPr>
          <w:rFonts w:ascii="SimHei" w:hAnsi="SimHei" w:eastAsia="SimHei" w:cs="SimHei"/>
          <w:color w:val="1A67B3"/>
          <w:spacing w:val="21"/>
          <w:sz w:val="21"/>
          <w:szCs w:val="21"/>
          <w14:textOutline w14:w="3175" w14:cap="flat" w14:cmpd="sng">
            <w14:solidFill>
              <w14:srgbClr w14:val="1A67B3"/>
            </w14:solidFill>
            <w14:prstDash w14:val="solid"/>
            <w14:miter w14:val="0"/>
          </w14:textOutline>
        </w:rPr>
        <w:t>后记</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56" w:line="224" w:lineRule="auto"/>
        <w:ind w:left="5597"/>
        <w:rPr>
          <w:rFonts w:ascii="SimHei" w:hAnsi="SimHei" w:eastAsia="SimHei" w:cs="SimHei"/>
          <w:sz w:val="48"/>
          <w:szCs w:val="48"/>
        </w:rPr>
      </w:pPr>
      <w:r>
        <w:rPr>
          <w:rFonts w:ascii="SimHei" w:hAnsi="SimHei" w:eastAsia="SimHei" w:cs="SimHei"/>
          <w:color w:val="015DAC"/>
          <w:spacing w:val="-36"/>
          <w:sz w:val="48"/>
          <w:szCs w:val="48"/>
        </w:rPr>
        <w:t>后 记</w:t>
      </w: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94" w:line="263" w:lineRule="auto"/>
        <w:ind w:left="1601" w:right="1584" w:firstLine="446"/>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本报告在全面系统展示中国外商投资发展总体情况的基础上，从多个</w:t>
      </w:r>
      <w:r>
        <w:rPr>
          <w:rFonts w:ascii="微软雅黑" w:hAnsi="微软雅黑" w:eastAsia="微软雅黑" w:cs="微软雅黑"/>
          <w:color w:val="231F20"/>
          <w:sz w:val="22"/>
          <w:szCs w:val="22"/>
        </w:rPr>
        <w:t xml:space="preserve">视角、多个维度对中 </w:t>
      </w:r>
      <w:r>
        <w:rPr>
          <w:rFonts w:ascii="微软雅黑" w:hAnsi="微软雅黑" w:eastAsia="微软雅黑" w:cs="微软雅黑"/>
          <w:color w:val="231F20"/>
          <w:spacing w:val="-1"/>
          <w:sz w:val="22"/>
          <w:szCs w:val="22"/>
        </w:rPr>
        <w:t>国外商投资进行全景细致展示 ，并采取专栏分析等方式对外</w:t>
      </w:r>
      <w:r>
        <w:rPr>
          <w:rFonts w:ascii="微软雅黑" w:hAnsi="微软雅黑" w:eastAsia="微软雅黑" w:cs="微软雅黑"/>
          <w:color w:val="231F20"/>
          <w:sz w:val="22"/>
          <w:szCs w:val="22"/>
        </w:rPr>
        <w:t xml:space="preserve">商投资主要政策、热点问题等进行 </w:t>
      </w:r>
      <w:r>
        <w:rPr>
          <w:rFonts w:ascii="微软雅黑" w:hAnsi="微软雅黑" w:eastAsia="微软雅黑" w:cs="微软雅黑"/>
          <w:color w:val="231F20"/>
          <w:spacing w:val="-4"/>
          <w:sz w:val="22"/>
          <w:szCs w:val="22"/>
        </w:rPr>
        <w:t>解读</w:t>
      </w:r>
      <w:r>
        <w:rPr>
          <w:rFonts w:ascii="微软雅黑" w:hAnsi="微软雅黑" w:eastAsia="微软雅黑" w:cs="微软雅黑"/>
          <w:color w:val="231F20"/>
          <w:spacing w:val="-2"/>
          <w:sz w:val="22"/>
          <w:szCs w:val="22"/>
        </w:rPr>
        <w:t>和分析 ，不仅对于更好地理解中国外商投资发展具有重要意义 ，而且能够为各级政府部门</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“稳外资”工作和跨国企业</w:t>
      </w:r>
      <w:r>
        <w:rPr>
          <w:rFonts w:ascii="微软雅黑" w:hAnsi="微软雅黑" w:eastAsia="微软雅黑" w:cs="微软雅黑"/>
          <w:color w:val="231F20"/>
          <w:sz w:val="22"/>
          <w:szCs w:val="22"/>
        </w:rPr>
        <w:t>在华投资提供决策参考。</w:t>
      </w:r>
    </w:p>
    <w:p>
      <w:pPr>
        <w:spacing w:before="172" w:line="263" w:lineRule="auto"/>
        <w:ind w:left="1602" w:right="1515" w:firstLine="448"/>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本报告由商务部外资司委托商务部国际贸易经济合作研究院承担编写任务 ，编</w:t>
      </w:r>
      <w:r>
        <w:rPr>
          <w:rFonts w:ascii="微软雅黑" w:hAnsi="微软雅黑" w:eastAsia="微软雅黑" w:cs="微软雅黑"/>
          <w:color w:val="231F20"/>
          <w:sz w:val="22"/>
          <w:szCs w:val="22"/>
        </w:rPr>
        <w:t xml:space="preserve">写组组长为 </w:t>
      </w:r>
      <w:r>
        <w:rPr>
          <w:rFonts w:ascii="微软雅黑" w:hAnsi="微软雅黑" w:eastAsia="微软雅黑" w:cs="微软雅黑"/>
          <w:color w:val="231F20"/>
          <w:spacing w:val="1"/>
          <w:sz w:val="22"/>
          <w:szCs w:val="22"/>
        </w:rPr>
        <w:t>商务部国际贸易经济合作研究院副院长、二级研究员张威，成员主要有：林梦、路红艳、</w:t>
      </w:r>
      <w:r>
        <w:rPr>
          <w:rFonts w:ascii="微软雅黑" w:hAnsi="微软雅黑" w:eastAsia="微软雅黑" w:cs="微软雅黑"/>
          <w:color w:val="231F20"/>
          <w:sz w:val="22"/>
          <w:szCs w:val="22"/>
        </w:rPr>
        <w:t xml:space="preserve">孙继 </w:t>
      </w:r>
      <w:r>
        <w:rPr>
          <w:rFonts w:ascii="微软雅黑" w:hAnsi="微软雅黑" w:eastAsia="微软雅黑" w:cs="微软雅黑"/>
          <w:color w:val="231F20"/>
          <w:spacing w:val="-4"/>
          <w:sz w:val="22"/>
          <w:szCs w:val="22"/>
        </w:rPr>
        <w:t>勇、王文海、李睿哲、李晓雪、涂</w:t>
      </w:r>
      <w:r>
        <w:rPr>
          <w:rFonts w:ascii="微软雅黑" w:hAnsi="微软雅黑" w:eastAsia="微软雅黑" w:cs="微软雅黑"/>
          <w:color w:val="231F20"/>
          <w:spacing w:val="-2"/>
          <w:sz w:val="22"/>
          <w:szCs w:val="22"/>
        </w:rPr>
        <w:t>苏、蒲新宇、刘建平、付鑫、李雪亚等。在报告编写过程中，</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商务部外资司与编写组多次讨论报告内容 ，对报告修改完善给予了精心指导和悉心</w:t>
      </w:r>
      <w:r>
        <w:rPr>
          <w:rFonts w:ascii="微软雅黑" w:hAnsi="微软雅黑" w:eastAsia="微软雅黑" w:cs="微软雅黑"/>
          <w:color w:val="231F20"/>
          <w:sz w:val="22"/>
          <w:szCs w:val="22"/>
        </w:rPr>
        <w:t>帮助。</w:t>
      </w:r>
    </w:p>
    <w:p>
      <w:pPr>
        <w:spacing w:before="171" w:line="266" w:lineRule="auto"/>
        <w:ind w:left="1600" w:right="1492" w:firstLine="450"/>
        <w:rPr>
          <w:rFonts w:ascii="微软雅黑" w:hAnsi="微软雅黑" w:eastAsia="微软雅黑" w:cs="微软雅黑"/>
          <w:sz w:val="22"/>
          <w:szCs w:val="22"/>
        </w:rPr>
      </w:pPr>
      <w:r>
        <w:rPr>
          <w:rFonts w:ascii="微软雅黑" w:hAnsi="微软雅黑" w:eastAsia="微软雅黑" w:cs="微软雅黑"/>
          <w:color w:val="231F20"/>
          <w:spacing w:val="-4"/>
          <w:sz w:val="22"/>
          <w:szCs w:val="22"/>
        </w:rPr>
        <w:t>本报告本着实事求是</w:t>
      </w:r>
      <w:r>
        <w:rPr>
          <w:rFonts w:ascii="微软雅黑" w:hAnsi="微软雅黑" w:eastAsia="微软雅黑" w:cs="微软雅黑"/>
          <w:color w:val="231F20"/>
          <w:spacing w:val="-3"/>
          <w:sz w:val="22"/>
          <w:szCs w:val="22"/>
        </w:rPr>
        <w:t>的</w:t>
      </w:r>
      <w:r>
        <w:rPr>
          <w:rFonts w:ascii="微软雅黑" w:hAnsi="微软雅黑" w:eastAsia="微软雅黑" w:cs="微软雅黑"/>
          <w:color w:val="231F20"/>
          <w:spacing w:val="-2"/>
          <w:sz w:val="22"/>
          <w:szCs w:val="22"/>
        </w:rPr>
        <w:t>原则，坚持用事实说话，用数据说话，客观展示中国外商投资情况。</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4"/>
          <w:sz w:val="22"/>
          <w:szCs w:val="22"/>
        </w:rPr>
        <w:t>报告</w:t>
      </w:r>
      <w:r>
        <w:rPr>
          <w:rFonts w:ascii="微软雅黑" w:hAnsi="微软雅黑" w:eastAsia="微软雅黑" w:cs="微软雅黑"/>
          <w:color w:val="231F20"/>
          <w:spacing w:val="-2"/>
          <w:sz w:val="22"/>
          <w:szCs w:val="22"/>
        </w:rPr>
        <w:t>数据来源主要为联合国贸发会议、中国商务部外资统计、国家统计局，以及中国美国商会、</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
          <w:sz w:val="22"/>
          <w:szCs w:val="22"/>
        </w:rPr>
        <w:t>中国德国商</w:t>
      </w:r>
      <w:r>
        <w:rPr>
          <w:rFonts w:ascii="微软雅黑" w:hAnsi="微软雅黑" w:eastAsia="微软雅黑" w:cs="微软雅黑"/>
          <w:color w:val="231F20"/>
          <w:sz w:val="22"/>
          <w:szCs w:val="22"/>
        </w:rPr>
        <w:t>会等相关机构发布的调查报告。</w:t>
      </w:r>
    </w:p>
    <w:sectPr>
      <w:pgSz w:w="12246" w:h="16498"/>
      <w:pgMar w:top="400" w:right="0"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SimHei">
    <w:altName w:val="方正黑体_GBK"/>
    <w:panose1 w:val="00000000000000000000"/>
    <w:charset w:val="00"/>
    <w:family w:val="auto"/>
    <w:pitch w:val="default"/>
    <w:sig w:usb0="00000000" w:usb1="00000000" w:usb2="00000000" w:usb3="00000000" w:csb0="00000000" w:csb1="00000000"/>
  </w:font>
  <w:font w:name="微软雅黑">
    <w:altName w:val="方正黑体_GBK"/>
    <w:panose1 w:val="00000000000000000000"/>
    <w:charset w:val="00"/>
    <w:family w:val="auto"/>
    <w:pitch w:val="default"/>
    <w:sig w:usb0="00000000" w:usb1="00000000" w:usb2="00000000" w:usb3="00000000" w:csb0="00000000" w:csb1="00000000"/>
  </w:font>
  <w:font w:name="KaiTi">
    <w:altName w:val="方正楷体_GBK"/>
    <w:panose1 w:val="00000000000000000000"/>
    <w:charset w:val="00"/>
    <w:family w:val="auto"/>
    <w:pitch w:val="default"/>
    <w:sig w:usb0="00000000" w:usb1="00000000" w:usb2="00000000" w:usb3="00000000" w:csb0="00000000" w:csb1="00000000"/>
  </w:font>
  <w:font w:name="DengXian">
    <w:altName w:val="URW Bookman"/>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方正宋体S-超大字符集">
    <w:panose1 w:val="02000000000000000000"/>
    <w:charset w:val="86"/>
    <w:family w:val="auto"/>
    <w:pitch w:val="default"/>
    <w:sig w:usb0="00000001" w:usb1="08000000" w:usb2="00000000" w:usb3="00000000" w:csb0="00040000" w:csb1="00000000"/>
  </w:font>
  <w:font w:name="URW Book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0288" behindDoc="1" locked="0" layoutInCell="0" allowOverlap="1">
          <wp:simplePos x="0" y="0"/>
          <wp:positionH relativeFrom="page">
            <wp:posOffset>107950</wp:posOffset>
          </wp:positionH>
          <wp:positionV relativeFrom="page">
            <wp:posOffset>0</wp:posOffset>
          </wp:positionV>
          <wp:extent cx="7668260" cy="10476230"/>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1"/>
                  <a:stretch>
                    <a:fillRect/>
                  </a:stretch>
                </pic:blipFill>
                <pic:spPr>
                  <a:xfrm>
                    <a:off x="0" y="0"/>
                    <a:ext cx="7667993" cy="10476001"/>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1" locked="0" layoutInCell="0" allowOverlap="1">
          <wp:simplePos x="0" y="0"/>
          <wp:positionH relativeFrom="page">
            <wp:posOffset>0</wp:posOffset>
          </wp:positionH>
          <wp:positionV relativeFrom="page">
            <wp:posOffset>0</wp:posOffset>
          </wp:positionV>
          <wp:extent cx="7776210" cy="1047623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7775994" cy="10476001"/>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49" o:spid="_x0000_s2049" o:spt="202" type="#_x0000_t202" style="position:absolute;left:0pt;margin-left:127.2pt;margin-top:489.05pt;height:14.15pt;width:9.2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pPr>
                  <w:spacing w:before="20" w:line="242" w:lineRule="exact"/>
                  <w:ind w:left="20"/>
                  <w:rPr>
                    <w:rFonts w:ascii="Times New Roman" w:hAnsi="Times New Roman" w:eastAsia="Times New Roman" w:cs="Times New Roman"/>
                    <w:sz w:val="17"/>
                    <w:szCs w:val="17"/>
                  </w:rPr>
                </w:pPr>
                <w:r>
                  <w:rPr>
                    <w:rFonts w:ascii="Times New Roman" w:hAnsi="Times New Roman" w:eastAsia="Times New Roman" w:cs="Times New Roman"/>
                    <w:color w:val="030303"/>
                    <w:spacing w:val="1"/>
                    <w:position w:val="2"/>
                    <w:sz w:val="17"/>
                    <w:szCs w:val="17"/>
                  </w:rPr>
                  <w:t>%</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4624" behindDoc="1" locked="0" layoutInCell="0" allowOverlap="1">
          <wp:simplePos x="0" y="0"/>
          <wp:positionH relativeFrom="page">
            <wp:posOffset>107950</wp:posOffset>
          </wp:positionH>
          <wp:positionV relativeFrom="page">
            <wp:posOffset>0</wp:posOffset>
          </wp:positionV>
          <wp:extent cx="7668260" cy="1047623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
                  <a:stretch>
                    <a:fillRect/>
                  </a:stretch>
                </pic:blipFill>
                <pic:spPr>
                  <a:xfrm>
                    <a:off x="0" y="0"/>
                    <a:ext cx="7667993" cy="10476001"/>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FBF41CC"/>
    <w:rsid w:val="F7FF3D3F"/>
    <w:rsid w:val="FDFFDA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pn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header" Target="header4.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header" Target="header3.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2.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jpe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1.xml"/><Relationship Id="rId59" Type="http://schemas.openxmlformats.org/officeDocument/2006/relationships/image" Target="media/image46.png"/><Relationship Id="rId58" Type="http://schemas.openxmlformats.org/officeDocument/2006/relationships/image" Target="media/image45.jpe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jpe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4" Type="http://schemas.openxmlformats.org/officeDocument/2006/relationships/fontTable" Target="fontTable.xml"/><Relationship Id="rId163" Type="http://schemas.openxmlformats.org/officeDocument/2006/relationships/customXml" Target="../customXml/item1.xml"/><Relationship Id="rId162" Type="http://schemas.openxmlformats.org/officeDocument/2006/relationships/image" Target="media/image149.png"/><Relationship Id="rId161" Type="http://schemas.openxmlformats.org/officeDocument/2006/relationships/image" Target="media/image148.png"/><Relationship Id="rId160" Type="http://schemas.openxmlformats.org/officeDocument/2006/relationships/image" Target="media/image147.png"/><Relationship Id="rId16" Type="http://schemas.openxmlformats.org/officeDocument/2006/relationships/image" Target="media/image3.png"/><Relationship Id="rId159" Type="http://schemas.openxmlformats.org/officeDocument/2006/relationships/image" Target="media/image146.png"/><Relationship Id="rId158" Type="http://schemas.openxmlformats.org/officeDocument/2006/relationships/image" Target="media/image145.png"/><Relationship Id="rId157" Type="http://schemas.openxmlformats.org/officeDocument/2006/relationships/image" Target="media/image144.png"/><Relationship Id="rId156" Type="http://schemas.openxmlformats.org/officeDocument/2006/relationships/image" Target="media/image143.png"/><Relationship Id="rId155" Type="http://schemas.openxmlformats.org/officeDocument/2006/relationships/image" Target="media/image142.png"/><Relationship Id="rId154" Type="http://schemas.openxmlformats.org/officeDocument/2006/relationships/image" Target="media/image141.png"/><Relationship Id="rId153" Type="http://schemas.openxmlformats.org/officeDocument/2006/relationships/image" Target="media/image140.png"/><Relationship Id="rId152" Type="http://schemas.openxmlformats.org/officeDocument/2006/relationships/image" Target="media/image139.png"/><Relationship Id="rId151" Type="http://schemas.openxmlformats.org/officeDocument/2006/relationships/image" Target="media/image138.png"/><Relationship Id="rId150" Type="http://schemas.openxmlformats.org/officeDocument/2006/relationships/image" Target="media/image137.png"/><Relationship Id="rId15" Type="http://schemas.openxmlformats.org/officeDocument/2006/relationships/theme" Target="theme/theme1.xml"/><Relationship Id="rId149" Type="http://schemas.openxmlformats.org/officeDocument/2006/relationships/image" Target="media/image136.png"/><Relationship Id="rId148" Type="http://schemas.openxmlformats.org/officeDocument/2006/relationships/image" Target="media/image135.png"/><Relationship Id="rId147" Type="http://schemas.openxmlformats.org/officeDocument/2006/relationships/image" Target="media/image134.png"/><Relationship Id="rId146" Type="http://schemas.openxmlformats.org/officeDocument/2006/relationships/image" Target="media/image133.png"/><Relationship Id="rId145" Type="http://schemas.openxmlformats.org/officeDocument/2006/relationships/image" Target="media/image132.png"/><Relationship Id="rId144" Type="http://schemas.openxmlformats.org/officeDocument/2006/relationships/image" Target="media/image131.jpeg"/><Relationship Id="rId143" Type="http://schemas.openxmlformats.org/officeDocument/2006/relationships/image" Target="media/image130.png"/><Relationship Id="rId142" Type="http://schemas.openxmlformats.org/officeDocument/2006/relationships/image" Target="media/image129.png"/><Relationship Id="rId141" Type="http://schemas.openxmlformats.org/officeDocument/2006/relationships/image" Target="media/image128.png"/><Relationship Id="rId140" Type="http://schemas.openxmlformats.org/officeDocument/2006/relationships/image" Target="media/image127.png"/><Relationship Id="rId14" Type="http://schemas.openxmlformats.org/officeDocument/2006/relationships/header" Target="header9.xml"/><Relationship Id="rId139" Type="http://schemas.openxmlformats.org/officeDocument/2006/relationships/image" Target="media/image126.png"/><Relationship Id="rId138" Type="http://schemas.openxmlformats.org/officeDocument/2006/relationships/image" Target="media/image125.png"/><Relationship Id="rId137" Type="http://schemas.openxmlformats.org/officeDocument/2006/relationships/image" Target="media/image124.png"/><Relationship Id="rId136" Type="http://schemas.openxmlformats.org/officeDocument/2006/relationships/image" Target="media/image123.png"/><Relationship Id="rId135" Type="http://schemas.openxmlformats.org/officeDocument/2006/relationships/image" Target="media/image122.png"/><Relationship Id="rId134" Type="http://schemas.openxmlformats.org/officeDocument/2006/relationships/image" Target="media/image121.png"/><Relationship Id="rId133" Type="http://schemas.openxmlformats.org/officeDocument/2006/relationships/image" Target="media/image120.png"/><Relationship Id="rId132" Type="http://schemas.openxmlformats.org/officeDocument/2006/relationships/image" Target="media/image119.png"/><Relationship Id="rId131" Type="http://schemas.openxmlformats.org/officeDocument/2006/relationships/image" Target="media/image118.png"/><Relationship Id="rId130" Type="http://schemas.openxmlformats.org/officeDocument/2006/relationships/image" Target="media/image117.png"/><Relationship Id="rId13" Type="http://schemas.openxmlformats.org/officeDocument/2006/relationships/header" Target="header8.xml"/><Relationship Id="rId129" Type="http://schemas.openxmlformats.org/officeDocument/2006/relationships/image" Target="media/image116.png"/><Relationship Id="rId128" Type="http://schemas.openxmlformats.org/officeDocument/2006/relationships/image" Target="media/image115.png"/><Relationship Id="rId127" Type="http://schemas.openxmlformats.org/officeDocument/2006/relationships/image" Target="media/image114.jpeg"/><Relationship Id="rId126" Type="http://schemas.openxmlformats.org/officeDocument/2006/relationships/image" Target="media/image113.png"/><Relationship Id="rId125" Type="http://schemas.openxmlformats.org/officeDocument/2006/relationships/image" Target="media/image112.png"/><Relationship Id="rId124" Type="http://schemas.openxmlformats.org/officeDocument/2006/relationships/image" Target="media/image111.png"/><Relationship Id="rId123" Type="http://schemas.openxmlformats.org/officeDocument/2006/relationships/image" Target="media/image110.png"/><Relationship Id="rId122" Type="http://schemas.openxmlformats.org/officeDocument/2006/relationships/image" Target="media/image109.png"/><Relationship Id="rId121" Type="http://schemas.openxmlformats.org/officeDocument/2006/relationships/image" Target="media/image108.png"/><Relationship Id="rId120" Type="http://schemas.openxmlformats.org/officeDocument/2006/relationships/image" Target="media/image107.png"/><Relationship Id="rId12" Type="http://schemas.openxmlformats.org/officeDocument/2006/relationships/header" Target="header7.xml"/><Relationship Id="rId119" Type="http://schemas.openxmlformats.org/officeDocument/2006/relationships/image" Target="media/image106.png"/><Relationship Id="rId118" Type="http://schemas.openxmlformats.org/officeDocument/2006/relationships/image" Target="media/image105.png"/><Relationship Id="rId117" Type="http://schemas.openxmlformats.org/officeDocument/2006/relationships/image" Target="media/image104.png"/><Relationship Id="rId116" Type="http://schemas.openxmlformats.org/officeDocument/2006/relationships/image" Target="media/image103.png"/><Relationship Id="rId115" Type="http://schemas.openxmlformats.org/officeDocument/2006/relationships/image" Target="media/image102.png"/><Relationship Id="rId114" Type="http://schemas.openxmlformats.org/officeDocument/2006/relationships/image" Target="media/image101.png"/><Relationship Id="rId113" Type="http://schemas.openxmlformats.org/officeDocument/2006/relationships/image" Target="media/image100.jpeg"/><Relationship Id="rId112" Type="http://schemas.openxmlformats.org/officeDocument/2006/relationships/image" Target="media/image99.png"/><Relationship Id="rId111" Type="http://schemas.openxmlformats.org/officeDocument/2006/relationships/image" Target="media/image98.png"/><Relationship Id="rId110" Type="http://schemas.openxmlformats.org/officeDocument/2006/relationships/image" Target="media/image97.png"/><Relationship Id="rId11" Type="http://schemas.openxmlformats.org/officeDocument/2006/relationships/header" Target="header6.xml"/><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image" Target="media/image94.png"/><Relationship Id="rId106" Type="http://schemas.openxmlformats.org/officeDocument/2006/relationships/image" Target="media/image93.png"/><Relationship Id="rId105" Type="http://schemas.openxmlformats.org/officeDocument/2006/relationships/image" Target="media/image92.png"/><Relationship Id="rId104" Type="http://schemas.openxmlformats.org/officeDocument/2006/relationships/image" Target="media/image91.png"/><Relationship Id="rId103" Type="http://schemas.openxmlformats.org/officeDocument/2006/relationships/image" Target="media/image90.png"/><Relationship Id="rId102" Type="http://schemas.openxmlformats.org/officeDocument/2006/relationships/image" Target="media/image89.png"/><Relationship Id="rId101" Type="http://schemas.openxmlformats.org/officeDocument/2006/relationships/image" Target="media/image88.png"/><Relationship Id="rId100" Type="http://schemas.openxmlformats.org/officeDocument/2006/relationships/image" Target="media/image87.png"/><Relationship Id="rId10" Type="http://schemas.openxmlformats.org/officeDocument/2006/relationships/header" Target="head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26"/>
    <customShpInfo spid="_x0000_s1028"/>
    <customShpInfo spid="_x0000_s1029"/>
    <customShpInfo spid="_x0000_s1027"/>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7"/>
    <customShpInfo spid="_x0000_s1068"/>
    <customShpInfo spid="_x0000_s1066"/>
    <customShpInfo spid="_x0000_s1069"/>
    <customShpInfo spid="_x0000_s1071"/>
    <customShpInfo spid="_x0000_s1072"/>
    <customShpInfo spid="_x0000_s1073"/>
    <customShpInfo spid="_x0000_s1070"/>
    <customShpInfo spid="_x0000_s1075"/>
    <customShpInfo spid="_x0000_s1076"/>
    <customShpInfo spid="_x0000_s1074"/>
    <customShpInfo spid="_x0000_s1078"/>
    <customShpInfo spid="_x0000_s1079"/>
    <customShpInfo spid="_x0000_s1077"/>
    <customShpInfo spid="_x0000_s1080"/>
    <customShpInfo spid="_x0000_s1082"/>
    <customShpInfo spid="_x0000_s1083"/>
    <customShpInfo spid="_x0000_s1081"/>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9"/>
    <customShpInfo spid="_x0000_s1110"/>
    <customShpInfo spid="_x0000_s1108"/>
    <customShpInfo spid="_x0000_s1112"/>
    <customShpInfo spid="_x0000_s1113"/>
    <customShpInfo spid="_x0000_s1111"/>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14"/>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9"/>
    <customShpInfo spid="_x0000_s1150"/>
    <customShpInfo spid="_x0000_s1148"/>
    <customShpInfo spid="_x0000_s1151"/>
    <customShpInfo spid="_x0000_s1152"/>
    <customShpInfo spid="_x0000_s1153"/>
    <customShpInfo spid="_x0000_s1155"/>
    <customShpInfo spid="_x0000_s1156"/>
    <customShpInfo spid="_x0000_s1154"/>
    <customShpInfo spid="_x0000_s1157"/>
    <customShpInfo spid="_x0000_s1158"/>
    <customShpInfo spid="_x0000_s1159"/>
    <customShpInfo spid="_x0000_s1160"/>
    <customShpInfo spid="_x0000_s1161"/>
    <customShpInfo spid="_x0000_s1163"/>
    <customShpInfo spid="_x0000_s1164"/>
    <customShpInfo spid="_x0000_s1162"/>
    <customShpInfo spid="_x0000_s1165"/>
    <customShpInfo spid="_x0000_s1166"/>
    <customShpInfo spid="_x0000_s1167"/>
    <customShpInfo spid="_x0000_s1168"/>
    <customShpInfo spid="_x0000_s1169"/>
    <customShpInfo spid="_x0000_s1170"/>
    <customShpInfo spid="_x0000_s1171"/>
    <customShpInfo spid="_x0000_s1173"/>
    <customShpInfo spid="_x0000_s1174"/>
    <customShpInfo spid="_x0000_s1172"/>
    <customShpInfo spid="_x0000_s1175"/>
    <customShpInfo spid="_x0000_s1176"/>
    <customShpInfo spid="_x0000_s1178"/>
    <customShpInfo spid="_x0000_s1179"/>
    <customShpInfo spid="_x0000_s1177"/>
    <customShpInfo spid="_x0000_s1180"/>
    <customShpInfo spid="_x0000_s1181"/>
    <customShpInfo spid="_x0000_s1183"/>
    <customShpInfo spid="_x0000_s1184"/>
    <customShpInfo spid="_x0000_s1182"/>
    <customShpInfo spid="_x0000_s1186"/>
    <customShpInfo spid="_x0000_s1187"/>
    <customShpInfo spid="_x0000_s1185"/>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4"/>
    <customShpInfo spid="_x0000_s1215"/>
    <customShpInfo spid="_x0000_s1213"/>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1"/>
    <customShpInfo spid="_x0000_s1242"/>
    <customShpInfo spid="_x0000_s1240"/>
    <customShpInfo spid="_x0000_s1243"/>
    <customShpInfo spid="_x0000_s1244"/>
    <customShpInfo spid="_x0000_s1246"/>
    <customShpInfo spid="_x0000_s1247"/>
    <customShpInfo spid="_x0000_s1245"/>
    <customShpInfo spid="_x0000_s1248"/>
    <customShpInfo spid="_x0000_s1249"/>
    <customShpInfo spid="_x0000_s1250"/>
    <customShpInfo spid="_x0000_s1251"/>
    <customShpInfo spid="_x0000_s1252"/>
    <customShpInfo spid="_x0000_s1253"/>
    <customShpInfo spid="_x0000_s1254"/>
    <customShpInfo spid="_x0000_s1256"/>
    <customShpInfo spid="_x0000_s1257"/>
    <customShpInfo spid="_x0000_s1255"/>
    <customShpInfo spid="_x0000_s1258"/>
    <customShpInfo spid="_x0000_s1259"/>
    <customShpInfo spid="_x0000_s1260"/>
    <customShpInfo spid="_x0000_s1261"/>
    <customShpInfo spid="_x0000_s1263"/>
    <customShpInfo spid="_x0000_s1264"/>
    <customShpInfo spid="_x0000_s1262"/>
    <customShpInfo spid="_x0000_s1266"/>
    <customShpInfo spid="_x0000_s1267"/>
    <customShpInfo spid="_x0000_s1265"/>
    <customShpInfo spid="_x0000_s1269"/>
    <customShpInfo spid="_x0000_s1270"/>
    <customShpInfo spid="_x0000_s1268"/>
    <customShpInfo spid="_x0000_s1271"/>
    <customShpInfo spid="_x0000_s1272"/>
    <customShpInfo spid="_x0000_s1273"/>
    <customShpInfo spid="_x0000_s1274"/>
    <customShpInfo spid="_x0000_s1275"/>
    <customShpInfo spid="_x0000_s1277"/>
    <customShpInfo spid="_x0000_s1278"/>
    <customShpInfo spid="_x0000_s1279"/>
    <customShpInfo spid="_x0000_s1280"/>
    <customShpInfo spid="_x0000_s1281"/>
    <customShpInfo spid="_x0000_s1282"/>
    <customShpInfo spid="_x0000_s1283"/>
    <customShpInfo spid="_x0000_s1276"/>
    <customShpInfo spid="_x0000_s1284"/>
    <customShpInfo spid="_x0000_s1286"/>
    <customShpInfo spid="_x0000_s1287"/>
    <customShpInfo spid="_x0000_s1285"/>
    <customShpInfo spid="_x0000_s1288"/>
    <customShpInfo spid="_x0000_s1290"/>
    <customShpInfo spid="_x0000_s1291"/>
    <customShpInfo spid="_x0000_s1289"/>
    <customShpInfo spid="_x0000_s1292"/>
    <customShpInfo spid="_x0000_s1294"/>
    <customShpInfo spid="_x0000_s1295"/>
    <customShpInfo spid="_x0000_s1293"/>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9"/>
    <customShpInfo spid="_x0000_s1350"/>
    <customShpInfo spid="_x0000_s1348"/>
    <customShpInfo spid="_x0000_s1351"/>
    <customShpInfo spid="_x0000_s1353"/>
    <customShpInfo spid="_x0000_s1354"/>
    <customShpInfo spid="_x0000_s1352"/>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9"/>
    <customShpInfo spid="_x0000_s1440"/>
    <customShpInfo spid="_x0000_s1438"/>
    <customShpInfo spid="_x0000_s1441"/>
    <customShpInfo spid="_x0000_s1442"/>
    <customShpInfo spid="_x0000_s1443"/>
    <customShpInfo spid="_x0000_s1444"/>
    <customShpInfo spid="_x0000_s1445"/>
    <customShpInfo spid="_x0000_s1446"/>
    <customShpInfo spid="_x0000_s1447"/>
    <customShpInfo spid="_x0000_s1449"/>
    <customShpInfo spid="_x0000_s1450"/>
    <customShpInfo spid="_x0000_s1448"/>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8"/>
    <customShpInfo spid="_x0000_s1469"/>
    <customShpInfo spid="_x0000_s1467"/>
    <customShpInfo spid="_x0000_s1471"/>
    <customShpInfo spid="_x0000_s1472"/>
    <customShpInfo spid="_x0000_s1470"/>
    <customShpInfo spid="_x0000_s1474"/>
    <customShpInfo spid="_x0000_s1475"/>
    <customShpInfo spid="_x0000_s1473"/>
    <customShpInfo spid="_x0000_s1477"/>
    <customShpInfo spid="_x0000_s1478"/>
    <customShpInfo spid="_x0000_s1476"/>
    <customShpInfo spid="_x0000_s1480"/>
    <customShpInfo spid="_x0000_s1481"/>
    <customShpInfo spid="_x0000_s1479"/>
    <customShpInfo spid="_x0000_s1483"/>
    <customShpInfo spid="_x0000_s1484"/>
    <customShpInfo spid="_x0000_s1482"/>
    <customShpInfo spid="_x0000_s1485"/>
    <customShpInfo spid="_x0000_s1487"/>
    <customShpInfo spid="_x0000_s1488"/>
    <customShpInfo spid="_x0000_s1486"/>
    <customShpInfo spid="_x0000_s1490"/>
    <customShpInfo spid="_x0000_s1491"/>
    <customShpInfo spid="_x0000_s1489"/>
    <customShpInfo spid="_x0000_s1492"/>
    <customShpInfo spid="_x0000_s1494"/>
    <customShpInfo spid="_x0000_s1495"/>
    <customShpInfo spid="_x0000_s1493"/>
    <customShpInfo spid="_x0000_s149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Office_11.8.2.10953_F1E327BC-269C-435d-A152-05C5408002CA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2022-09-04T12:17:00Z</dcterms:created>
  <dc:creator>zwfwj4</dc:creator>
  <cp:lastModifiedBy>zw</cp:lastModifiedBy>
  <dcterms:modified xsi:type="dcterms:W3CDTF">2023-12-30T09:43:38Z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2023-11-28T11:21:37Z</vt:filetime>
  </property>
  <property fmtid="{D5CDD505-2E9C-101B-9397-08002B2CF9AE}" pid="4" name="KSOProductBuildVer">
    <vt:lpwstr>2052-11.8.2.10953</vt:lpwstr>
  </property>
</Properties>
</file>