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1320" w:firstLine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达区2022年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中央财政支持</w:t>
      </w:r>
    </w:p>
    <w:p>
      <w:pPr>
        <w:ind w:firstLine="1760" w:firstLineChars="4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农民合作社项目实施方案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根据内蒙古自治区农牧厅、财政厅《关于做好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2022年农业生产发展等项目实施工作的通知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》（内农牧计财发〔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中央财政支持农民合作社发展项目实施工作，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制定本方案。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一、目标任务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提高我区农业综合生产能力、推进产业精准扶贫、农业高质量发展、加快培育壮大农民合作社、促进农业增效和农民增收为目标，重点支持制度健全、管理规范、带动力强的农民合作社示范社，推进示范社规范化建设，提升生产经营水平，强化服务带动功能,通过发展绿色生态农业,开展标准化生产、专业化服务，开展农产品初加工、产品包装烘干、仓储物流设施建设，促进农民合作社高质量发展，健全合作服务机制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二、实施主体及实施内容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根据申报推荐批复流程，最终确定由乌海市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绿农永胜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专业合作社和乌海市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郭金奎蔬菜水果农民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专业合作社两家合作社负责实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关工作成立领导小组，具体成员如下：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刘  勐  乌达区政府副区长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副组长：王继权  区农牧水务局局长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36" w:firstLineChars="605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胡天文  区财政局局长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成  员：刘跃武  乌兰淖尔镇技术推广中心主任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36" w:firstLineChars="605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甘德日  乌兰淖尔镇科员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刘春燕  区财政局科员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王  健  区农牧水务局科员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1920" w:firstLineChars="6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牛敏璐  区农牧水务局科员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)注重监管指导。在项目实施过程中，要加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强合作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社项目监管指导力度。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)规范资金管理。要加强对项目承担主体的督促检查项目任务完成情况，项目完成验收合格后，付补助资金，不得挪为他用。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)开展绩效评估。要建立健全的本级项目绩制，将项目实施情况、任务完成情况、资金使用管理入指标体系，严格奖惩措施，全面评估、考核项目执况。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三、申报程序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通过社会公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的方式组织符合条件的合作社进行申报，并提交有关材料（提交材料包括：营业执照及组织机构代码、合作社章程、相关制度及入社成员名单、合作社成员代表大会申报项目的决议、合作社基本情况及经营情况、上年度资产负债表、项目建议书、项目用地审批手续证明、环保部门审批意见等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二、乌达区农牧水务局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申报项目的合作社进行遴选审核，进行实地考察、初审，初审结果应通过网络、电视、报刊等媒体统一向社会公示，公示时间不少于7个工作日。根据公示结果，公示后按照程序将初审合格的农牧民合作社名单报市农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则上旗县应按照1∶1.2以上的比例差额推荐。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四、申报材料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区农牧水务局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的实施方案和有关要求，制定项目实施方案，细化实施内容，明确资金用途、申报程序、申报材料、补助标准、补助对象、补助方式、监管措施、检查验收、绩效评价等内容。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五、补助方式和标准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补助采取“先建设后补助”的方式，即合作社按照批复的项目建设内容实施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农牧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初验和市农牧局复验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合格后，财政部门向项目承担主体支付项目资金。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，适当支持。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单个主体补贴比例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不超过项目总投资的50%，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补贴原则上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不超过30万元。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2021年之前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建设的设施、购置的设备不予补贴，已享受国家农机购置补贴的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不再进行补贴。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六、补助对象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重点支持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级以上农民合作社示范社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及联合社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并支持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多个农民合作社开展联合建设,避免设施闲置浪费。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支持发展葡萄优势特色产业，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对开展粮食和大豆油料作物种植、开展社会化服务的合作社给予倾斜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列入支持范围的农民合作社须纳入农业农村部“新农直报”系统。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2019年-2021年已享受项目补助的合作社，原则上不再享受同类项目补助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从事粮食生产的农牧民合作社可适当放宽。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工作总结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按时总结上报。项目实施过程中，各合作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上报项目实施进展情况，于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前将项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</w:rPr>
        <w:t>总结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和自评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报告、连同《支持农牧民合作社发展项目统计汇总表》（附件1）、《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承担项目的农牧民合作社基本情况表》（附件2）一并报送市农牧局产业发展科。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04" w:line="224" w:lineRule="auto"/>
        <w:ind w:left="74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</w:t>
      </w:r>
      <w:r>
        <w:rPr>
          <w:rFonts w:ascii="黑体" w:hAnsi="黑体" w:eastAsia="黑体" w:cs="黑体"/>
          <w:spacing w:val="-9"/>
          <w:sz w:val="32"/>
          <w:szCs w:val="32"/>
        </w:rPr>
        <w:t>件1</w:t>
      </w:r>
    </w:p>
    <w:p>
      <w:pPr>
        <w:spacing w:before="207" w:line="219" w:lineRule="auto"/>
        <w:ind w:left="1110"/>
        <w:jc w:val="left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82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支</w:t>
      </w:r>
      <w:r>
        <w:rPr>
          <w:rFonts w:hint="eastAsia" w:ascii="宋体" w:hAnsi="宋体" w:cs="宋体"/>
          <w:spacing w:val="-82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持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农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民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合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作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社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发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展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项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任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务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分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配</w:t>
      </w:r>
      <w:r>
        <w:rPr>
          <w:rFonts w:hint="eastAsia" w:ascii="宋体" w:hAnsi="宋体" w:cs="宋体"/>
          <w:spacing w:val="-76"/>
          <w:sz w:val="46"/>
          <w:szCs w:val="46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宋体" w:hAnsi="宋体" w:eastAsia="宋体" w:cs="宋体"/>
          <w:spacing w:val="-76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jc w:val="left"/>
      </w:pPr>
    </w:p>
    <w:p>
      <w:pPr>
        <w:spacing w:line="195" w:lineRule="exact"/>
        <w:jc w:val="left"/>
      </w:pPr>
    </w:p>
    <w:tbl>
      <w:tblPr>
        <w:tblStyle w:val="6"/>
        <w:tblW w:w="7799" w:type="dxa"/>
        <w:tblInd w:w="4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5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08" w:line="221" w:lineRule="auto"/>
              <w:ind w:left="819"/>
              <w:jc w:val="left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-3"/>
                <w:sz w:val="33"/>
                <w:szCs w:val="33"/>
                <w14:textOutline w14:w="59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旗县</w:t>
            </w:r>
          </w:p>
        </w:tc>
        <w:tc>
          <w:tcPr>
            <w:tcW w:w="5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07" w:line="219" w:lineRule="auto"/>
              <w:ind w:left="1758"/>
              <w:jc w:val="left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9"/>
                <w:sz w:val="33"/>
                <w:szCs w:val="33"/>
                <w14:textOutline w14:w="59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分配名额(个</w:t>
            </w:r>
            <w:r>
              <w:rPr>
                <w:rFonts w:ascii="宋体" w:hAnsi="宋体" w:eastAsia="宋体" w:cs="宋体"/>
                <w:spacing w:val="8"/>
                <w:sz w:val="33"/>
                <w:szCs w:val="33"/>
                <w14:textOutline w14:w="59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08" w:line="220" w:lineRule="auto"/>
              <w:ind w:left="644"/>
              <w:jc w:val="left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10"/>
                <w:sz w:val="33"/>
                <w:szCs w:val="33"/>
              </w:rPr>
              <w:t>乌</w:t>
            </w:r>
            <w:r>
              <w:rPr>
                <w:rFonts w:ascii="宋体" w:hAnsi="宋体" w:eastAsia="宋体" w:cs="宋体"/>
                <w:spacing w:val="9"/>
                <w:sz w:val="33"/>
                <w:szCs w:val="33"/>
              </w:rPr>
              <w:t>达区</w:t>
            </w:r>
          </w:p>
        </w:tc>
        <w:tc>
          <w:tcPr>
            <w:tcW w:w="5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07" w:line="187" w:lineRule="auto"/>
              <w:ind w:left="2653"/>
              <w:jc w:val="left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07" w:line="221" w:lineRule="auto"/>
              <w:ind w:left="644"/>
              <w:jc w:val="left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6"/>
                <w:sz w:val="33"/>
                <w:szCs w:val="33"/>
              </w:rPr>
              <w:t>海南区</w:t>
            </w:r>
          </w:p>
        </w:tc>
        <w:tc>
          <w:tcPr>
            <w:tcW w:w="5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07" w:line="187" w:lineRule="auto"/>
              <w:ind w:left="2653"/>
              <w:jc w:val="left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1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A3F28"/>
    <w:multiLevelType w:val="singleLevel"/>
    <w:tmpl w:val="B5EA3F2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NTVlZjc4NGRlYTdkMzI4OTk1YTFmNmQxODk5ZGIifQ=="/>
  </w:docVars>
  <w:rsids>
    <w:rsidRoot w:val="00000000"/>
    <w:rsid w:val="0419408A"/>
    <w:rsid w:val="477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1472</Words>
  <Characters>1506</Characters>
  <Lines>0</Lines>
  <Paragraphs>0</Paragraphs>
  <TotalTime>2</TotalTime>
  <ScaleCrop>false</ScaleCrop>
  <LinksUpToDate>false</LinksUpToDate>
  <CharactersWithSpaces>1530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nlj012</dc:creator>
  <cp:lastModifiedBy>乐</cp:lastModifiedBy>
  <dcterms:modified xsi:type="dcterms:W3CDTF">2022-10-10T03:30:41Z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757FC1C6AC98407C9CCCE8230AADD9DF</vt:lpwstr>
  </property>
</Properties>
</file>